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Architecture</w:t>
      </w:r>
    </w:p>
    <w:p>
      <w:r>
        <w:t>Migrating to microservices architecture by Q4 2026. AKF metadata will be embedded at the service boundary. Trust scores propagated through the API gateway.</w:t>
      </w:r>
    </w:p>
    <w:p>
      <w:r>
        <w:t>Classification: Internal | Generated: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akf-item.xml><?xml version="1.0" encoding="utf-8"?>
<akf:metadata xmlns:akf="https://akf.dev/v1">
<![CDATA[
{
  "classification": "confidential",
  "claims": [
    {
      "c": "Content from technical-architecture",
      "t": 0.9,
      "src": "internal"
    }
  ]
}
]]>  
</akf:metadata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