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101" w:rsidRDefault="008B4DA7">
      <w:r>
        <w:t>Literature Review Summary:</w:t>
      </w:r>
    </w:p>
    <w:p w:rsidR="00840B4C" w:rsidRDefault="006B3320" w:rsidP="006B3320">
      <w:pPr>
        <w:ind w:firstLine="720"/>
      </w:pPr>
      <w:bookmarkStart w:id="0" w:name="_GoBack"/>
      <w:bookmarkEnd w:id="0"/>
      <w:r>
        <w:t xml:space="preserve">These articles served to give a background on how electromagnetic characterization is currently being done for absorbing materials. While the NRL arch, bi-static reflection test, is an industry standard to determine reflection/attenuation of microwave radiation spectra, but to determine complex permittivity and permeability, other guided or free space tests are employed. Tests may involve waveguide tests with either partial or full fill with the material present, or fixed free space measurement with focusing lenses. </w:t>
      </w:r>
    </w:p>
    <w:p w:rsidR="008B4DA7" w:rsidRDefault="008B4DA7">
      <w:r>
        <w:t>Articles:</w:t>
      </w:r>
    </w:p>
    <w:p w:rsidR="008B4DA7" w:rsidRDefault="008B4DA7" w:rsidP="008B4DA7">
      <w:pPr>
        <w:pStyle w:val="ListParagraph"/>
        <w:numPr>
          <w:ilvl w:val="0"/>
          <w:numId w:val="1"/>
        </w:numPr>
      </w:pPr>
      <w:r>
        <w:t>Carbon nanostructure based Broadband microwave absorbers</w:t>
      </w:r>
    </w:p>
    <w:p w:rsidR="008B4DA7" w:rsidRDefault="008B4DA7" w:rsidP="008B4DA7">
      <w:pPr>
        <w:pStyle w:val="ListParagraph"/>
        <w:numPr>
          <w:ilvl w:val="0"/>
          <w:numId w:val="1"/>
        </w:numPr>
      </w:pPr>
      <w:r>
        <w:t>Free-Space measurement of magnetic materials – Focusing Horn antenna</w:t>
      </w:r>
    </w:p>
    <w:p w:rsidR="008B4DA7" w:rsidRDefault="008B4DA7" w:rsidP="008B4DA7">
      <w:pPr>
        <w:pStyle w:val="ListParagraph"/>
        <w:numPr>
          <w:ilvl w:val="0"/>
          <w:numId w:val="1"/>
        </w:numPr>
      </w:pPr>
      <w:r>
        <w:t>Paintable microwave absorbing coatings -Measurement and Simulation techniques</w:t>
      </w:r>
    </w:p>
    <w:p w:rsidR="001D7AE9" w:rsidRDefault="001D7AE9" w:rsidP="008B4DA7">
      <w:pPr>
        <w:pStyle w:val="ListParagraph"/>
        <w:numPr>
          <w:ilvl w:val="0"/>
          <w:numId w:val="1"/>
        </w:numPr>
      </w:pPr>
      <w:r>
        <w:t>Explosives detection with wideband millimeter wavelength</w:t>
      </w:r>
    </w:p>
    <w:p w:rsidR="001D7AE9" w:rsidRDefault="001D7AE9" w:rsidP="008B4DA7">
      <w:pPr>
        <w:pStyle w:val="ListParagraph"/>
        <w:numPr>
          <w:ilvl w:val="0"/>
          <w:numId w:val="1"/>
        </w:numPr>
      </w:pPr>
      <w:r>
        <w:t xml:space="preserve">Carbon </w:t>
      </w:r>
      <w:proofErr w:type="spellStart"/>
      <w:r>
        <w:t>nano</w:t>
      </w:r>
      <w:proofErr w:type="spellEnd"/>
      <w:r>
        <w:t>-powder RAM synthesis and measurement techniques</w:t>
      </w:r>
    </w:p>
    <w:p w:rsidR="005A2FF8" w:rsidRDefault="005A2FF8" w:rsidP="008B4DA7">
      <w:pPr>
        <w:pStyle w:val="ListParagraph"/>
        <w:numPr>
          <w:ilvl w:val="0"/>
          <w:numId w:val="1"/>
        </w:numPr>
      </w:pPr>
      <w:r>
        <w:t>Emerson Cumming Products Sheet</w:t>
      </w:r>
    </w:p>
    <w:p w:rsidR="001D7AE9" w:rsidRDefault="001D7AE9" w:rsidP="001D7AE9"/>
    <w:p w:rsidR="001D7AE9" w:rsidRDefault="001D7AE9" w:rsidP="001D7AE9">
      <w:r>
        <w:t>NRL Arch Test – Bi-static reflection test</w:t>
      </w:r>
    </w:p>
    <w:p w:rsidR="00445967" w:rsidRDefault="005A2FF8" w:rsidP="001D7AE9">
      <w:r>
        <w:t>“</w:t>
      </w:r>
      <w:r>
        <w:t>The NRL Arch is the industry standard for testing the reflectivity of materials. Originally designed at the Naval Research Laboratory, the NRL Arch allows for quick, repeatable non-destructive testing of microwave absorbent materials over a wide frequency range.</w:t>
      </w:r>
      <w:r>
        <w:t>” (Emerson 2016)</w:t>
      </w:r>
    </w:p>
    <w:p w:rsidR="005A2FF8" w:rsidRDefault="005A2FF8" w:rsidP="001D7AE9">
      <w:r>
        <w:t xml:space="preserve">The arch itself is referenced in most papers without much detail. The important parts for it are the inner radius and the </w:t>
      </w:r>
      <w:r w:rsidR="006B3320">
        <w:t>ability to fix the antenna at incremental angles from the center.</w:t>
      </w:r>
    </w:p>
    <w:p w:rsidR="005A2FF8" w:rsidRDefault="005A2FF8" w:rsidP="001D7AE9"/>
    <w:p w:rsidR="00445967" w:rsidRDefault="00445967" w:rsidP="001D7AE9">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4445</wp:posOffset>
            </wp:positionV>
            <wp:extent cx="2514600" cy="3105150"/>
            <wp:effectExtent l="0" t="0" r="0" b="0"/>
            <wp:wrapTight wrapText="bothSides">
              <wp:wrapPolygon edited="0">
                <wp:start x="0" y="0"/>
                <wp:lineTo x="0" y="21467"/>
                <wp:lineTo x="21436" y="21467"/>
                <wp:lineTo x="21436"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3105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395B" w:rsidRDefault="00445967" w:rsidP="001D7AE9">
      <w:pPr>
        <w:rPr>
          <w:rFonts w:eastAsiaTheme="minorEastAsia"/>
        </w:rPr>
      </w:pPr>
      <w:r>
        <w:rPr>
          <w:rFonts w:eastAsiaTheme="minorEastAsia"/>
        </w:rPr>
        <w:object w:dxaOrig="5730" w:dyaOrig="7890">
          <v:rect id="rectole0000000002" o:spid="_x0000_i1025" style="width:240pt;height:354pt" o:ole="" o:preferrelative="t" stroked="f">
            <v:imagedata r:id="rId6" o:title=""/>
          </v:rect>
          <o:OLEObject Type="Embed" ProgID="StaticDib" ShapeID="rectole0000000002" DrawAspect="Content" ObjectID="_1547784827" r:id="rId7"/>
        </w:object>
      </w:r>
    </w:p>
    <w:p w:rsidR="00D5395B" w:rsidRDefault="00D5395B" w:rsidP="001D7AE9">
      <w:pPr>
        <w:rPr>
          <w:rFonts w:eastAsiaTheme="minorEastAsia"/>
        </w:rPr>
      </w:pPr>
    </w:p>
    <w:p w:rsidR="00D5395B" w:rsidRDefault="00D5395B" w:rsidP="001D7AE9"/>
    <w:p w:rsidR="001D7AE9" w:rsidRPr="00D5395B" w:rsidRDefault="001D7AE9" w:rsidP="001D7AE9">
      <w:pPr>
        <w:rPr>
          <w:b/>
          <w:sz w:val="28"/>
        </w:rPr>
      </w:pPr>
    </w:p>
    <w:p w:rsidR="001D7AE9" w:rsidRPr="00D5395B" w:rsidRDefault="001D7AE9" w:rsidP="001D7AE9">
      <w:pPr>
        <w:rPr>
          <w:b/>
          <w:sz w:val="28"/>
        </w:rPr>
      </w:pPr>
      <w:r w:rsidRPr="00D5395B">
        <w:rPr>
          <w:b/>
          <w:sz w:val="28"/>
        </w:rPr>
        <w:t>Waveguide</w:t>
      </w:r>
    </w:p>
    <w:p w:rsidR="001D7AE9" w:rsidRPr="00D5395B" w:rsidRDefault="001D7AE9" w:rsidP="001D7AE9">
      <w:pPr>
        <w:rPr>
          <w:sz w:val="28"/>
        </w:rPr>
      </w:pPr>
      <w:r w:rsidRPr="00D5395B">
        <w:rPr>
          <w:sz w:val="28"/>
        </w:rPr>
        <w:t xml:space="preserve">Paper 1: </w:t>
      </w:r>
    </w:p>
    <w:p w:rsidR="001D7AE9" w:rsidRDefault="001D7AE9" w:rsidP="00D5395B">
      <w:pPr>
        <w:spacing w:after="0" w:line="240" w:lineRule="auto"/>
        <w:ind w:firstLine="720"/>
        <w:rPr>
          <w:rFonts w:ascii="Times-Roman" w:eastAsia="Times-Roman" w:hAnsi="Times-Roman" w:cs="Times-Roman"/>
          <w:sz w:val="20"/>
        </w:rPr>
      </w:pPr>
      <w:r>
        <w:rPr>
          <w:rFonts w:ascii="Times-Roman" w:eastAsia="Times-Roman" w:hAnsi="Times-Roman" w:cs="Times-Roman"/>
          <w:sz w:val="20"/>
        </w:rPr>
        <w:t xml:space="preserve">Software: </w:t>
      </w:r>
      <w:r>
        <w:rPr>
          <w:rFonts w:ascii="Times-Roman" w:eastAsia="Times-Roman" w:hAnsi="Times-Roman" w:cs="Times-Roman"/>
          <w:sz w:val="20"/>
        </w:rPr>
        <w:tab/>
        <w:t>Agilent software 8571E material measurement</w:t>
      </w:r>
    </w:p>
    <w:p w:rsidR="001D7AE9" w:rsidRDefault="001D7AE9" w:rsidP="00D5395B">
      <w:pPr>
        <w:spacing w:after="0" w:line="240" w:lineRule="auto"/>
        <w:ind w:firstLine="720"/>
        <w:rPr>
          <w:rFonts w:ascii="Times-Roman" w:eastAsia="Times-Roman" w:hAnsi="Times-Roman" w:cs="Times-Roman"/>
          <w:sz w:val="20"/>
        </w:rPr>
      </w:pPr>
      <w:r>
        <w:rPr>
          <w:rFonts w:ascii="Times-Roman" w:eastAsia="Times-Roman" w:hAnsi="Times-Roman" w:cs="Times-Roman"/>
          <w:sz w:val="20"/>
        </w:rPr>
        <w:t>Accuracy:</w:t>
      </w:r>
      <w:r>
        <w:rPr>
          <w:rFonts w:ascii="Times-Roman" w:eastAsia="Times-Roman" w:hAnsi="Times-Roman" w:cs="Times-Roman"/>
          <w:sz w:val="20"/>
        </w:rPr>
        <w:tab/>
        <w:t>2%</w:t>
      </w:r>
    </w:p>
    <w:p w:rsidR="001D7AE9" w:rsidRDefault="001D7AE9" w:rsidP="00D5395B">
      <w:pPr>
        <w:spacing w:after="0" w:line="240" w:lineRule="auto"/>
        <w:ind w:firstLine="720"/>
        <w:rPr>
          <w:rFonts w:ascii="Times-Roman" w:eastAsia="Times-Roman" w:hAnsi="Times-Roman" w:cs="Times-Roman"/>
          <w:sz w:val="20"/>
        </w:rPr>
      </w:pPr>
      <w:r>
        <w:rPr>
          <w:rFonts w:ascii="Times-Roman" w:eastAsia="Times-Roman" w:hAnsi="Times-Roman" w:cs="Times-Roman"/>
          <w:sz w:val="20"/>
        </w:rPr>
        <w:t>VNA:</w:t>
      </w:r>
      <w:r>
        <w:rPr>
          <w:rFonts w:ascii="Times-Roman" w:eastAsia="Times-Roman" w:hAnsi="Times-Roman" w:cs="Times-Roman"/>
          <w:sz w:val="20"/>
        </w:rPr>
        <w:tab/>
      </w:r>
      <w:r>
        <w:rPr>
          <w:rFonts w:ascii="Times-Roman" w:eastAsia="Times-Roman" w:hAnsi="Times-Roman" w:cs="Times-Roman"/>
          <w:sz w:val="20"/>
        </w:rPr>
        <w:tab/>
        <w:t>Agilent PNA-L N5230C</w:t>
      </w:r>
    </w:p>
    <w:p w:rsidR="001D7AE9" w:rsidRDefault="001D7AE9" w:rsidP="00D5395B">
      <w:pPr>
        <w:spacing w:after="0" w:line="240" w:lineRule="auto"/>
        <w:ind w:firstLine="720"/>
        <w:rPr>
          <w:rFonts w:ascii="Times-Roman" w:eastAsia="Times-Roman" w:hAnsi="Times-Roman" w:cs="Times-Roman"/>
          <w:sz w:val="20"/>
        </w:rPr>
      </w:pPr>
      <w:r>
        <w:rPr>
          <w:rFonts w:ascii="Times-Roman" w:eastAsia="Times-Roman" w:hAnsi="Times-Roman" w:cs="Times-Roman"/>
          <w:sz w:val="20"/>
        </w:rPr>
        <w:t>Calibration Kit:</w:t>
      </w:r>
      <w:r>
        <w:rPr>
          <w:rFonts w:ascii="Times-Roman" w:eastAsia="Times-Roman" w:hAnsi="Times-Roman" w:cs="Times-Roman"/>
          <w:sz w:val="20"/>
        </w:rPr>
        <w:tab/>
        <w:t>X-band waveguide kit</w:t>
      </w:r>
    </w:p>
    <w:p w:rsidR="001D7AE9" w:rsidRDefault="001D7AE9" w:rsidP="00D5395B">
      <w:pPr>
        <w:spacing w:after="0" w:line="240" w:lineRule="auto"/>
        <w:ind w:firstLine="720"/>
        <w:rPr>
          <w:rFonts w:ascii="Times-Roman" w:eastAsia="Times-Roman" w:hAnsi="Times-Roman" w:cs="Times-Roman"/>
          <w:sz w:val="20"/>
        </w:rPr>
      </w:pPr>
      <w:r>
        <w:rPr>
          <w:rFonts w:ascii="Times-Roman" w:eastAsia="Times-Roman" w:hAnsi="Times-Roman" w:cs="Times-Roman"/>
          <w:sz w:val="20"/>
        </w:rPr>
        <w:t>Sample Holder:</w:t>
      </w:r>
      <w:r>
        <w:rPr>
          <w:rFonts w:ascii="Times-Roman" w:eastAsia="Times-Roman" w:hAnsi="Times-Roman" w:cs="Times-Roman"/>
          <w:sz w:val="20"/>
        </w:rPr>
        <w:tab/>
        <w:t>20cm^2 x 0.977cm  2port waveguide measurements</w:t>
      </w:r>
    </w:p>
    <w:p w:rsidR="001D7AE9" w:rsidRDefault="001D7AE9" w:rsidP="00D5395B">
      <w:pPr>
        <w:spacing w:after="0" w:line="240" w:lineRule="auto"/>
        <w:ind w:firstLine="720"/>
        <w:rPr>
          <w:rFonts w:ascii="Times-Roman" w:eastAsia="Times-Roman" w:hAnsi="Times-Roman" w:cs="Times-Roman"/>
          <w:sz w:val="20"/>
        </w:rPr>
      </w:pPr>
      <w:r>
        <w:rPr>
          <w:rFonts w:ascii="Times-Roman" w:eastAsia="Times-Roman" w:hAnsi="Times-Roman" w:cs="Times-Roman"/>
          <w:sz w:val="20"/>
        </w:rPr>
        <w:t>VNA power:</w:t>
      </w:r>
      <w:r>
        <w:rPr>
          <w:rFonts w:ascii="Times-Roman" w:eastAsia="Times-Roman" w:hAnsi="Times-Roman" w:cs="Times-Roman"/>
          <w:sz w:val="20"/>
        </w:rPr>
        <w:tab/>
        <w:t>+5dBm</w:t>
      </w:r>
    </w:p>
    <w:p w:rsidR="001D7AE9" w:rsidRDefault="001D7AE9" w:rsidP="00D5395B">
      <w:pPr>
        <w:spacing w:after="0" w:line="240" w:lineRule="auto"/>
        <w:ind w:firstLine="720"/>
        <w:rPr>
          <w:rFonts w:ascii="Times-Roman" w:eastAsia="Times-Roman" w:hAnsi="Times-Roman" w:cs="Times-Roman"/>
          <w:sz w:val="20"/>
        </w:rPr>
      </w:pPr>
      <w:r>
        <w:rPr>
          <w:rFonts w:ascii="Times-Roman" w:eastAsia="Times-Roman" w:hAnsi="Times-Roman" w:cs="Times-Roman"/>
          <w:sz w:val="20"/>
        </w:rPr>
        <w:t xml:space="preserve">Number </w:t>
      </w:r>
      <w:proofErr w:type="spellStart"/>
      <w:r>
        <w:rPr>
          <w:rFonts w:ascii="Times-Roman" w:eastAsia="Times-Roman" w:hAnsi="Times-Roman" w:cs="Times-Roman"/>
          <w:sz w:val="20"/>
        </w:rPr>
        <w:t>f</w:t>
      </w:r>
      <w:proofErr w:type="spellEnd"/>
      <w:r>
        <w:rPr>
          <w:rFonts w:ascii="Times-Roman" w:eastAsia="Times-Roman" w:hAnsi="Times-Roman" w:cs="Times-Roman"/>
          <w:sz w:val="20"/>
        </w:rPr>
        <w:t xml:space="preserve"> steps:</w:t>
      </w:r>
      <w:r>
        <w:rPr>
          <w:rFonts w:ascii="Times-Roman" w:eastAsia="Times-Roman" w:hAnsi="Times-Roman" w:cs="Times-Roman"/>
          <w:sz w:val="20"/>
        </w:rPr>
        <w:tab/>
        <w:t>512 (8.2MHz resolution per step)</w:t>
      </w:r>
    </w:p>
    <w:p w:rsidR="001D7AE9" w:rsidRDefault="001D7AE9" w:rsidP="00D5395B">
      <w:pPr>
        <w:spacing w:after="0" w:line="240" w:lineRule="auto"/>
        <w:ind w:firstLine="720"/>
        <w:rPr>
          <w:rFonts w:ascii="Times-Roman" w:eastAsia="Times-Roman" w:hAnsi="Times-Roman" w:cs="Times-Roman"/>
          <w:sz w:val="20"/>
        </w:rPr>
      </w:pPr>
      <w:r>
        <w:rPr>
          <w:rFonts w:ascii="Times-Roman" w:eastAsia="Times-Roman" w:hAnsi="Times-Roman" w:cs="Times-Roman"/>
          <w:sz w:val="20"/>
        </w:rPr>
        <w:t>Frequency range: Up to 18GHz</w:t>
      </w:r>
    </w:p>
    <w:p w:rsidR="00606773" w:rsidRDefault="00606773" w:rsidP="00D5395B">
      <w:pPr>
        <w:spacing w:after="0" w:line="240" w:lineRule="auto"/>
        <w:ind w:firstLine="720"/>
        <w:rPr>
          <w:rFonts w:ascii="Times-Roman" w:eastAsia="Times-Roman" w:hAnsi="Times-Roman" w:cs="Times-Roman"/>
          <w:sz w:val="20"/>
        </w:rPr>
      </w:pPr>
    </w:p>
    <w:p w:rsidR="00606773" w:rsidRDefault="00606773" w:rsidP="00D5395B">
      <w:pPr>
        <w:spacing w:after="0" w:line="240" w:lineRule="auto"/>
        <w:ind w:firstLine="720"/>
        <w:rPr>
          <w:rFonts w:ascii="Times-Roman" w:eastAsia="Times-Roman" w:hAnsi="Times-Roman" w:cs="Times-Roman"/>
          <w:sz w:val="20"/>
        </w:rPr>
      </w:pPr>
    </w:p>
    <w:p w:rsidR="00606773" w:rsidRDefault="00606773" w:rsidP="00606773">
      <w:pPr>
        <w:spacing w:after="0" w:line="240" w:lineRule="auto"/>
        <w:rPr>
          <w:rFonts w:ascii="Times-Roman" w:eastAsia="Times-Roman" w:hAnsi="Times-Roman" w:cs="Times-Roman"/>
          <w:sz w:val="26"/>
        </w:rPr>
      </w:pPr>
      <w:r w:rsidRPr="00D5395B">
        <w:rPr>
          <w:rFonts w:ascii="Times-Roman" w:eastAsia="Times-Roman" w:hAnsi="Times-Roman" w:cs="Times-Roman"/>
          <w:sz w:val="26"/>
        </w:rPr>
        <w:t>Paper 2:</w:t>
      </w:r>
    </w:p>
    <w:p w:rsidR="00606773" w:rsidRDefault="00606773" w:rsidP="00606773">
      <w:pPr>
        <w:spacing w:after="0" w:line="240" w:lineRule="auto"/>
        <w:rPr>
          <w:rFonts w:ascii="Times-Roman" w:eastAsia="Times-Roman" w:hAnsi="Times-Roman" w:cs="Times-Roman"/>
        </w:rPr>
      </w:pPr>
    </w:p>
    <w:p w:rsidR="00606773" w:rsidRDefault="00606773" w:rsidP="00606773">
      <w:pPr>
        <w:spacing w:after="0" w:line="240" w:lineRule="auto"/>
        <w:ind w:firstLine="720"/>
        <w:rPr>
          <w:rFonts w:ascii="Times-Roman" w:eastAsia="Times-Roman" w:hAnsi="Times-Roman" w:cs="Times-Roman"/>
        </w:rPr>
      </w:pPr>
      <w:r>
        <w:rPr>
          <w:rFonts w:ascii="Times-Roman" w:eastAsia="Times-Roman" w:hAnsi="Times-Roman" w:cs="Times-Roman"/>
        </w:rPr>
        <w:t xml:space="preserve">Spot focusing Horn antenna with (F/D) at unity and D ~ 30.5 cm </w:t>
      </w:r>
    </w:p>
    <w:p w:rsidR="00606773" w:rsidRDefault="00606773" w:rsidP="00606773">
      <w:pPr>
        <w:spacing w:after="0" w:line="240" w:lineRule="auto"/>
        <w:ind w:firstLine="720"/>
        <w:rPr>
          <w:rFonts w:ascii="Times-Roman" w:eastAsia="Times-Roman" w:hAnsi="Times-Roman" w:cs="Times-Roman"/>
        </w:rPr>
      </w:pPr>
      <w:r>
        <w:rPr>
          <w:rFonts w:ascii="Times-Roman" w:eastAsia="Times-Roman" w:hAnsi="Times-Roman" w:cs="Times-Roman"/>
        </w:rPr>
        <w:lastRenderedPageBreak/>
        <w:t xml:space="preserve">Material between quartz plates in between antenna. </w:t>
      </w:r>
    </w:p>
    <w:p w:rsidR="00606773" w:rsidRDefault="00606773" w:rsidP="00606773">
      <w:pPr>
        <w:spacing w:after="0" w:line="240" w:lineRule="auto"/>
        <w:ind w:firstLine="720"/>
        <w:rPr>
          <w:rFonts w:ascii="Times-Roman" w:eastAsia="Times-Roman" w:hAnsi="Times-Roman" w:cs="Times-Roman"/>
        </w:rPr>
      </w:pPr>
      <w:r>
        <w:rPr>
          <w:rFonts w:ascii="Times-Roman" w:eastAsia="Times-Roman" w:hAnsi="Times-Roman" w:cs="Times-Roman"/>
        </w:rPr>
        <w:t>Polarization can be easily adjusted.</w:t>
      </w:r>
    </w:p>
    <w:p w:rsidR="00606773" w:rsidRDefault="00606773" w:rsidP="00606773">
      <w:pPr>
        <w:spacing w:after="0" w:line="240" w:lineRule="auto"/>
        <w:ind w:firstLine="720"/>
        <w:rPr>
          <w:rFonts w:ascii="Times-Roman" w:eastAsia="Times-Roman" w:hAnsi="Times-Roman" w:cs="Times-Roman"/>
        </w:rPr>
      </w:pPr>
      <w:r>
        <w:rPr>
          <w:rFonts w:ascii="Times-Roman" w:eastAsia="Times-Roman" w:hAnsi="Times-Roman" w:cs="Times-Roman"/>
        </w:rPr>
        <w:t>Ideal measurement range 8.6-13.4 GHz</w:t>
      </w:r>
    </w:p>
    <w:p w:rsidR="00445967" w:rsidRDefault="00445967" w:rsidP="00606773">
      <w:pPr>
        <w:spacing w:after="0" w:line="240" w:lineRule="auto"/>
        <w:ind w:firstLine="720"/>
        <w:rPr>
          <w:rFonts w:ascii="Times-Roman" w:eastAsia="Times-Roman" w:hAnsi="Times-Roman" w:cs="Times-Roman"/>
        </w:rPr>
      </w:pPr>
    </w:p>
    <w:p w:rsidR="00445967" w:rsidRDefault="00445967" w:rsidP="00606773">
      <w:pPr>
        <w:spacing w:after="0" w:line="240" w:lineRule="auto"/>
        <w:ind w:firstLine="720"/>
        <w:rPr>
          <w:rFonts w:ascii="Times-Roman" w:eastAsia="Times-Roman" w:hAnsi="Times-Roman" w:cs="Times-Roman"/>
        </w:rPr>
      </w:pPr>
    </w:p>
    <w:p w:rsidR="00445967" w:rsidRDefault="00445967" w:rsidP="00606773">
      <w:pPr>
        <w:spacing w:after="0" w:line="240" w:lineRule="auto"/>
        <w:ind w:firstLine="720"/>
        <w:rPr>
          <w:rFonts w:ascii="Times-Roman" w:eastAsia="Times-Roman" w:hAnsi="Times-Roman" w:cs="Times-Roman"/>
        </w:rPr>
      </w:pPr>
    </w:p>
    <w:p w:rsidR="00445967" w:rsidRDefault="00445967" w:rsidP="00445967">
      <w:pPr>
        <w:spacing w:after="0" w:line="240" w:lineRule="auto"/>
        <w:rPr>
          <w:rFonts w:ascii="Times-Roman" w:eastAsia="Times-Roman" w:hAnsi="Times-Roman" w:cs="Times-Roman"/>
        </w:rPr>
      </w:pPr>
      <w:r>
        <w:rPr>
          <w:rFonts w:ascii="Times-Roman" w:eastAsia="Times-Roman" w:hAnsi="Times-Roman" w:cs="Times-Roman"/>
        </w:rPr>
        <w:t>Paper 3:</w:t>
      </w:r>
      <w:r>
        <w:rPr>
          <w:rFonts w:ascii="Times-Roman" w:eastAsia="Times-Roman" w:hAnsi="Times-Roman" w:cs="Times-Roman"/>
        </w:rPr>
        <w:tab/>
        <w:t>Transmission line technique and rectangular wave guide:</w:t>
      </w:r>
      <w:r>
        <w:rPr>
          <w:rFonts w:ascii="Times-Roman" w:eastAsia="Times-Roman" w:hAnsi="Times-Roman" w:cs="Times-Roman"/>
        </w:rPr>
        <w:tab/>
      </w:r>
    </w:p>
    <w:p w:rsidR="00445967" w:rsidRDefault="00445967" w:rsidP="00445967">
      <w:pPr>
        <w:spacing w:after="0" w:line="240" w:lineRule="auto"/>
        <w:rPr>
          <w:rFonts w:ascii="Times-Roman" w:eastAsia="Times-Roman" w:hAnsi="Times-Roman" w:cs="Times-Roman"/>
        </w:rPr>
      </w:pPr>
    </w:p>
    <w:p w:rsidR="00445967" w:rsidRDefault="00445967" w:rsidP="00445967">
      <w:pPr>
        <w:spacing w:after="0" w:line="240" w:lineRule="auto"/>
        <w:rPr>
          <w:rFonts w:ascii="Times-Roman" w:eastAsia="Times-Roman" w:hAnsi="Times-Roman" w:cs="Times-Roman"/>
        </w:rPr>
      </w:pPr>
      <w:r>
        <w:rPr>
          <w:rFonts w:ascii="Times-Roman" w:eastAsia="Times-Roman" w:hAnsi="Times-Roman" w:cs="Times-Roman"/>
        </w:rPr>
        <w:tab/>
      </w:r>
      <w:r>
        <w:rPr>
          <w:rFonts w:ascii="Times-Roman" w:eastAsia="Times-Roman" w:hAnsi="Times-Roman" w:cs="Times-Roman"/>
        </w:rPr>
        <w:tab/>
      </w:r>
      <w:r>
        <w:rPr>
          <w:rFonts w:ascii="Times-Roman" w:eastAsia="Times-Roman" w:hAnsi="Times-Roman" w:cs="Times-Roman"/>
        </w:rPr>
        <w:tab/>
      </w:r>
      <w:r>
        <w:rPr>
          <w:noProof/>
        </w:rPr>
        <w:drawing>
          <wp:inline distT="0" distB="0" distL="0" distR="0" wp14:anchorId="5B8B19E4" wp14:editId="32A33713">
            <wp:extent cx="3057525" cy="2085975"/>
            <wp:effectExtent l="0" t="0" r="9525"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085975"/>
                    </a:xfrm>
                    <a:prstGeom prst="rect">
                      <a:avLst/>
                    </a:prstGeom>
                    <a:noFill/>
                    <a:ln>
                      <a:noFill/>
                    </a:ln>
                  </pic:spPr>
                </pic:pic>
              </a:graphicData>
            </a:graphic>
          </wp:inline>
        </w:drawing>
      </w:r>
    </w:p>
    <w:p w:rsidR="00606773" w:rsidRDefault="00606773" w:rsidP="00606773">
      <w:pPr>
        <w:widowControl w:val="0"/>
        <w:autoSpaceDE w:val="0"/>
        <w:autoSpaceDN w:val="0"/>
        <w:adjustRightInd w:val="0"/>
        <w:spacing w:after="200" w:line="240" w:lineRule="auto"/>
        <w:ind w:left="720" w:hanging="720"/>
        <w:rPr>
          <w:rFonts w:ascii="Times New Roman" w:hAnsi="Times New Roman" w:cs="Times New Roman"/>
          <w:sz w:val="24"/>
          <w:szCs w:val="24"/>
        </w:rPr>
      </w:pPr>
      <w:r>
        <w:rPr>
          <w:rFonts w:ascii="Times-Roman" w:eastAsia="Times-Roman" w:hAnsi="Times-Roman" w:cs="Times-Roman"/>
        </w:rPr>
        <w:t xml:space="preserve">Paper 4:  </w:t>
      </w:r>
      <w:r>
        <w:rPr>
          <w:rFonts w:ascii="Times New Roman" w:hAnsi="Times New Roman" w:cs="Times New Roman"/>
          <w:sz w:val="24"/>
          <w:szCs w:val="24"/>
          <w:lang w:val="en"/>
        </w:rPr>
        <w:t>Setup: 18–40-GHz wideband horn (Q-par WBH18–40)</w:t>
      </w:r>
      <w:r>
        <w:rPr>
          <w:rFonts w:ascii="Times New Roman" w:hAnsi="Times New Roman" w:cs="Times New Roman"/>
          <w:sz w:val="24"/>
          <w:szCs w:val="24"/>
        </w:rPr>
        <w:t xml:space="preserve">  Single ended, just outside of nearfield</w:t>
      </w:r>
    </w:p>
    <w:p w:rsidR="00606773" w:rsidRPr="00606773" w:rsidRDefault="00606773" w:rsidP="00606773">
      <w:pPr>
        <w:widowControl w:val="0"/>
        <w:autoSpaceDE w:val="0"/>
        <w:autoSpaceDN w:val="0"/>
        <w:adjustRightInd w:val="0"/>
        <w:spacing w:after="20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Example of wideband: </w:t>
      </w:r>
      <w:hyperlink r:id="rId9" w:history="1">
        <w:r>
          <w:rPr>
            <w:rStyle w:val="Hyperlink"/>
            <w:rFonts w:ascii="Times New Roman" w:hAnsi="Times New Roman" w:cs="Times New Roman"/>
            <w:sz w:val="24"/>
            <w:szCs w:val="24"/>
          </w:rPr>
          <w:t>http://schwarzbeck.de/Datenblatt/k9170.pdf</w:t>
        </w:r>
      </w:hyperlink>
    </w:p>
    <w:p w:rsidR="00606773" w:rsidRPr="00D5395B" w:rsidRDefault="00606773" w:rsidP="00606773">
      <w:pPr>
        <w:spacing w:after="0" w:line="240" w:lineRule="auto"/>
        <w:rPr>
          <w:rFonts w:ascii="Times-Roman" w:eastAsia="Times-Roman" w:hAnsi="Times-Roman" w:cs="Times-Roman"/>
        </w:rPr>
      </w:pPr>
    </w:p>
    <w:p w:rsidR="00606773" w:rsidRDefault="00606773" w:rsidP="00D5395B">
      <w:pPr>
        <w:spacing w:after="0" w:line="240" w:lineRule="auto"/>
        <w:ind w:firstLine="720"/>
        <w:rPr>
          <w:rFonts w:ascii="Times-Roman" w:eastAsia="Times-Roman" w:hAnsi="Times-Roman" w:cs="Times-Roman"/>
          <w:sz w:val="20"/>
        </w:rPr>
      </w:pPr>
    </w:p>
    <w:p w:rsidR="001D7AE9" w:rsidRDefault="001D7AE9" w:rsidP="001D7AE9">
      <w:pPr>
        <w:spacing w:after="0" w:line="240" w:lineRule="auto"/>
        <w:rPr>
          <w:rFonts w:ascii="Times-Roman" w:eastAsia="Times-Roman" w:hAnsi="Times-Roman" w:cs="Times-Roman"/>
          <w:sz w:val="20"/>
        </w:rPr>
      </w:pPr>
    </w:p>
    <w:p w:rsidR="00D5395B" w:rsidRDefault="00D5395B" w:rsidP="001D7AE9">
      <w:pPr>
        <w:spacing w:after="0" w:line="240" w:lineRule="auto"/>
        <w:rPr>
          <w:rFonts w:ascii="Times-Roman" w:eastAsia="Times-Roman" w:hAnsi="Times-Roman" w:cs="Times-Roman"/>
          <w:b/>
          <w:sz w:val="26"/>
        </w:rPr>
      </w:pPr>
      <w:r w:rsidRPr="00606773">
        <w:rPr>
          <w:rFonts w:ascii="Times-Roman" w:eastAsia="Times-Roman" w:hAnsi="Times-Roman" w:cs="Times-Roman"/>
          <w:b/>
          <w:sz w:val="26"/>
        </w:rPr>
        <w:t>Software/Data Modeling:</w:t>
      </w:r>
    </w:p>
    <w:p w:rsidR="00606773" w:rsidRDefault="00606773" w:rsidP="001D7AE9">
      <w:pPr>
        <w:spacing w:after="0" w:line="240" w:lineRule="auto"/>
        <w:rPr>
          <w:rFonts w:ascii="Times-Roman" w:eastAsia="Times-Roman" w:hAnsi="Times-Roman" w:cs="Times-Roman"/>
          <w:b/>
          <w:sz w:val="26"/>
        </w:rPr>
      </w:pPr>
    </w:p>
    <w:p w:rsidR="00606773" w:rsidRPr="00606773" w:rsidRDefault="00606773" w:rsidP="001D7AE9">
      <w:pPr>
        <w:spacing w:after="0" w:line="240" w:lineRule="auto"/>
        <w:rPr>
          <w:rFonts w:ascii="Times-Roman" w:eastAsia="Times-Roman" w:hAnsi="Times-Roman" w:cs="Times-Roman"/>
          <w:sz w:val="24"/>
        </w:rPr>
      </w:pPr>
      <w:r>
        <w:rPr>
          <w:rFonts w:ascii="Times-Roman" w:eastAsia="Times-Roman" w:hAnsi="Times-Roman" w:cs="Times-Roman"/>
          <w:b/>
          <w:sz w:val="26"/>
        </w:rPr>
        <w:tab/>
      </w:r>
      <w:r>
        <w:rPr>
          <w:rFonts w:ascii="Times-Roman" w:eastAsia="Times-Roman" w:hAnsi="Times-Roman" w:cs="Times-Roman"/>
          <w:sz w:val="24"/>
        </w:rPr>
        <w:t xml:space="preserve">Recurring equation: </w:t>
      </w:r>
      <w:r>
        <w:rPr>
          <w:rFonts w:ascii="Times-Roman" w:eastAsia="Times-Roman" w:hAnsi="Times-Roman" w:cs="Times-Roman"/>
          <w:sz w:val="24"/>
        </w:rPr>
        <w:tab/>
      </w:r>
      <w:r>
        <w:rPr>
          <w:rFonts w:eastAsiaTheme="minorEastAsia"/>
        </w:rPr>
        <w:object w:dxaOrig="3960" w:dyaOrig="735">
          <v:rect id="rectole0000000000" o:spid="_x0000_i1026" style="width:198pt;height:36.75pt" o:ole="" o:preferrelative="t" stroked="f">
            <v:imagedata r:id="rId10" o:title=""/>
          </v:rect>
          <o:OLEObject Type="Embed" ProgID="StaticDib" ShapeID="rectole0000000000" DrawAspect="Content" ObjectID="_1547784828" r:id="rId11"/>
        </w:object>
      </w:r>
    </w:p>
    <w:p w:rsidR="00D5395B" w:rsidRDefault="00D5395B" w:rsidP="001D7AE9">
      <w:pPr>
        <w:spacing w:after="0" w:line="240" w:lineRule="auto"/>
        <w:rPr>
          <w:rFonts w:ascii="Times-Roman" w:eastAsia="Times-Roman" w:hAnsi="Times-Roman" w:cs="Times-Roman"/>
          <w:sz w:val="20"/>
        </w:rPr>
      </w:pPr>
    </w:p>
    <w:p w:rsidR="00D5395B" w:rsidRDefault="00D5395B" w:rsidP="00D5395B">
      <w:pPr>
        <w:spacing w:after="0" w:line="240" w:lineRule="auto"/>
        <w:ind w:firstLine="720"/>
        <w:rPr>
          <w:rFonts w:ascii="Times-Roman" w:eastAsia="Times-Roman" w:hAnsi="Times-Roman" w:cs="Times-Roman"/>
          <w:sz w:val="20"/>
        </w:rPr>
      </w:pPr>
      <w:r w:rsidRPr="00D5395B">
        <w:rPr>
          <w:rFonts w:ascii="Times-Roman" w:eastAsia="Times-Roman" w:hAnsi="Times-Roman" w:cs="Times-Roman"/>
        </w:rPr>
        <w:t>Paper 1</w:t>
      </w:r>
      <w:r>
        <w:rPr>
          <w:rFonts w:ascii="Times-Roman" w:eastAsia="Times-Roman" w:hAnsi="Times-Roman" w:cs="Times-Roman"/>
          <w:sz w:val="20"/>
        </w:rPr>
        <w:t>: Uses Nicholson-Ross Algorithm, NIST Iterative and Non-Iterative</w:t>
      </w:r>
    </w:p>
    <w:p w:rsidR="00D5395B" w:rsidRDefault="00D5395B" w:rsidP="00D5395B">
      <w:pPr>
        <w:spacing w:after="0" w:line="240" w:lineRule="auto"/>
        <w:ind w:firstLine="720"/>
        <w:rPr>
          <w:rFonts w:ascii="Times-Roman" w:eastAsia="Times-Roman" w:hAnsi="Times-Roman" w:cs="Times-Roman"/>
          <w:sz w:val="20"/>
        </w:rPr>
      </w:pPr>
      <w:r>
        <w:rPr>
          <w:rFonts w:ascii="Times-Roman" w:eastAsia="Times-Roman" w:hAnsi="Times-Roman" w:cs="Times-Roman"/>
          <w:sz w:val="20"/>
        </w:rPr>
        <w:t>Loss Factor Calculations and derivations to determine characteristics based on Impedance</w:t>
      </w:r>
    </w:p>
    <w:p w:rsidR="00606773" w:rsidRDefault="00606773" w:rsidP="00D5395B">
      <w:pPr>
        <w:spacing w:after="0" w:line="240" w:lineRule="auto"/>
        <w:ind w:firstLine="720"/>
        <w:rPr>
          <w:rFonts w:ascii="Times-Roman" w:eastAsia="Times-Roman" w:hAnsi="Times-Roman" w:cs="Times-Roman"/>
          <w:sz w:val="20"/>
        </w:rPr>
      </w:pPr>
    </w:p>
    <w:p w:rsidR="00606773" w:rsidRDefault="00606773" w:rsidP="00D5395B">
      <w:pPr>
        <w:spacing w:after="0" w:line="240" w:lineRule="auto"/>
        <w:ind w:firstLine="720"/>
        <w:rPr>
          <w:rFonts w:ascii="Times-Roman" w:eastAsia="Times-Roman" w:hAnsi="Times-Roman" w:cs="Times-Roman"/>
          <w:sz w:val="20"/>
        </w:rPr>
      </w:pPr>
      <w:r>
        <w:rPr>
          <w:rFonts w:ascii="Times-Roman" w:eastAsia="Times-Roman" w:hAnsi="Times-Roman" w:cs="Times-Roman"/>
          <w:sz w:val="20"/>
        </w:rPr>
        <w:t>Paper 2: WPO – Winning Particle Optimization – Computer model for layering optimization</w:t>
      </w:r>
    </w:p>
    <w:p w:rsidR="00840B4C" w:rsidRDefault="00840B4C" w:rsidP="00840B4C">
      <w:pPr>
        <w:rPr>
          <w:rFonts w:ascii="Times-Roman" w:eastAsia="Times-Roman" w:hAnsi="Times-Roman" w:cs="Times-Roman"/>
          <w:b/>
          <w:sz w:val="32"/>
        </w:rPr>
      </w:pPr>
    </w:p>
    <w:p w:rsidR="00840B4C" w:rsidRDefault="00840B4C" w:rsidP="00840B4C">
      <w:pPr>
        <w:rPr>
          <w:rFonts w:ascii="Times-Roman" w:eastAsia="Times-Roman" w:hAnsi="Times-Roman" w:cs="Times-Roman"/>
          <w:b/>
          <w:sz w:val="32"/>
        </w:rPr>
      </w:pPr>
    </w:p>
    <w:p w:rsidR="001D7AE9" w:rsidRPr="00840B4C" w:rsidRDefault="00840B4C" w:rsidP="00840B4C">
      <w:pPr>
        <w:rPr>
          <w:b/>
          <w:sz w:val="32"/>
        </w:rPr>
      </w:pPr>
      <w:r>
        <w:rPr>
          <w:b/>
          <w:sz w:val="32"/>
        </w:rPr>
        <w:t>Citations</w:t>
      </w:r>
      <w:r w:rsidRPr="00840B4C">
        <w:rPr>
          <w:b/>
          <w:sz w:val="32"/>
        </w:rPr>
        <w:t>:</w:t>
      </w:r>
    </w:p>
    <w:p w:rsidR="00840B4C" w:rsidRPr="005A2FF8" w:rsidRDefault="00840B4C" w:rsidP="00840B4C">
      <w:pPr>
        <w:shd w:val="clear" w:color="auto" w:fill="FFFFFF"/>
        <w:spacing w:after="0" w:line="240" w:lineRule="auto"/>
        <w:rPr>
          <w:rFonts w:ascii="Arial" w:eastAsia="Times New Roman" w:hAnsi="Arial" w:cs="Arial"/>
          <w:bCs/>
          <w:color w:val="333333"/>
          <w:sz w:val="21"/>
          <w:szCs w:val="21"/>
        </w:rPr>
      </w:pPr>
      <w:proofErr w:type="spellStart"/>
      <w:r w:rsidRPr="00840B4C">
        <w:rPr>
          <w:rFonts w:ascii="Arial" w:eastAsia="Times New Roman" w:hAnsi="Arial" w:cs="Arial"/>
          <w:bCs/>
          <w:color w:val="333333"/>
          <w:sz w:val="21"/>
          <w:szCs w:val="21"/>
        </w:rPr>
        <w:t>Folgueras</w:t>
      </w:r>
      <w:proofErr w:type="spellEnd"/>
      <w:r w:rsidRPr="00840B4C">
        <w:rPr>
          <w:rFonts w:ascii="Arial" w:eastAsia="Times New Roman" w:hAnsi="Arial" w:cs="Arial"/>
          <w:bCs/>
          <w:color w:val="333333"/>
          <w:sz w:val="21"/>
          <w:szCs w:val="21"/>
        </w:rPr>
        <w:t xml:space="preserve">, L. D., Alves, M. A., &amp; </w:t>
      </w:r>
      <w:proofErr w:type="spellStart"/>
      <w:r w:rsidRPr="00840B4C">
        <w:rPr>
          <w:rFonts w:ascii="Arial" w:eastAsia="Times New Roman" w:hAnsi="Arial" w:cs="Arial"/>
          <w:bCs/>
          <w:color w:val="333333"/>
          <w:sz w:val="21"/>
          <w:szCs w:val="21"/>
        </w:rPr>
        <w:t>Rezende</w:t>
      </w:r>
      <w:proofErr w:type="spellEnd"/>
      <w:r w:rsidRPr="00840B4C">
        <w:rPr>
          <w:rFonts w:ascii="Arial" w:eastAsia="Times New Roman" w:hAnsi="Arial" w:cs="Arial"/>
          <w:bCs/>
          <w:color w:val="333333"/>
          <w:sz w:val="21"/>
          <w:szCs w:val="21"/>
        </w:rPr>
        <w:t>, M. C. (2010). Microwave absorbing paints and sheets based on carbonyl iron and polyaniline: measurement and simulation of their properties.</w:t>
      </w:r>
      <w:r w:rsidRPr="005A2FF8">
        <w:rPr>
          <w:rFonts w:ascii="Arial" w:eastAsia="Times New Roman" w:hAnsi="Arial" w:cs="Arial"/>
          <w:bCs/>
          <w:color w:val="333333"/>
          <w:sz w:val="21"/>
          <w:szCs w:val="21"/>
        </w:rPr>
        <w:t> </w:t>
      </w:r>
      <w:r w:rsidRPr="00840B4C">
        <w:rPr>
          <w:rFonts w:ascii="Arial" w:eastAsia="Times New Roman" w:hAnsi="Arial" w:cs="Arial"/>
          <w:bCs/>
          <w:i/>
          <w:iCs/>
          <w:color w:val="333333"/>
          <w:sz w:val="21"/>
          <w:szCs w:val="21"/>
        </w:rPr>
        <w:t>Journal of Aerospace Technology and Management,2</w:t>
      </w:r>
      <w:r w:rsidRPr="00840B4C">
        <w:rPr>
          <w:rFonts w:ascii="Arial" w:eastAsia="Times New Roman" w:hAnsi="Arial" w:cs="Arial"/>
          <w:bCs/>
          <w:color w:val="333333"/>
          <w:sz w:val="21"/>
          <w:szCs w:val="21"/>
        </w:rPr>
        <w:t>(1), 63-70. doi:10.5028/jatm.2010.02016370</w:t>
      </w:r>
    </w:p>
    <w:p w:rsidR="00840B4C" w:rsidRPr="00840B4C" w:rsidRDefault="00840B4C" w:rsidP="00840B4C">
      <w:pPr>
        <w:shd w:val="clear" w:color="auto" w:fill="FFFFFF"/>
        <w:spacing w:after="0" w:line="240" w:lineRule="auto"/>
        <w:rPr>
          <w:rFonts w:ascii="Arial" w:eastAsia="Times New Roman" w:hAnsi="Arial" w:cs="Arial"/>
          <w:bCs/>
          <w:color w:val="333333"/>
          <w:sz w:val="21"/>
          <w:szCs w:val="21"/>
        </w:rPr>
      </w:pPr>
    </w:p>
    <w:p w:rsidR="00840B4C" w:rsidRPr="005A2FF8" w:rsidRDefault="00840B4C" w:rsidP="00840B4C">
      <w:pPr>
        <w:shd w:val="clear" w:color="auto" w:fill="FFFFFF"/>
        <w:spacing w:after="0" w:line="240" w:lineRule="auto"/>
        <w:rPr>
          <w:rFonts w:ascii="Arial" w:eastAsia="Times New Roman" w:hAnsi="Arial" w:cs="Arial"/>
          <w:bCs/>
          <w:color w:val="333333"/>
          <w:sz w:val="21"/>
          <w:szCs w:val="21"/>
        </w:rPr>
      </w:pPr>
      <w:proofErr w:type="spellStart"/>
      <w:r w:rsidRPr="00840B4C">
        <w:rPr>
          <w:rFonts w:ascii="Arial" w:eastAsia="Times New Roman" w:hAnsi="Arial" w:cs="Arial"/>
          <w:bCs/>
          <w:color w:val="333333"/>
          <w:sz w:val="21"/>
          <w:szCs w:val="21"/>
        </w:rPr>
        <w:lastRenderedPageBreak/>
        <w:t>Ghodgaonkar</w:t>
      </w:r>
      <w:proofErr w:type="spellEnd"/>
      <w:r w:rsidRPr="00840B4C">
        <w:rPr>
          <w:rFonts w:ascii="Arial" w:eastAsia="Times New Roman" w:hAnsi="Arial" w:cs="Arial"/>
          <w:bCs/>
          <w:color w:val="333333"/>
          <w:sz w:val="21"/>
          <w:szCs w:val="21"/>
        </w:rPr>
        <w:t xml:space="preserve">, D., </w:t>
      </w:r>
      <w:proofErr w:type="spellStart"/>
      <w:r w:rsidRPr="00840B4C">
        <w:rPr>
          <w:rFonts w:ascii="Arial" w:eastAsia="Times New Roman" w:hAnsi="Arial" w:cs="Arial"/>
          <w:bCs/>
          <w:color w:val="333333"/>
          <w:sz w:val="21"/>
          <w:szCs w:val="21"/>
        </w:rPr>
        <w:t>Varadan</w:t>
      </w:r>
      <w:proofErr w:type="spellEnd"/>
      <w:r w:rsidRPr="00840B4C">
        <w:rPr>
          <w:rFonts w:ascii="Arial" w:eastAsia="Times New Roman" w:hAnsi="Arial" w:cs="Arial"/>
          <w:bCs/>
          <w:color w:val="333333"/>
          <w:sz w:val="21"/>
          <w:szCs w:val="21"/>
        </w:rPr>
        <w:t xml:space="preserve">, V., &amp; </w:t>
      </w:r>
      <w:proofErr w:type="spellStart"/>
      <w:r w:rsidRPr="00840B4C">
        <w:rPr>
          <w:rFonts w:ascii="Arial" w:eastAsia="Times New Roman" w:hAnsi="Arial" w:cs="Arial"/>
          <w:bCs/>
          <w:color w:val="333333"/>
          <w:sz w:val="21"/>
          <w:szCs w:val="21"/>
        </w:rPr>
        <w:t>Varadan</w:t>
      </w:r>
      <w:proofErr w:type="spellEnd"/>
      <w:r w:rsidRPr="00840B4C">
        <w:rPr>
          <w:rFonts w:ascii="Arial" w:eastAsia="Times New Roman" w:hAnsi="Arial" w:cs="Arial"/>
          <w:bCs/>
          <w:color w:val="333333"/>
          <w:sz w:val="21"/>
          <w:szCs w:val="21"/>
        </w:rPr>
        <w:t>, V. (1990). Free-space measurement of complex permittivity and complex permeability of magnetic materials at microwave frequencies.</w:t>
      </w:r>
      <w:r w:rsidRPr="005A2FF8">
        <w:rPr>
          <w:rFonts w:ascii="Arial" w:eastAsia="Times New Roman" w:hAnsi="Arial" w:cs="Arial"/>
          <w:bCs/>
          <w:color w:val="333333"/>
          <w:sz w:val="21"/>
          <w:szCs w:val="21"/>
        </w:rPr>
        <w:t> </w:t>
      </w:r>
      <w:r w:rsidRPr="00840B4C">
        <w:rPr>
          <w:rFonts w:ascii="Arial" w:eastAsia="Times New Roman" w:hAnsi="Arial" w:cs="Arial"/>
          <w:bCs/>
          <w:i/>
          <w:iCs/>
          <w:color w:val="333333"/>
          <w:sz w:val="21"/>
          <w:szCs w:val="21"/>
        </w:rPr>
        <w:t>IEEE Transactions on Instrumentation and Measurement,39</w:t>
      </w:r>
      <w:r w:rsidRPr="00840B4C">
        <w:rPr>
          <w:rFonts w:ascii="Arial" w:eastAsia="Times New Roman" w:hAnsi="Arial" w:cs="Arial"/>
          <w:bCs/>
          <w:color w:val="333333"/>
          <w:sz w:val="21"/>
          <w:szCs w:val="21"/>
        </w:rPr>
        <w:t>(2), 387-394. doi:10.1109/19.52520</w:t>
      </w:r>
    </w:p>
    <w:p w:rsidR="00840B4C" w:rsidRPr="00840B4C" w:rsidRDefault="00840B4C" w:rsidP="00840B4C">
      <w:pPr>
        <w:shd w:val="clear" w:color="auto" w:fill="FFFFFF"/>
        <w:spacing w:after="0" w:line="240" w:lineRule="auto"/>
        <w:rPr>
          <w:rFonts w:ascii="Arial" w:eastAsia="Times New Roman" w:hAnsi="Arial" w:cs="Arial"/>
          <w:bCs/>
          <w:color w:val="333333"/>
          <w:sz w:val="21"/>
          <w:szCs w:val="21"/>
        </w:rPr>
      </w:pPr>
    </w:p>
    <w:p w:rsidR="00840B4C" w:rsidRPr="005A2FF8" w:rsidRDefault="00840B4C" w:rsidP="00840B4C">
      <w:pPr>
        <w:shd w:val="clear" w:color="auto" w:fill="FFFFFF"/>
        <w:spacing w:after="0" w:line="240" w:lineRule="auto"/>
        <w:rPr>
          <w:rFonts w:ascii="Arial" w:eastAsia="Times New Roman" w:hAnsi="Arial" w:cs="Arial"/>
          <w:bCs/>
          <w:color w:val="333333"/>
          <w:sz w:val="21"/>
          <w:szCs w:val="21"/>
        </w:rPr>
      </w:pPr>
      <w:proofErr w:type="spellStart"/>
      <w:r w:rsidRPr="00840B4C">
        <w:rPr>
          <w:rFonts w:ascii="Arial" w:eastAsia="Times New Roman" w:hAnsi="Arial" w:cs="Arial"/>
          <w:bCs/>
          <w:color w:val="333333"/>
          <w:sz w:val="21"/>
          <w:szCs w:val="21"/>
        </w:rPr>
        <w:t>Micheli</w:t>
      </w:r>
      <w:proofErr w:type="spellEnd"/>
      <w:r w:rsidRPr="00840B4C">
        <w:rPr>
          <w:rFonts w:ascii="Arial" w:eastAsia="Times New Roman" w:hAnsi="Arial" w:cs="Arial"/>
          <w:bCs/>
          <w:color w:val="333333"/>
          <w:sz w:val="21"/>
          <w:szCs w:val="21"/>
        </w:rPr>
        <w:t xml:space="preserve">, D., </w:t>
      </w:r>
      <w:proofErr w:type="spellStart"/>
      <w:r w:rsidRPr="00840B4C">
        <w:rPr>
          <w:rFonts w:ascii="Arial" w:eastAsia="Times New Roman" w:hAnsi="Arial" w:cs="Arial"/>
          <w:bCs/>
          <w:color w:val="333333"/>
          <w:sz w:val="21"/>
          <w:szCs w:val="21"/>
        </w:rPr>
        <w:t>Pastore</w:t>
      </w:r>
      <w:proofErr w:type="spellEnd"/>
      <w:r w:rsidRPr="00840B4C">
        <w:rPr>
          <w:rFonts w:ascii="Arial" w:eastAsia="Times New Roman" w:hAnsi="Arial" w:cs="Arial"/>
          <w:bCs/>
          <w:color w:val="333333"/>
          <w:sz w:val="21"/>
          <w:szCs w:val="21"/>
        </w:rPr>
        <w:t xml:space="preserve">, R., Apollo, C., </w:t>
      </w:r>
      <w:proofErr w:type="spellStart"/>
      <w:r w:rsidRPr="00840B4C">
        <w:rPr>
          <w:rFonts w:ascii="Arial" w:eastAsia="Times New Roman" w:hAnsi="Arial" w:cs="Arial"/>
          <w:bCs/>
          <w:color w:val="333333"/>
          <w:sz w:val="21"/>
          <w:szCs w:val="21"/>
        </w:rPr>
        <w:t>Marchetti</w:t>
      </w:r>
      <w:proofErr w:type="spellEnd"/>
      <w:r w:rsidRPr="00840B4C">
        <w:rPr>
          <w:rFonts w:ascii="Arial" w:eastAsia="Times New Roman" w:hAnsi="Arial" w:cs="Arial"/>
          <w:bCs/>
          <w:color w:val="333333"/>
          <w:sz w:val="21"/>
          <w:szCs w:val="21"/>
        </w:rPr>
        <w:t xml:space="preserve">, M., </w:t>
      </w:r>
      <w:proofErr w:type="spellStart"/>
      <w:r w:rsidRPr="00840B4C">
        <w:rPr>
          <w:rFonts w:ascii="Arial" w:eastAsia="Times New Roman" w:hAnsi="Arial" w:cs="Arial"/>
          <w:bCs/>
          <w:color w:val="333333"/>
          <w:sz w:val="21"/>
          <w:szCs w:val="21"/>
        </w:rPr>
        <w:t>Gradoni</w:t>
      </w:r>
      <w:proofErr w:type="spellEnd"/>
      <w:r w:rsidRPr="00840B4C">
        <w:rPr>
          <w:rFonts w:ascii="Arial" w:eastAsia="Times New Roman" w:hAnsi="Arial" w:cs="Arial"/>
          <w:bCs/>
          <w:color w:val="333333"/>
          <w:sz w:val="21"/>
          <w:szCs w:val="21"/>
        </w:rPr>
        <w:t xml:space="preserve">, G., </w:t>
      </w:r>
      <w:proofErr w:type="spellStart"/>
      <w:r w:rsidRPr="00840B4C">
        <w:rPr>
          <w:rFonts w:ascii="Arial" w:eastAsia="Times New Roman" w:hAnsi="Arial" w:cs="Arial"/>
          <w:bCs/>
          <w:color w:val="333333"/>
          <w:sz w:val="21"/>
          <w:szCs w:val="21"/>
        </w:rPr>
        <w:t>Primiani</w:t>
      </w:r>
      <w:proofErr w:type="spellEnd"/>
      <w:r w:rsidRPr="00840B4C">
        <w:rPr>
          <w:rFonts w:ascii="Arial" w:eastAsia="Times New Roman" w:hAnsi="Arial" w:cs="Arial"/>
          <w:bCs/>
          <w:color w:val="333333"/>
          <w:sz w:val="21"/>
          <w:szCs w:val="21"/>
        </w:rPr>
        <w:t xml:space="preserve">, V. M., &amp; </w:t>
      </w:r>
      <w:proofErr w:type="spellStart"/>
      <w:r w:rsidRPr="00840B4C">
        <w:rPr>
          <w:rFonts w:ascii="Arial" w:eastAsia="Times New Roman" w:hAnsi="Arial" w:cs="Arial"/>
          <w:bCs/>
          <w:color w:val="333333"/>
          <w:sz w:val="21"/>
          <w:szCs w:val="21"/>
        </w:rPr>
        <w:t>Moglie</w:t>
      </w:r>
      <w:proofErr w:type="spellEnd"/>
      <w:r w:rsidRPr="00840B4C">
        <w:rPr>
          <w:rFonts w:ascii="Arial" w:eastAsia="Times New Roman" w:hAnsi="Arial" w:cs="Arial"/>
          <w:bCs/>
          <w:color w:val="333333"/>
          <w:sz w:val="21"/>
          <w:szCs w:val="21"/>
        </w:rPr>
        <w:t>, F. (2011). Broadband Electromagnetic Absorbers Using Carbon Nanostructure-Based Composites.</w:t>
      </w:r>
      <w:r w:rsidRPr="005A2FF8">
        <w:rPr>
          <w:rFonts w:ascii="Arial" w:eastAsia="Times New Roman" w:hAnsi="Arial" w:cs="Arial"/>
          <w:bCs/>
          <w:color w:val="333333"/>
          <w:sz w:val="21"/>
          <w:szCs w:val="21"/>
        </w:rPr>
        <w:t> </w:t>
      </w:r>
      <w:r w:rsidRPr="00840B4C">
        <w:rPr>
          <w:rFonts w:ascii="Arial" w:eastAsia="Times New Roman" w:hAnsi="Arial" w:cs="Arial"/>
          <w:bCs/>
          <w:i/>
          <w:iCs/>
          <w:color w:val="333333"/>
          <w:sz w:val="21"/>
          <w:szCs w:val="21"/>
        </w:rPr>
        <w:t>IEEE Transactions on Microwave Theory and Techniques,59</w:t>
      </w:r>
      <w:r w:rsidRPr="00840B4C">
        <w:rPr>
          <w:rFonts w:ascii="Arial" w:eastAsia="Times New Roman" w:hAnsi="Arial" w:cs="Arial"/>
          <w:bCs/>
          <w:color w:val="333333"/>
          <w:sz w:val="21"/>
          <w:szCs w:val="21"/>
        </w:rPr>
        <w:t>(10), 2633-2646. doi:10.1109/tmtt.2011.2160198</w:t>
      </w:r>
    </w:p>
    <w:p w:rsidR="00840B4C" w:rsidRPr="00840B4C" w:rsidRDefault="00840B4C" w:rsidP="00840B4C">
      <w:pPr>
        <w:shd w:val="clear" w:color="auto" w:fill="FFFFFF"/>
        <w:spacing w:after="0" w:line="240" w:lineRule="auto"/>
        <w:rPr>
          <w:rFonts w:ascii="Arial" w:eastAsia="Times New Roman" w:hAnsi="Arial" w:cs="Arial"/>
          <w:bCs/>
          <w:color w:val="333333"/>
          <w:sz w:val="21"/>
          <w:szCs w:val="21"/>
        </w:rPr>
      </w:pPr>
    </w:p>
    <w:p w:rsidR="00840B4C" w:rsidRPr="005A2FF8" w:rsidRDefault="00840B4C" w:rsidP="00840B4C">
      <w:pPr>
        <w:shd w:val="clear" w:color="auto" w:fill="FFFFFF"/>
        <w:spacing w:after="0" w:line="240" w:lineRule="auto"/>
        <w:rPr>
          <w:rFonts w:ascii="Arial" w:eastAsia="Times New Roman" w:hAnsi="Arial" w:cs="Arial"/>
          <w:bCs/>
          <w:color w:val="333333"/>
          <w:sz w:val="21"/>
          <w:szCs w:val="21"/>
        </w:rPr>
      </w:pPr>
      <w:proofErr w:type="spellStart"/>
      <w:r w:rsidRPr="00840B4C">
        <w:rPr>
          <w:rFonts w:ascii="Arial" w:eastAsia="Times New Roman" w:hAnsi="Arial" w:cs="Arial"/>
          <w:bCs/>
          <w:color w:val="333333"/>
          <w:sz w:val="21"/>
          <w:szCs w:val="21"/>
        </w:rPr>
        <w:t>Micheli</w:t>
      </w:r>
      <w:proofErr w:type="spellEnd"/>
      <w:r w:rsidRPr="00840B4C">
        <w:rPr>
          <w:rFonts w:ascii="Arial" w:eastAsia="Times New Roman" w:hAnsi="Arial" w:cs="Arial"/>
          <w:bCs/>
          <w:color w:val="333333"/>
          <w:sz w:val="21"/>
          <w:szCs w:val="21"/>
        </w:rPr>
        <w:t xml:space="preserve">, D., </w:t>
      </w:r>
      <w:proofErr w:type="spellStart"/>
      <w:r w:rsidRPr="00840B4C">
        <w:rPr>
          <w:rFonts w:ascii="Arial" w:eastAsia="Times New Roman" w:hAnsi="Arial" w:cs="Arial"/>
          <w:bCs/>
          <w:color w:val="333333"/>
          <w:sz w:val="21"/>
          <w:szCs w:val="21"/>
        </w:rPr>
        <w:t>Vricella</w:t>
      </w:r>
      <w:proofErr w:type="spellEnd"/>
      <w:r w:rsidRPr="00840B4C">
        <w:rPr>
          <w:rFonts w:ascii="Arial" w:eastAsia="Times New Roman" w:hAnsi="Arial" w:cs="Arial"/>
          <w:bCs/>
          <w:color w:val="333333"/>
          <w:sz w:val="21"/>
          <w:szCs w:val="21"/>
        </w:rPr>
        <w:t xml:space="preserve">, A., </w:t>
      </w:r>
      <w:proofErr w:type="spellStart"/>
      <w:r w:rsidRPr="00840B4C">
        <w:rPr>
          <w:rFonts w:ascii="Arial" w:eastAsia="Times New Roman" w:hAnsi="Arial" w:cs="Arial"/>
          <w:bCs/>
          <w:color w:val="333333"/>
          <w:sz w:val="21"/>
          <w:szCs w:val="21"/>
        </w:rPr>
        <w:t>Pastore</w:t>
      </w:r>
      <w:proofErr w:type="spellEnd"/>
      <w:r w:rsidRPr="00840B4C">
        <w:rPr>
          <w:rFonts w:ascii="Arial" w:eastAsia="Times New Roman" w:hAnsi="Arial" w:cs="Arial"/>
          <w:bCs/>
          <w:color w:val="333333"/>
          <w:sz w:val="21"/>
          <w:szCs w:val="21"/>
        </w:rPr>
        <w:t xml:space="preserve">, R., &amp; </w:t>
      </w:r>
      <w:proofErr w:type="spellStart"/>
      <w:r w:rsidRPr="00840B4C">
        <w:rPr>
          <w:rFonts w:ascii="Arial" w:eastAsia="Times New Roman" w:hAnsi="Arial" w:cs="Arial"/>
          <w:bCs/>
          <w:color w:val="333333"/>
          <w:sz w:val="21"/>
          <w:szCs w:val="21"/>
        </w:rPr>
        <w:t>Marchetti</w:t>
      </w:r>
      <w:proofErr w:type="spellEnd"/>
      <w:r w:rsidRPr="00840B4C">
        <w:rPr>
          <w:rFonts w:ascii="Arial" w:eastAsia="Times New Roman" w:hAnsi="Arial" w:cs="Arial"/>
          <w:bCs/>
          <w:color w:val="333333"/>
          <w:sz w:val="21"/>
          <w:szCs w:val="21"/>
        </w:rPr>
        <w:t xml:space="preserve">, M. (2014). Synthesis and electromagnetic characterization of frequency selective radar absorbing materials using carbon </w:t>
      </w:r>
      <w:proofErr w:type="spellStart"/>
      <w:r w:rsidRPr="00840B4C">
        <w:rPr>
          <w:rFonts w:ascii="Arial" w:eastAsia="Times New Roman" w:hAnsi="Arial" w:cs="Arial"/>
          <w:bCs/>
          <w:color w:val="333333"/>
          <w:sz w:val="21"/>
          <w:szCs w:val="21"/>
        </w:rPr>
        <w:t>nanopowders</w:t>
      </w:r>
      <w:proofErr w:type="spellEnd"/>
      <w:r w:rsidRPr="00840B4C">
        <w:rPr>
          <w:rFonts w:ascii="Arial" w:eastAsia="Times New Roman" w:hAnsi="Arial" w:cs="Arial"/>
          <w:bCs/>
          <w:color w:val="333333"/>
          <w:sz w:val="21"/>
          <w:szCs w:val="21"/>
        </w:rPr>
        <w:t>.</w:t>
      </w:r>
      <w:r w:rsidRPr="005A2FF8">
        <w:rPr>
          <w:rFonts w:ascii="Arial" w:eastAsia="Times New Roman" w:hAnsi="Arial" w:cs="Arial"/>
          <w:bCs/>
          <w:color w:val="333333"/>
          <w:sz w:val="21"/>
          <w:szCs w:val="21"/>
        </w:rPr>
        <w:t> </w:t>
      </w:r>
      <w:r w:rsidRPr="00840B4C">
        <w:rPr>
          <w:rFonts w:ascii="Arial" w:eastAsia="Times New Roman" w:hAnsi="Arial" w:cs="Arial"/>
          <w:bCs/>
          <w:i/>
          <w:iCs/>
          <w:color w:val="333333"/>
          <w:sz w:val="21"/>
          <w:szCs w:val="21"/>
        </w:rPr>
        <w:t>Carbon,77</w:t>
      </w:r>
      <w:r w:rsidRPr="00840B4C">
        <w:rPr>
          <w:rFonts w:ascii="Arial" w:eastAsia="Times New Roman" w:hAnsi="Arial" w:cs="Arial"/>
          <w:bCs/>
          <w:color w:val="333333"/>
          <w:sz w:val="21"/>
          <w:szCs w:val="21"/>
        </w:rPr>
        <w:t>, 756-774. doi:10.1016/j.carbon.2014.05.080</w:t>
      </w:r>
    </w:p>
    <w:p w:rsidR="00840B4C" w:rsidRPr="00840B4C" w:rsidRDefault="00840B4C" w:rsidP="00840B4C">
      <w:pPr>
        <w:shd w:val="clear" w:color="auto" w:fill="FFFFFF"/>
        <w:spacing w:after="0" w:line="240" w:lineRule="auto"/>
        <w:rPr>
          <w:rFonts w:ascii="Arial" w:eastAsia="Times New Roman" w:hAnsi="Arial" w:cs="Arial"/>
          <w:bCs/>
          <w:color w:val="333333"/>
          <w:sz w:val="21"/>
          <w:szCs w:val="21"/>
        </w:rPr>
      </w:pPr>
    </w:p>
    <w:p w:rsidR="00840B4C" w:rsidRPr="00840B4C" w:rsidRDefault="00840B4C" w:rsidP="00840B4C">
      <w:pPr>
        <w:shd w:val="clear" w:color="auto" w:fill="FFFFFF"/>
        <w:spacing w:after="0" w:line="240" w:lineRule="auto"/>
        <w:rPr>
          <w:rFonts w:ascii="Arial" w:eastAsia="Times New Roman" w:hAnsi="Arial" w:cs="Arial"/>
          <w:bCs/>
          <w:color w:val="333333"/>
          <w:sz w:val="21"/>
          <w:szCs w:val="21"/>
        </w:rPr>
      </w:pPr>
      <w:proofErr w:type="spellStart"/>
      <w:r w:rsidRPr="00840B4C">
        <w:rPr>
          <w:rFonts w:ascii="Arial" w:eastAsia="Times New Roman" w:hAnsi="Arial" w:cs="Arial"/>
          <w:bCs/>
          <w:color w:val="333333"/>
          <w:sz w:val="21"/>
          <w:szCs w:val="21"/>
        </w:rPr>
        <w:t>Weatherall</w:t>
      </w:r>
      <w:proofErr w:type="spellEnd"/>
      <w:r w:rsidRPr="00840B4C">
        <w:rPr>
          <w:rFonts w:ascii="Arial" w:eastAsia="Times New Roman" w:hAnsi="Arial" w:cs="Arial"/>
          <w:bCs/>
          <w:color w:val="333333"/>
          <w:sz w:val="21"/>
          <w:szCs w:val="21"/>
        </w:rPr>
        <w:t>, J. C., Barber, J., &amp; Smith, B. T. (2016). Spectral Signatures for Identifying Explosives With Wideband Millimeter-Wave Illumination.</w:t>
      </w:r>
      <w:r w:rsidRPr="005A2FF8">
        <w:rPr>
          <w:rFonts w:ascii="Arial" w:eastAsia="Times New Roman" w:hAnsi="Arial" w:cs="Arial"/>
          <w:bCs/>
          <w:color w:val="333333"/>
          <w:sz w:val="21"/>
          <w:szCs w:val="21"/>
        </w:rPr>
        <w:t> </w:t>
      </w:r>
      <w:r w:rsidRPr="00840B4C">
        <w:rPr>
          <w:rFonts w:ascii="Arial" w:eastAsia="Times New Roman" w:hAnsi="Arial" w:cs="Arial"/>
          <w:bCs/>
          <w:i/>
          <w:iCs/>
          <w:color w:val="333333"/>
          <w:sz w:val="21"/>
          <w:szCs w:val="21"/>
        </w:rPr>
        <w:t>IEEE Transactions on Microwave Theory and Techniques,</w:t>
      </w:r>
      <w:r w:rsidRPr="005A2FF8">
        <w:rPr>
          <w:rFonts w:ascii="Arial" w:eastAsia="Times New Roman" w:hAnsi="Arial" w:cs="Arial"/>
          <w:bCs/>
          <w:color w:val="333333"/>
          <w:sz w:val="21"/>
          <w:szCs w:val="21"/>
        </w:rPr>
        <w:t> </w:t>
      </w:r>
      <w:r w:rsidRPr="00840B4C">
        <w:rPr>
          <w:rFonts w:ascii="Arial" w:eastAsia="Times New Roman" w:hAnsi="Arial" w:cs="Arial"/>
          <w:bCs/>
          <w:color w:val="333333"/>
          <w:sz w:val="21"/>
          <w:szCs w:val="21"/>
        </w:rPr>
        <w:t>1-7. doi:10.1109/tmtt.2016.2518159</w:t>
      </w:r>
    </w:p>
    <w:p w:rsidR="005A2FF8" w:rsidRDefault="005A2FF8" w:rsidP="005A2FF8"/>
    <w:p w:rsidR="005A2FF8" w:rsidRPr="005A2FF8" w:rsidRDefault="005A2FF8" w:rsidP="005A2FF8">
      <w:r w:rsidRPr="005A2FF8">
        <w:rPr>
          <w:rFonts w:ascii="Arial" w:hAnsi="Arial" w:cs="Arial"/>
          <w:bCs/>
          <w:color w:val="333333"/>
          <w:sz w:val="21"/>
          <w:szCs w:val="21"/>
          <w:shd w:val="clear" w:color="auto" w:fill="FFFFFF"/>
        </w:rPr>
        <w:t>Http://ljournal.ru/wp-content/uploads/2016/08/d-2016-154.pdf. (2016). doi:10.18411/d-2016-154</w:t>
      </w:r>
    </w:p>
    <w:sectPr w:rsidR="005A2FF8" w:rsidRPr="005A2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0D2C"/>
    <w:multiLevelType w:val="hybridMultilevel"/>
    <w:tmpl w:val="7F740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DA7"/>
    <w:rsid w:val="0001177F"/>
    <w:rsid w:val="001D7AE9"/>
    <w:rsid w:val="00445967"/>
    <w:rsid w:val="005A2FF8"/>
    <w:rsid w:val="005A4AAE"/>
    <w:rsid w:val="00606773"/>
    <w:rsid w:val="006B3320"/>
    <w:rsid w:val="00840B4C"/>
    <w:rsid w:val="008B4DA7"/>
    <w:rsid w:val="009514E2"/>
    <w:rsid w:val="00A861E9"/>
    <w:rsid w:val="00AA0D9A"/>
    <w:rsid w:val="00CE3968"/>
    <w:rsid w:val="00D5395B"/>
    <w:rsid w:val="00F96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B08C"/>
  <w15:chartTrackingRefBased/>
  <w15:docId w15:val="{65880F8C-E50A-4836-8367-93CF8CD6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DA7"/>
    <w:pPr>
      <w:ind w:left="720"/>
      <w:contextualSpacing/>
    </w:pPr>
  </w:style>
  <w:style w:type="character" w:styleId="Hyperlink">
    <w:name w:val="Hyperlink"/>
    <w:basedOn w:val="DefaultParagraphFont"/>
    <w:uiPriority w:val="99"/>
    <w:semiHidden/>
    <w:unhideWhenUsed/>
    <w:rsid w:val="00606773"/>
    <w:rPr>
      <w:color w:val="0563C1" w:themeColor="hyperlink"/>
      <w:u w:val="single"/>
    </w:rPr>
  </w:style>
  <w:style w:type="character" w:customStyle="1" w:styleId="apple-converted-space">
    <w:name w:val="apple-converted-space"/>
    <w:basedOn w:val="DefaultParagraphFont"/>
    <w:rsid w:val="00840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193975">
      <w:bodyDiv w:val="1"/>
      <w:marLeft w:val="0"/>
      <w:marRight w:val="0"/>
      <w:marTop w:val="0"/>
      <w:marBottom w:val="0"/>
      <w:divBdr>
        <w:top w:val="none" w:sz="0" w:space="0" w:color="auto"/>
        <w:left w:val="none" w:sz="0" w:space="0" w:color="auto"/>
        <w:bottom w:val="none" w:sz="0" w:space="0" w:color="auto"/>
        <w:right w:val="none" w:sz="0" w:space="0" w:color="auto"/>
      </w:divBdr>
      <w:divsChild>
        <w:div w:id="1268005675">
          <w:marLeft w:val="0"/>
          <w:marRight w:val="0"/>
          <w:marTop w:val="0"/>
          <w:marBottom w:val="0"/>
          <w:divBdr>
            <w:top w:val="none" w:sz="0" w:space="0" w:color="auto"/>
            <w:left w:val="none" w:sz="0" w:space="0" w:color="auto"/>
            <w:bottom w:val="none" w:sz="0" w:space="0" w:color="auto"/>
            <w:right w:val="none" w:sz="0" w:space="0" w:color="auto"/>
          </w:divBdr>
        </w:div>
        <w:div w:id="1994479585">
          <w:marLeft w:val="0"/>
          <w:marRight w:val="0"/>
          <w:marTop w:val="0"/>
          <w:marBottom w:val="0"/>
          <w:divBdr>
            <w:top w:val="none" w:sz="0" w:space="0" w:color="auto"/>
            <w:left w:val="none" w:sz="0" w:space="0" w:color="auto"/>
            <w:bottom w:val="none" w:sz="0" w:space="0" w:color="auto"/>
            <w:right w:val="none" w:sz="0" w:space="0" w:color="auto"/>
          </w:divBdr>
        </w:div>
        <w:div w:id="1777795611">
          <w:marLeft w:val="0"/>
          <w:marRight w:val="0"/>
          <w:marTop w:val="0"/>
          <w:marBottom w:val="0"/>
          <w:divBdr>
            <w:top w:val="none" w:sz="0" w:space="0" w:color="auto"/>
            <w:left w:val="none" w:sz="0" w:space="0" w:color="auto"/>
            <w:bottom w:val="none" w:sz="0" w:space="0" w:color="auto"/>
            <w:right w:val="none" w:sz="0" w:space="0" w:color="auto"/>
          </w:divBdr>
        </w:div>
        <w:div w:id="1340767138">
          <w:marLeft w:val="0"/>
          <w:marRight w:val="0"/>
          <w:marTop w:val="0"/>
          <w:marBottom w:val="0"/>
          <w:divBdr>
            <w:top w:val="none" w:sz="0" w:space="0" w:color="auto"/>
            <w:left w:val="none" w:sz="0" w:space="0" w:color="auto"/>
            <w:bottom w:val="none" w:sz="0" w:space="0" w:color="auto"/>
            <w:right w:val="none" w:sz="0" w:space="0" w:color="auto"/>
          </w:divBdr>
        </w:div>
        <w:div w:id="569924413">
          <w:marLeft w:val="0"/>
          <w:marRight w:val="0"/>
          <w:marTop w:val="0"/>
          <w:marBottom w:val="0"/>
          <w:divBdr>
            <w:top w:val="none" w:sz="0" w:space="0" w:color="auto"/>
            <w:left w:val="none" w:sz="0" w:space="0" w:color="auto"/>
            <w:bottom w:val="none" w:sz="0" w:space="0" w:color="auto"/>
            <w:right w:val="none" w:sz="0" w:space="0" w:color="auto"/>
          </w:divBdr>
        </w:div>
      </w:divsChild>
    </w:div>
    <w:div w:id="1249458301">
      <w:bodyDiv w:val="1"/>
      <w:marLeft w:val="0"/>
      <w:marRight w:val="0"/>
      <w:marTop w:val="0"/>
      <w:marBottom w:val="0"/>
      <w:divBdr>
        <w:top w:val="none" w:sz="0" w:space="0" w:color="auto"/>
        <w:left w:val="none" w:sz="0" w:space="0" w:color="auto"/>
        <w:bottom w:val="none" w:sz="0" w:space="0" w:color="auto"/>
        <w:right w:val="none" w:sz="0" w:space="0" w:color="auto"/>
      </w:divBdr>
    </w:div>
    <w:div w:id="214376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hwarzbeck.de/Datenblatt/k917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Brown</dc:creator>
  <cp:keywords/>
  <dc:description/>
  <cp:lastModifiedBy>Jeff Brown</cp:lastModifiedBy>
  <cp:revision>2</cp:revision>
  <dcterms:created xsi:type="dcterms:W3CDTF">2017-02-05T15:27:00Z</dcterms:created>
  <dcterms:modified xsi:type="dcterms:W3CDTF">2017-02-05T15:27:00Z</dcterms:modified>
</cp:coreProperties>
</file>