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16E8C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Title</w:t>
      </w:r>
    </w:p>
    <w:p w14:paraId="472A9DAB" w14:textId="77777777" w:rsidR="00B05016" w:rsidRPr="00B05016" w:rsidRDefault="00B05016" w:rsidP="00B05016">
      <w:r w:rsidRPr="00B05016">
        <w:t>Proposed title: Longitudinal trajectories of segmental bioimpedance and cognitive conversion in older adults: evidence from the Chosun cohort.​</w:t>
      </w:r>
    </w:p>
    <w:p w14:paraId="48EF746C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Rationale</w:t>
      </w:r>
    </w:p>
    <w:p w14:paraId="25524221" w14:textId="77777777" w:rsidR="00B05016" w:rsidRPr="00B05016" w:rsidRDefault="00B05016" w:rsidP="00B05016">
      <w:r w:rsidRPr="00B05016">
        <w:t>Previous cross-sectional work in the same research stream found lower-extremity impedance features (lower R/Xc/PA and higher ECW/ICW and water-in-lean) associated with MCI and AD, particularly in women, motivating a longitudinal trajectory test in converters versus non-converters.​</w:t>
      </w:r>
      <w:r w:rsidRPr="00B05016">
        <w:br/>
        <w:t>Extending to two time points enables estimation of change rates and time×group interactions, which are crucial to evaluate whether segmental bioimpedance declines differ in CN→MCI compared with Stable CN.​</w:t>
      </w:r>
    </w:p>
    <w:p w14:paraId="5FBFBF3B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Objectives</w:t>
      </w:r>
    </w:p>
    <w:p w14:paraId="5A183311" w14:textId="77777777" w:rsidR="00B05016" w:rsidRPr="00B05016" w:rsidRDefault="00B05016" w:rsidP="00B05016">
      <w:pPr>
        <w:numPr>
          <w:ilvl w:val="0"/>
          <w:numId w:val="30"/>
        </w:numPr>
      </w:pPr>
      <w:r w:rsidRPr="00B05016">
        <w:t>Primary: Test whether segmental bioimpedance trajectories differ between Stable CN and CN→MCI, focusing on lower-extremity R, Xc, PA, ECW/ICW, and Water_Lean over elapsed years.​</w:t>
      </w:r>
    </w:p>
    <w:p w14:paraId="6D6BFDF2" w14:textId="77777777" w:rsidR="00B05016" w:rsidRPr="00B05016" w:rsidRDefault="00B05016" w:rsidP="00B05016">
      <w:pPr>
        <w:numPr>
          <w:ilvl w:val="0"/>
          <w:numId w:val="30"/>
        </w:numPr>
      </w:pPr>
      <w:r w:rsidRPr="00B05016">
        <w:t>Secondary: Describe baseline demographic, anthropometric, and segmental bioimpedance differences by group; examine associations of bioimpedance with K-MMSE and SNSB domains at baseline; and explore sex-specific effects.​</w:t>
      </w:r>
    </w:p>
    <w:p w14:paraId="62FA26E5" w14:textId="77777777" w:rsidR="00B05016" w:rsidRPr="00B05016" w:rsidRDefault="00B05016" w:rsidP="00B05016">
      <w:pPr>
        <w:numPr>
          <w:ilvl w:val="0"/>
          <w:numId w:val="30"/>
        </w:numPr>
      </w:pPr>
      <w:r w:rsidRPr="00B05016">
        <w:t>Exploratory: Evaluate predictive utility of baseline bioimpedance for conversion status and assess normalization strategies (e.g., height-based impedance index) for size-related confounding in sensitivity analyses.​</w:t>
      </w:r>
    </w:p>
    <w:p w14:paraId="31B3144E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Design</w:t>
      </w:r>
    </w:p>
    <w:p w14:paraId="3E1ECA81" w14:textId="77777777" w:rsidR="00B05016" w:rsidRPr="00B05016" w:rsidRDefault="00B05016" w:rsidP="00B05016">
      <w:r w:rsidRPr="00B05016">
        <w:t>Longitudinal observational cohort using two time points per participant (first and last available exam) from the Chosun dataset with follow-up spanning approximately 1–5 years, operationalized via elapsed or examination_count fields.​</w:t>
      </w:r>
      <w:r w:rsidRPr="00B05016">
        <w:br/>
        <w:t>Group classification uses all available follow-up to assign Stable CN (CN→CN) or CN→MCI, while baseline descriptive tables use only each participant’s first examination to avoid time-mixing in Phase 2.​</w:t>
      </w:r>
    </w:p>
    <w:p w14:paraId="3E4B8C5B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Participants</w:t>
      </w:r>
    </w:p>
    <w:p w14:paraId="73546290" w14:textId="77777777" w:rsidR="00B05016" w:rsidRPr="00B05016" w:rsidRDefault="00B05016" w:rsidP="00B05016">
      <w:r w:rsidRPr="00B05016">
        <w:t>Inclusion: age ≥ 55 years, baseline cognitive status CN, and availability of both baseline and follow-up visits with complete segmental BIA and core covariates where feasible based on your columns (age, SEX, EDUYR, gds, K-MMSE, SNSB).​</w:t>
      </w:r>
      <w:r w:rsidRPr="00B05016">
        <w:br/>
        <w:t>Exclusion: measurement errors flagged in prior pipelines (e.g., impedance consistency checks), non-plausible outliers detected via scripted criteria, and records with unresolved missingness for primary variables after defined imputation strategy.​</w:t>
      </w:r>
    </w:p>
    <w:p w14:paraId="0756108C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Grouping and Time</w:t>
      </w:r>
    </w:p>
    <w:p w14:paraId="0BC5836F" w14:textId="77777777" w:rsidR="00B05016" w:rsidRPr="00B05016" w:rsidRDefault="00B05016" w:rsidP="00B05016">
      <w:r w:rsidRPr="00B05016">
        <w:lastRenderedPageBreak/>
        <w:t>Groups derive from Group and COGNITIVESTAT/COGNITIVESTAT-like fields and longitudinal transitions (e.g., CN at baseline to MCI at follow-up), supported by transitstatus and elapsed/examination_count.​</w:t>
      </w:r>
      <w:r w:rsidRPr="00B05016">
        <w:br/>
        <w:t>Time is modeled as elapsed years from baseline using elapsed or reconstructed from dates, with trajectories estimated per participant across the two visits.​</w:t>
      </w:r>
    </w:p>
    <w:p w14:paraId="334FF21F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Data sources</w:t>
      </w:r>
    </w:p>
    <w:p w14:paraId="1D085CF7" w14:textId="77777777" w:rsidR="00B05016" w:rsidRPr="00B05016" w:rsidRDefault="00B05016" w:rsidP="00B05016">
      <w:r w:rsidRPr="00B05016">
        <w:t>Primary analytic file: Longitudinal_BIA_StableNCvsProgressiveNC.csv with identifiers (USUBJID/k_no), time fields (datetest, year, examination_count, elapsed), demographics, cognition, anthropometry, composition, segmental impedance, and medications.​</w:t>
      </w:r>
      <w:r w:rsidRPr="00B05016">
        <w:br/>
        <w:t>Variable naming harmonization will reference Dieu Ni’s R script conventions for segmental derivations and composite measures to ensure consistency with prior lab outputs.​</w:t>
      </w:r>
    </w:p>
    <w:p w14:paraId="64E33111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Variables</w:t>
      </w:r>
    </w:p>
    <w:p w14:paraId="7ADE41FF" w14:textId="77777777" w:rsidR="00B05016" w:rsidRPr="00B05016" w:rsidRDefault="00B05016" w:rsidP="00B05016">
      <w:pPr>
        <w:numPr>
          <w:ilvl w:val="0"/>
          <w:numId w:val="31"/>
        </w:numPr>
      </w:pPr>
      <w:r w:rsidRPr="00B05016">
        <w:t>Primary bioimpedance predictors: R_lower, Xc_lower, PA_lower, ECW_ICW_lower, Water_Lean_lower; parallel upper-extremity measures (R_upper, Xc_upper, PA_upper, ECW_ICW_upper, Water_Lean_upper) for comparison and specificity.​</w:t>
      </w:r>
    </w:p>
    <w:p w14:paraId="3B96D843" w14:textId="77777777" w:rsidR="00B05016" w:rsidRPr="00B05016" w:rsidRDefault="00B05016" w:rsidP="00B05016">
      <w:pPr>
        <w:numPr>
          <w:ilvl w:val="0"/>
          <w:numId w:val="31"/>
        </w:numPr>
      </w:pPr>
      <w:r w:rsidRPr="00B05016">
        <w:t>Whole-body composition and ratios: height, weight, BMI, WHR (whr), PBCM (pbcm), PBF (pbf), BMR (bmr), ECW/TCW (ecw_tcw), TBW/FFM (tbw_ffm) to contextualize hydration and body composition.​</w:t>
      </w:r>
    </w:p>
    <w:p w14:paraId="24F3494D" w14:textId="77777777" w:rsidR="00B05016" w:rsidRPr="00B05016" w:rsidRDefault="00B05016" w:rsidP="00B05016">
      <w:pPr>
        <w:numPr>
          <w:ilvl w:val="0"/>
          <w:numId w:val="31"/>
        </w:numPr>
      </w:pPr>
      <w:r w:rsidRPr="00B05016">
        <w:t>Cognition: K-MMSE (MMSE) and SNSB domains (snsbattention, snsblanguage, snsbvisuospatial, snsbmemory, snsbfrontal) for baseline context and exploratory links with bioimpedance.​</w:t>
      </w:r>
    </w:p>
    <w:p w14:paraId="244FC2FA" w14:textId="77777777" w:rsidR="00B05016" w:rsidRPr="00B05016" w:rsidRDefault="00B05016" w:rsidP="00B05016">
      <w:pPr>
        <w:numPr>
          <w:ilvl w:val="0"/>
          <w:numId w:val="31"/>
        </w:numPr>
      </w:pPr>
      <w:r w:rsidRPr="00B05016">
        <w:t>Covariates: age, SEX, EDUYR, GDS, blood pressure, and medication indicators (antihypertensive, diabetes, antihyperlipidemic, heart, kidney) given fluid/metabolic relevance to impedance.​</w:t>
      </w:r>
    </w:p>
    <w:p w14:paraId="22F7A68C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Derived metrics and computation</w:t>
      </w:r>
    </w:p>
    <w:p w14:paraId="11BD0568" w14:textId="369B8CC7" w:rsidR="00B05016" w:rsidRPr="00B05016" w:rsidRDefault="00B05016" w:rsidP="00B05016">
      <w:r w:rsidRPr="00B05016">
        <w:t>Phase angle per segment follows </w:t>
      </w:r>
      <m:oMath>
        <m:r>
          <m:rPr>
            <m:nor/>
          </m:rPr>
          <m:t>PA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⁡(</m:t>
        </m:r>
        <m:r>
          <m:rPr>
            <m:nor/>
          </m:rPr>
          <m:t>Xc</m:t>
        </m:r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R</m:t>
        </m:r>
        <m:r>
          <w:rPr>
            <w:rFonts w:ascii="Cambria Math" w:hAnsi="Cambria Math"/>
          </w:rPr>
          <m:t>)×180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π</m:t>
        </m:r>
      </m:oMath>
      <w:r w:rsidRPr="00B05016">
        <w:t>, consistent with Dieu Ni’s use of R and Xc at 50 kHz with PA averages across limbs for segment aggregates.​</w:t>
      </w:r>
      <w:r w:rsidRPr="00B05016">
        <w:br/>
        <w:t>ECW/ICW is computed as </w:t>
      </w:r>
      <m:oMath>
        <m:r>
          <m:rPr>
            <m:nor/>
          </m:rPr>
          <m:t>ECW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(1-</m:t>
        </m:r>
        <m:r>
          <m:rPr>
            <m:nor/>
          </m:rPr>
          <m:t>ECW</m:t>
        </m:r>
        <m:r>
          <w:rPr>
            <w:rFonts w:ascii="Cambria Math" w:hAnsi="Cambria Math"/>
          </w:rPr>
          <m:t>)</m:t>
        </m:r>
      </m:oMath>
      <w:r w:rsidRPr="00B05016">
        <w:t> when ECW/TBW is available, and Water_Lean_upper/lower is defined as the ratio of segmental water to segmental lean as in the original pipeline.​</w:t>
      </w:r>
    </w:p>
    <w:p w14:paraId="1B851145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Data preprocessing and quality control</w:t>
      </w:r>
    </w:p>
    <w:p w14:paraId="5AF4372B" w14:textId="77777777" w:rsidR="00B05016" w:rsidRPr="00B05016" w:rsidRDefault="00B05016" w:rsidP="00B05016">
      <w:r w:rsidRPr="00B05016">
        <w:t>Follow Dieu Ni’s multi-step QC: impedance monotonicity checks across frequencies, derived R from Z and Xc, exclusion lists for measurement anomalies, and age filters, adapted to the current two-visit longitudinal structure.​</w:t>
      </w:r>
      <w:r w:rsidRPr="00B05016">
        <w:br/>
      </w:r>
      <w:r w:rsidRPr="00B05016">
        <w:lastRenderedPageBreak/>
        <w:t>Standardize continuous variables for modeling convenience where appropriate (scale) and retain raw-unit reporting in tables and figures for clinical interpretability.​</w:t>
      </w:r>
    </w:p>
    <w:p w14:paraId="65F541D0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Missing data</w:t>
      </w:r>
    </w:p>
    <w:p w14:paraId="0CEAB690" w14:textId="77777777" w:rsidR="00B05016" w:rsidRPr="00B05016" w:rsidRDefault="00B05016" w:rsidP="00B05016">
      <w:r w:rsidRPr="00B05016">
        <w:t>For cognitive test components with limited missingness, apply predictive mean matching via mice within cognitive strata as implemented in the prior script, documenting imputed fields and conducting complete-case sensitivity analyses in the longitudinal models.​</w:t>
      </w:r>
      <w:r w:rsidRPr="00B05016">
        <w:br/>
        <w:t>For bioimpedance or key covariates, prefer complete-case for primary analyses with sensitivity imputation if missingness is minimal and plausibly at random, reflecting the prior workflow choices.​</w:t>
      </w:r>
    </w:p>
    <w:p w14:paraId="236A584E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Descriptive statistics</w:t>
      </w:r>
    </w:p>
    <w:p w14:paraId="41CA5F55" w14:textId="77777777" w:rsidR="00B05016" w:rsidRPr="00B05016" w:rsidRDefault="00B05016" w:rsidP="00B05016">
      <w:pPr>
        <w:numPr>
          <w:ilvl w:val="0"/>
          <w:numId w:val="32"/>
        </w:numPr>
      </w:pPr>
      <w:r w:rsidRPr="00B05016">
        <w:t>Table 1 (baseline): age, SEX, EDUYR, GDS, visit_count summary, K-MMSE, and SNSB domains by group using mean (SD)/median (IQR), chi-square/Fisher’s for categorical, and Welch/Mann–Whitney as needed, reported with exact p-values and standardized mean differences.​</w:t>
      </w:r>
    </w:p>
    <w:p w14:paraId="0BB82629" w14:textId="77777777" w:rsidR="00B05016" w:rsidRPr="00B05016" w:rsidRDefault="00B05016" w:rsidP="00B05016">
      <w:pPr>
        <w:numPr>
          <w:ilvl w:val="0"/>
          <w:numId w:val="32"/>
        </w:numPr>
      </w:pPr>
      <w:r w:rsidRPr="00B05016">
        <w:t>Table 2 (baseline): anthropometry and whole-body composition (height, weight, BMI, whr, pbcm, pbf, bmr, ecw_tcw, tbw_ffm) by group with the same statistical conventions and device/ratio footnotes.​</w:t>
      </w:r>
    </w:p>
    <w:p w14:paraId="329CA40C" w14:textId="77777777" w:rsidR="00B05016" w:rsidRPr="00B05016" w:rsidRDefault="00B05016" w:rsidP="00B05016">
      <w:pPr>
        <w:numPr>
          <w:ilvl w:val="0"/>
          <w:numId w:val="32"/>
        </w:numPr>
      </w:pPr>
      <w:r w:rsidRPr="00B05016">
        <w:t>Table 3 (baseline): segmental variables (ECW_ICW_upper/lower, Water_Lean_upper/lower, R_upper/lower, Xc_upper/lower, PA_upper/lower) highlighting lower-extremity measures and including units (Ω for R/Xc, degrees for PA).​</w:t>
      </w:r>
    </w:p>
    <w:p w14:paraId="3E4E4031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Primary longitudinal analysis</w:t>
      </w:r>
    </w:p>
    <w:p w14:paraId="5B017DDA" w14:textId="47438E6B" w:rsidR="00B05016" w:rsidRPr="00B05016" w:rsidRDefault="00B05016" w:rsidP="00B05016">
      <w:r w:rsidRPr="00B05016">
        <w:t>Fit linear mixed-effects models with random intercepts and slopes per participant: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elapsed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Group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elapsed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Group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Age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Sex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Education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elapsed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Pr="00B05016">
        <w:t>, with </w:t>
      </w:r>
      <m:oMath>
        <m:r>
          <w:rPr>
            <w:rFonts w:ascii="Cambria Math" w:hAnsi="Cambria Math"/>
          </w:rPr>
          <m:t>Y</m:t>
        </m:r>
      </m:oMath>
      <w:r w:rsidRPr="00B05016">
        <w:t> as each prioritized bioimpedance variable.​</w:t>
      </w:r>
      <w:r w:rsidRPr="00B05016">
        <w:br/>
        <w:t>The primary estimand is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B05016">
        <w:t> (time×group) to test differential trajectories between CN→MCI and Stable CN, with fixed-effect estimates, 95% CIs, and multiplicity control using FDR across families of BIA outcomes.​</w:t>
      </w:r>
    </w:p>
    <w:p w14:paraId="6345FD2B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Secondary and exploratory analyses</w:t>
      </w:r>
    </w:p>
    <w:p w14:paraId="0F0E46D2" w14:textId="04CD8763" w:rsidR="00B05016" w:rsidRPr="00B05016" w:rsidRDefault="00B05016" w:rsidP="00B05016">
      <w:pPr>
        <w:numPr>
          <w:ilvl w:val="0"/>
          <w:numId w:val="33"/>
        </w:numPr>
      </w:pPr>
      <w:r w:rsidRPr="00B05016">
        <w:t>Cognitive outcomes: Replace </w:t>
      </w:r>
      <m:oMath>
        <m:r>
          <w:rPr>
            <w:rFonts w:ascii="Cambria Math" w:hAnsi="Cambria Math"/>
          </w:rPr>
          <m:t>Y</m:t>
        </m:r>
      </m:oMath>
      <w:r w:rsidRPr="00B05016">
        <w:t> with K-MMSE and SNSB domains to explore whether trajectories differ by group and whether bioimpedance predictors improve model fit in adjusted/mediated frameworks.​</w:t>
      </w:r>
    </w:p>
    <w:p w14:paraId="31BFA4DB" w14:textId="77777777" w:rsidR="00B05016" w:rsidRPr="00B05016" w:rsidRDefault="00B05016" w:rsidP="00B05016">
      <w:pPr>
        <w:numPr>
          <w:ilvl w:val="0"/>
          <w:numId w:val="33"/>
        </w:numPr>
      </w:pPr>
      <w:r w:rsidRPr="00B05016">
        <w:t>Predictive models: Evaluate whether baseline lower-extremity R/Xc/PA or ECW/ICW discriminates converters using logistic models with internal validation as a secondary deliverable, mindful of two-visit constraints.​</w:t>
      </w:r>
    </w:p>
    <w:p w14:paraId="202432BD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lastRenderedPageBreak/>
        <w:t>Sensitivity analyses</w:t>
      </w:r>
    </w:p>
    <w:p w14:paraId="27BB3396" w14:textId="77777777" w:rsidR="00B05016" w:rsidRPr="00B05016" w:rsidRDefault="00B05016" w:rsidP="00B05016">
      <w:pPr>
        <w:numPr>
          <w:ilvl w:val="0"/>
          <w:numId w:val="34"/>
        </w:numPr>
      </w:pPr>
      <w:r w:rsidRPr="00B05016">
        <w:t>Sex stratification: Refit LME within sex strata and test sex×time×group interactions given prior female-predominant effects in lower extremities.​</w:t>
      </w:r>
    </w:p>
    <w:p w14:paraId="53B6BA70" w14:textId="1507FA8B" w:rsidR="00B05016" w:rsidRPr="00B05016" w:rsidRDefault="00B05016" w:rsidP="00B05016">
      <w:pPr>
        <w:numPr>
          <w:ilvl w:val="0"/>
          <w:numId w:val="34"/>
        </w:numPr>
      </w:pPr>
      <w:r w:rsidRPr="00B05016">
        <w:t>Body-size normalization: Add height-based impedance index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B05016">
        <w:t> for segments when feasible and compare in parallel models to assess robustness of trajectory differences to size confounding.​</w:t>
      </w:r>
    </w:p>
    <w:p w14:paraId="241B3654" w14:textId="77777777" w:rsidR="00B05016" w:rsidRPr="00B05016" w:rsidRDefault="00B05016" w:rsidP="00B05016">
      <w:pPr>
        <w:numPr>
          <w:ilvl w:val="0"/>
          <w:numId w:val="34"/>
        </w:numPr>
      </w:pPr>
      <w:r w:rsidRPr="00B05016">
        <w:t>Outlier and imputation sensitivity: Repeat models excluding extreme impedance outliers per prior QC and compare complete-case versus imputed cognitive covariates.​</w:t>
      </w:r>
    </w:p>
    <w:p w14:paraId="42FFED9C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Visualization</w:t>
      </w:r>
    </w:p>
    <w:p w14:paraId="6F4B633E" w14:textId="77777777" w:rsidR="00B05016" w:rsidRPr="00B05016" w:rsidRDefault="00B05016" w:rsidP="00B05016">
      <w:r w:rsidRPr="00B05016">
        <w:t>Produce group-wise trajectory plots (spaghetti with marginal means and 95% CI ribbons) for each primary segmental variable, baseline raincloud/violin plots for Table 3 variables, and forest plots of fixed effects emphasizing the time×group term.​</w:t>
      </w:r>
      <w:r w:rsidRPr="00B05016">
        <w:br/>
        <w:t>Ensure axis units mirror device outputs and annotate figures with sample sizes at each time, matching the prior lab presentation style for continuity.​</w:t>
      </w:r>
    </w:p>
    <w:p w14:paraId="3A2B3F1B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Reporting tables and figures</w:t>
      </w:r>
    </w:p>
    <w:p w14:paraId="2820B2C5" w14:textId="77777777" w:rsidR="00B05016" w:rsidRPr="00B05016" w:rsidRDefault="00B05016" w:rsidP="00B05016">
      <w:pPr>
        <w:numPr>
          <w:ilvl w:val="0"/>
          <w:numId w:val="35"/>
        </w:numPr>
      </w:pPr>
      <w:r w:rsidRPr="00B05016">
        <w:t>Main tables: baseline Tables 1–3; mixed-effects results for primary segmental variables with effect sizes, CIs, and FDR-adjusted p-values; and an optional table of cognitive trajectory models.​</w:t>
      </w:r>
    </w:p>
    <w:p w14:paraId="0976FFBE" w14:textId="77777777" w:rsidR="00B05016" w:rsidRPr="00B05016" w:rsidRDefault="00B05016" w:rsidP="00B05016">
      <w:pPr>
        <w:numPr>
          <w:ilvl w:val="0"/>
          <w:numId w:val="35"/>
        </w:numPr>
      </w:pPr>
      <w:r w:rsidRPr="00B05016">
        <w:t>Main figures: trajectory panels for lower-extremity variables, baseline distribution plots, and an exploratory correlation heatmap between baseline BIA and cognitive domains in supplements.​</w:t>
      </w:r>
    </w:p>
    <w:p w14:paraId="353DDD23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Reproducibility and code</w:t>
      </w:r>
    </w:p>
    <w:p w14:paraId="21595BA3" w14:textId="77777777" w:rsidR="00B05016" w:rsidRPr="00B05016" w:rsidRDefault="00B05016" w:rsidP="00B05016">
      <w:r w:rsidRPr="00B05016">
        <w:t>Workflow will be implemented in R with lme4/afex or equivalent for mixed models, mice for imputation, gtsummary/flextable for tables, and ggplot2 for graphics, following Dieu Ni’s package ecosystem and coding conventions where applicable.​</w:t>
      </w:r>
      <w:r w:rsidRPr="00B05016">
        <w:br/>
        <w:t>All variable derivations (PA, ECW/ICW, Water_Lean, segmental averages) will be scripted with unit tests against a small validation subset to align with established transformations in the lab’s prior pipeline.​</w:t>
      </w:r>
    </w:p>
    <w:p w14:paraId="7C1D4079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Ethics and data governance</w:t>
      </w:r>
    </w:p>
    <w:p w14:paraId="093F4E02" w14:textId="77777777" w:rsidR="00B05016" w:rsidRPr="00B05016" w:rsidRDefault="00B05016" w:rsidP="00B05016">
      <w:r w:rsidRPr="00B05016">
        <w:t>Analyses use de-identified cohort data with longitudinal linkage via USUBJID/k_no, and all procedures conform to local IRB/ethics approvals applicable to the original Chosun cohort and this secondary analysis plan.​</w:t>
      </w:r>
      <w:r w:rsidRPr="00B05016">
        <w:br/>
        <w:t>Data access, versioning, and analytic logs will be maintained to ensure auditability of inclusion criteria, exclusions, imputations, and model specifications.​</w:t>
      </w:r>
    </w:p>
    <w:p w14:paraId="5CA05381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Anticipated limitations</w:t>
      </w:r>
    </w:p>
    <w:p w14:paraId="0DB05F39" w14:textId="77777777" w:rsidR="00B05016" w:rsidRPr="00B05016" w:rsidRDefault="00B05016" w:rsidP="00B05016">
      <w:r w:rsidRPr="00B05016">
        <w:lastRenderedPageBreak/>
        <w:t>Two-visit design limits nonlinearity detection, so inference focuses on average linear change and group differences in slope rather than detailed curvature of trajectories.​</w:t>
      </w:r>
      <w:r w:rsidRPr="00B05016">
        <w:br/>
        <w:t>Potential residual confounding by unmeasured comorbidities or hydration states remains, addressed partially through medication covariates, sensitivity analyses, and normalization strategies.​</w:t>
      </w:r>
    </w:p>
    <w:p w14:paraId="4241BBA3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Milestones</w:t>
      </w:r>
    </w:p>
    <w:p w14:paraId="6EC84350" w14:textId="77777777" w:rsidR="00B05016" w:rsidRPr="00B05016" w:rsidRDefault="00B05016" w:rsidP="00B05016">
      <w:pPr>
        <w:numPr>
          <w:ilvl w:val="0"/>
          <w:numId w:val="36"/>
        </w:numPr>
      </w:pPr>
      <w:r w:rsidRPr="00B05016">
        <w:t>Data freeze and baseline tables finalization; QC confirmation of derived segmental indices; and pre-registration of primary/secondary outcomes.​</w:t>
      </w:r>
    </w:p>
    <w:p w14:paraId="13CB51DF" w14:textId="77777777" w:rsidR="00B05016" w:rsidRPr="00B05016" w:rsidRDefault="00B05016" w:rsidP="00B05016">
      <w:pPr>
        <w:numPr>
          <w:ilvl w:val="0"/>
          <w:numId w:val="36"/>
        </w:numPr>
      </w:pPr>
      <w:r w:rsidRPr="00B05016">
        <w:t>Primary LME estimation, sensitivity analyses, figure generation, and manuscript-ready tables with embedded footnotes on computation and devices.​</w:t>
      </w:r>
    </w:p>
    <w:p w14:paraId="7A108A96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Appendix: Variable mapping</w:t>
      </w:r>
    </w:p>
    <w:p w14:paraId="67A18DA2" w14:textId="77777777" w:rsidR="00B05016" w:rsidRPr="00B05016" w:rsidRDefault="00B05016" w:rsidP="00B05016">
      <w:r w:rsidRPr="00B05016">
        <w:t>Lower-extremity set: R_lower, Xc_lower, PA_lower, ECW_ICW_lower, Water_Lean_lower; Upper-extremity parallels: R_upper, Xc_upper, PA_upper, ECW_ICW_upper, Water_Lean_upper, all derivable from your CSV columns per Dieu Ni’s transformations.​</w:t>
      </w:r>
      <w:r w:rsidRPr="00B05016">
        <w:br/>
        <w:t>Baseline covariates and cognition map to age, SEX, EDUYR, gds, MMSE, and SNSB domain columns in your CSV to ensure table reproducibility and model adjustment.​</w:t>
      </w:r>
    </w:p>
    <w:p w14:paraId="3BC3647B" w14:textId="77777777" w:rsidR="00B05016" w:rsidRPr="00B05016" w:rsidRDefault="00B05016" w:rsidP="00B05016">
      <w:pPr>
        <w:rPr>
          <w:b/>
          <w:bCs/>
        </w:rPr>
      </w:pPr>
      <w:r w:rsidRPr="00B05016">
        <w:rPr>
          <w:b/>
          <w:bCs/>
        </w:rPr>
        <w:t>Statistical model template</w:t>
      </w:r>
    </w:p>
    <w:p w14:paraId="51F29A59" w14:textId="77777777" w:rsidR="00B05016" w:rsidRPr="00B05016" w:rsidRDefault="00B05016" w:rsidP="00B05016">
      <w:r w:rsidRPr="00B05016">
        <w:t>Primary mixed-effects specification in R: lmer(BIA_var ~ elapsed*Group + age + SEX + EDUYR + (elapsed | USUBJID), data, REML=TRUE), with parallel models for each prioritized segmental variable and FDR across outcomes ​.</w:t>
      </w:r>
      <w:r w:rsidRPr="00B05016">
        <w:br/>
        <w:t>Report marginal/conditional R², fixed-effect estimates, and interaction term interpretation as the key indicator of differential progression in converters versus non-converters.</w:t>
      </w:r>
    </w:p>
    <w:p w14:paraId="18030159" w14:textId="77777777" w:rsidR="00310502" w:rsidRPr="00B05016" w:rsidRDefault="00310502" w:rsidP="00B05016"/>
    <w:sectPr w:rsidR="00310502" w:rsidRPr="00B050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1843"/>
    <w:multiLevelType w:val="multilevel"/>
    <w:tmpl w:val="114E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665923"/>
    <w:multiLevelType w:val="multilevel"/>
    <w:tmpl w:val="A8D8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47F55"/>
    <w:multiLevelType w:val="multilevel"/>
    <w:tmpl w:val="869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C2CB6"/>
    <w:multiLevelType w:val="multilevel"/>
    <w:tmpl w:val="0C70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B345F3"/>
    <w:multiLevelType w:val="multilevel"/>
    <w:tmpl w:val="5BBA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A71C0"/>
    <w:multiLevelType w:val="multilevel"/>
    <w:tmpl w:val="683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EA6C9F"/>
    <w:multiLevelType w:val="multilevel"/>
    <w:tmpl w:val="A1EA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8B52BD"/>
    <w:multiLevelType w:val="multilevel"/>
    <w:tmpl w:val="AEEE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D2784D"/>
    <w:multiLevelType w:val="multilevel"/>
    <w:tmpl w:val="D420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4D5C47"/>
    <w:multiLevelType w:val="multilevel"/>
    <w:tmpl w:val="9FDA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6D11C1"/>
    <w:multiLevelType w:val="multilevel"/>
    <w:tmpl w:val="8878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6A5ED0"/>
    <w:multiLevelType w:val="multilevel"/>
    <w:tmpl w:val="39D2B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DD7039"/>
    <w:multiLevelType w:val="multilevel"/>
    <w:tmpl w:val="2D1C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AC66531"/>
    <w:multiLevelType w:val="multilevel"/>
    <w:tmpl w:val="AAC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877C3"/>
    <w:multiLevelType w:val="multilevel"/>
    <w:tmpl w:val="B208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E10BE1"/>
    <w:multiLevelType w:val="multilevel"/>
    <w:tmpl w:val="D084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0B4A2B"/>
    <w:multiLevelType w:val="multilevel"/>
    <w:tmpl w:val="48F8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E5565"/>
    <w:multiLevelType w:val="multilevel"/>
    <w:tmpl w:val="7140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0072A9"/>
    <w:multiLevelType w:val="multilevel"/>
    <w:tmpl w:val="420A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0D92D19"/>
    <w:multiLevelType w:val="multilevel"/>
    <w:tmpl w:val="883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C3276"/>
    <w:multiLevelType w:val="multilevel"/>
    <w:tmpl w:val="214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7893F45"/>
    <w:multiLevelType w:val="multilevel"/>
    <w:tmpl w:val="0DC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5642DE"/>
    <w:multiLevelType w:val="multilevel"/>
    <w:tmpl w:val="0814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BD6756"/>
    <w:multiLevelType w:val="multilevel"/>
    <w:tmpl w:val="4308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AB63C0"/>
    <w:multiLevelType w:val="multilevel"/>
    <w:tmpl w:val="0520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F336B6"/>
    <w:multiLevelType w:val="multilevel"/>
    <w:tmpl w:val="2B6E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C227E8"/>
    <w:multiLevelType w:val="multilevel"/>
    <w:tmpl w:val="48D0B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7807A8"/>
    <w:multiLevelType w:val="multilevel"/>
    <w:tmpl w:val="C734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BF1CBB"/>
    <w:multiLevelType w:val="multilevel"/>
    <w:tmpl w:val="E1E6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AF2A58"/>
    <w:multiLevelType w:val="multilevel"/>
    <w:tmpl w:val="772E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228A1"/>
    <w:multiLevelType w:val="multilevel"/>
    <w:tmpl w:val="DC2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F735E3"/>
    <w:multiLevelType w:val="multilevel"/>
    <w:tmpl w:val="11C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D1373E"/>
    <w:multiLevelType w:val="multilevel"/>
    <w:tmpl w:val="EC1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66EED"/>
    <w:multiLevelType w:val="multilevel"/>
    <w:tmpl w:val="9250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0C4EBD"/>
    <w:multiLevelType w:val="multilevel"/>
    <w:tmpl w:val="CC7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CE43A7B"/>
    <w:multiLevelType w:val="multilevel"/>
    <w:tmpl w:val="711A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557721">
    <w:abstractNumId w:val="8"/>
  </w:num>
  <w:num w:numId="2" w16cid:durableId="1914854161">
    <w:abstractNumId w:val="3"/>
  </w:num>
  <w:num w:numId="3" w16cid:durableId="1226339519">
    <w:abstractNumId w:val="34"/>
  </w:num>
  <w:num w:numId="4" w16cid:durableId="817890385">
    <w:abstractNumId w:val="9"/>
  </w:num>
  <w:num w:numId="5" w16cid:durableId="614480134">
    <w:abstractNumId w:val="23"/>
  </w:num>
  <w:num w:numId="6" w16cid:durableId="1967733199">
    <w:abstractNumId w:val="26"/>
  </w:num>
  <w:num w:numId="7" w16cid:durableId="1434745523">
    <w:abstractNumId w:val="0"/>
  </w:num>
  <w:num w:numId="8" w16cid:durableId="1709329466">
    <w:abstractNumId w:val="6"/>
  </w:num>
  <w:num w:numId="9" w16cid:durableId="1945189245">
    <w:abstractNumId w:val="10"/>
  </w:num>
  <w:num w:numId="10" w16cid:durableId="1024592694">
    <w:abstractNumId w:val="29"/>
  </w:num>
  <w:num w:numId="11" w16cid:durableId="590696166">
    <w:abstractNumId w:val="22"/>
  </w:num>
  <w:num w:numId="12" w16cid:durableId="831943983">
    <w:abstractNumId w:val="11"/>
  </w:num>
  <w:num w:numId="13" w16cid:durableId="1105073002">
    <w:abstractNumId w:val="28"/>
  </w:num>
  <w:num w:numId="14" w16cid:durableId="513884760">
    <w:abstractNumId w:val="30"/>
  </w:num>
  <w:num w:numId="15" w16cid:durableId="1168908131">
    <w:abstractNumId w:val="15"/>
  </w:num>
  <w:num w:numId="16" w16cid:durableId="694039418">
    <w:abstractNumId w:val="1"/>
  </w:num>
  <w:num w:numId="17" w16cid:durableId="2104908806">
    <w:abstractNumId w:val="5"/>
  </w:num>
  <w:num w:numId="18" w16cid:durableId="1445151531">
    <w:abstractNumId w:val="17"/>
  </w:num>
  <w:num w:numId="19" w16cid:durableId="13390051">
    <w:abstractNumId w:val="12"/>
  </w:num>
  <w:num w:numId="20" w16cid:durableId="1588926682">
    <w:abstractNumId w:val="33"/>
  </w:num>
  <w:num w:numId="21" w16cid:durableId="1114403606">
    <w:abstractNumId w:val="18"/>
  </w:num>
  <w:num w:numId="22" w16cid:durableId="410198323">
    <w:abstractNumId w:val="2"/>
  </w:num>
  <w:num w:numId="23" w16cid:durableId="1706904752">
    <w:abstractNumId w:val="32"/>
  </w:num>
  <w:num w:numId="24" w16cid:durableId="69884896">
    <w:abstractNumId w:val="7"/>
  </w:num>
  <w:num w:numId="25" w16cid:durableId="1763524407">
    <w:abstractNumId w:val="4"/>
  </w:num>
  <w:num w:numId="26" w16cid:durableId="2118714435">
    <w:abstractNumId w:val="16"/>
  </w:num>
  <w:num w:numId="27" w16cid:durableId="2012641185">
    <w:abstractNumId w:val="19"/>
  </w:num>
  <w:num w:numId="28" w16cid:durableId="1804157661">
    <w:abstractNumId w:val="13"/>
  </w:num>
  <w:num w:numId="29" w16cid:durableId="942617307">
    <w:abstractNumId w:val="35"/>
  </w:num>
  <w:num w:numId="30" w16cid:durableId="5061261">
    <w:abstractNumId w:val="25"/>
  </w:num>
  <w:num w:numId="31" w16cid:durableId="419912371">
    <w:abstractNumId w:val="31"/>
  </w:num>
  <w:num w:numId="32" w16cid:durableId="802385981">
    <w:abstractNumId w:val="14"/>
  </w:num>
  <w:num w:numId="33" w16cid:durableId="38865677">
    <w:abstractNumId w:val="21"/>
  </w:num>
  <w:num w:numId="34" w16cid:durableId="1127313807">
    <w:abstractNumId w:val="24"/>
  </w:num>
  <w:num w:numId="35" w16cid:durableId="164757848">
    <w:abstractNumId w:val="27"/>
  </w:num>
  <w:num w:numId="36" w16cid:durableId="18529894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02"/>
    <w:rsid w:val="000170D9"/>
    <w:rsid w:val="000A1D49"/>
    <w:rsid w:val="001162B8"/>
    <w:rsid w:val="00310502"/>
    <w:rsid w:val="003C008C"/>
    <w:rsid w:val="003C74A8"/>
    <w:rsid w:val="003F76ED"/>
    <w:rsid w:val="00422224"/>
    <w:rsid w:val="004A2CE7"/>
    <w:rsid w:val="004E449D"/>
    <w:rsid w:val="00525EF0"/>
    <w:rsid w:val="0056267C"/>
    <w:rsid w:val="00566C0D"/>
    <w:rsid w:val="005E6F4C"/>
    <w:rsid w:val="007162C4"/>
    <w:rsid w:val="007729A5"/>
    <w:rsid w:val="008713FA"/>
    <w:rsid w:val="008A644A"/>
    <w:rsid w:val="008C0E72"/>
    <w:rsid w:val="00994F05"/>
    <w:rsid w:val="00A00B68"/>
    <w:rsid w:val="00A155D8"/>
    <w:rsid w:val="00A32D05"/>
    <w:rsid w:val="00A33259"/>
    <w:rsid w:val="00AB794D"/>
    <w:rsid w:val="00AE687A"/>
    <w:rsid w:val="00AF1A7B"/>
    <w:rsid w:val="00B05016"/>
    <w:rsid w:val="00B52234"/>
    <w:rsid w:val="00BD6652"/>
    <w:rsid w:val="00C2005E"/>
    <w:rsid w:val="00C45875"/>
    <w:rsid w:val="00C52A30"/>
    <w:rsid w:val="00CA1FD2"/>
    <w:rsid w:val="00CD68BC"/>
    <w:rsid w:val="00CE6146"/>
    <w:rsid w:val="00DF57C4"/>
    <w:rsid w:val="00E20B1C"/>
    <w:rsid w:val="00E80F64"/>
    <w:rsid w:val="00E870E5"/>
    <w:rsid w:val="00ED6108"/>
    <w:rsid w:val="00F6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0114F"/>
  <w15:chartTrackingRefBased/>
  <w15:docId w15:val="{4B959EB2-2C64-419B-BAD1-294A2A15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5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0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0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5</Pages>
  <Words>1581</Words>
  <Characters>9016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</dc:creator>
  <cp:keywords/>
  <dc:description/>
  <cp:lastModifiedBy>Minh Tran</cp:lastModifiedBy>
  <cp:revision>29</cp:revision>
  <dcterms:created xsi:type="dcterms:W3CDTF">2025-10-28T14:22:00Z</dcterms:created>
  <dcterms:modified xsi:type="dcterms:W3CDTF">2025-11-05T07:28:00Z</dcterms:modified>
</cp:coreProperties>
</file>