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6A27E0" w:rsidP="00FB5F46">
      <w:pPr>
        <w:pStyle w:val="Title"/>
        <w:ind w:left="-810"/>
        <w:jc w:val="right"/>
      </w:pPr>
      <w:fldSimple w:instr=" TITLE  \* MERGEFORMAT ">
        <w:r w:rsidR="0025652B">
          <w:t>Use-</w:t>
        </w:r>
        <w:r w:rsidR="0082409C">
          <w:t>Case-Realization Specification:</w:t>
        </w:r>
        <w:r w:rsidR="005A1F8B">
          <w:t xml:space="preserve"> </w:t>
        </w:r>
        <w:r w:rsidR="00546A30">
          <w:t>M30-</w:t>
        </w:r>
        <w:r w:rsidR="00FB5F46">
          <w:t>Remove</w:t>
        </w:r>
        <w:r w:rsidR="004839D7">
          <w:t xml:space="preserve"> </w:t>
        </w:r>
      </w:fldSimple>
      <w:r w:rsidR="005828C4">
        <w:t>Category</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0F01CA">
        <w:tc>
          <w:tcPr>
            <w:tcW w:w="2304" w:type="dxa"/>
          </w:tcPr>
          <w:p w:rsidR="00A61F9D" w:rsidRDefault="005828C4" w:rsidP="000F01CA">
            <w:pPr>
              <w:pStyle w:val="Tabletext"/>
              <w:jc w:val="center"/>
            </w:pPr>
            <w:r>
              <w:t>20/11</w:t>
            </w:r>
            <w:r w:rsidR="00AB2229">
              <w:t>/2019</w:t>
            </w:r>
          </w:p>
        </w:tc>
        <w:tc>
          <w:tcPr>
            <w:tcW w:w="1152" w:type="dxa"/>
          </w:tcPr>
          <w:p w:rsidR="00A61F9D" w:rsidRDefault="00AB2229" w:rsidP="000F01CA">
            <w:pPr>
              <w:pStyle w:val="Tabletext"/>
              <w:jc w:val="center"/>
            </w:pPr>
            <w:r>
              <w:t>1.0</w:t>
            </w:r>
          </w:p>
        </w:tc>
        <w:tc>
          <w:tcPr>
            <w:tcW w:w="3744" w:type="dxa"/>
          </w:tcPr>
          <w:p w:rsidR="00A61F9D" w:rsidRDefault="00AB2229" w:rsidP="000F01CA">
            <w:pPr>
              <w:pStyle w:val="Tabletext"/>
              <w:jc w:val="center"/>
            </w:pPr>
            <w:r w:rsidRPr="002020AA">
              <w:rPr>
                <w:rFonts w:ascii="Arial" w:hAnsi="Arial" w:cs="Arial"/>
              </w:rPr>
              <w:t xml:space="preserve">The first version of </w:t>
            </w:r>
            <w:r w:rsidR="00FB5F46">
              <w:rPr>
                <w:rFonts w:ascii="Arial" w:hAnsi="Arial" w:cs="Arial"/>
              </w:rPr>
              <w:t>remove</w:t>
            </w:r>
            <w:r w:rsidRPr="002020AA">
              <w:rPr>
                <w:rFonts w:ascii="Arial" w:hAnsi="Arial" w:cs="Arial"/>
              </w:rPr>
              <w:t xml:space="preserve"> </w:t>
            </w:r>
            <w:r w:rsidR="005828C4">
              <w:rPr>
                <w:rFonts w:ascii="Arial" w:hAnsi="Arial" w:cs="Arial"/>
              </w:rPr>
              <w:t>category</w:t>
            </w:r>
          </w:p>
        </w:tc>
        <w:tc>
          <w:tcPr>
            <w:tcW w:w="2304" w:type="dxa"/>
          </w:tcPr>
          <w:p w:rsidR="00A61F9D" w:rsidRPr="001E3EA8" w:rsidRDefault="001E3EA8" w:rsidP="000F01CA">
            <w:pPr>
              <w:pStyle w:val="Tabletext"/>
              <w:jc w:val="center"/>
              <w:rPr>
                <w:rFonts w:ascii="Arial" w:hAnsi="Arial" w:cs="Arial"/>
              </w:rPr>
            </w:pPr>
            <w:r w:rsidRPr="001E3EA8">
              <w:rPr>
                <w:rFonts w:ascii="Arial" w:hAnsi="Arial" w:cs="Arial"/>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fldSimple w:instr=" TITLE  \* MERGEFORMAT ">
        <w:r w:rsidR="0025652B">
          <w:t>Use-C</w:t>
        </w:r>
        <w:r w:rsidR="001E3EA8">
          <w:t xml:space="preserve">ase-Realization Specification: </w:t>
        </w:r>
        <w:r w:rsidR="00FB5F46">
          <w:t>Remove</w:t>
        </w:r>
        <w:r w:rsidR="00100E98">
          <w:t xml:space="preserve"> </w:t>
        </w:r>
        <w:r w:rsidR="005828C4">
          <w:t>Category</w:t>
        </w:r>
      </w:fldSimple>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FB5F46">
        <w:t>Remove</w:t>
      </w:r>
      <w:r w:rsidRPr="00EE6346">
        <w:t xml:space="preserve"> </w:t>
      </w:r>
      <w:r w:rsidR="005828C4">
        <w:t>Category</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rsidR="00FB5F46">
        <w:t>Remove</w:t>
      </w:r>
      <w:r>
        <w:t xml:space="preserve"> </w:t>
      </w:r>
      <w:r w:rsidR="005828C4">
        <w:t>Category</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6427FA" w:rsidP="006427FA">
      <w:pPr>
        <w:ind w:left="810"/>
        <w:rPr>
          <w:rFonts w:ascii="Arial" w:hAnsi="Arial" w:cs="Arial"/>
          <w:b/>
        </w:rPr>
      </w:pPr>
      <w:r w:rsidRPr="006427FA">
        <w:rPr>
          <w:rFonts w:ascii="Arial" w:hAnsi="Arial" w:cs="Arial"/>
          <w:b/>
          <w:noProof/>
        </w:rPr>
        <w:drawing>
          <wp:inline distT="0" distB="0" distL="0" distR="0" wp14:anchorId="295FB882" wp14:editId="3C08CC92">
            <wp:extent cx="4391638" cy="1238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38" cy="1238423"/>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FB5F46"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Remove</w:t>
            </w:r>
            <w:r w:rsidR="00CF3557" w:rsidRPr="00EA0612">
              <w:t xml:space="preserve"> </w:t>
            </w:r>
            <w:r w:rsidR="005828C4">
              <w:t>Category</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FB5F46">
              <w:t>remove</w:t>
            </w:r>
            <w:r w:rsidR="00C42AC7" w:rsidRPr="00EA0612">
              <w:t>s</w:t>
            </w:r>
            <w:r w:rsidRPr="00EA0612">
              <w:t xml:space="preserve"> new </w:t>
            </w:r>
            <w:r w:rsidR="005828C4">
              <w:t>categories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w:t>
            </w:r>
            <w:r w:rsidR="00FB5F46">
              <w:t xml:space="preserve">the remove </w:t>
            </w:r>
            <w:r w:rsidR="005828C4">
              <w:t>category</w:t>
            </w:r>
            <w:r w:rsidR="00E46506">
              <w:t xml:space="preserve"> button in category management.</w:t>
            </w:r>
          </w:p>
          <w:p w:rsidR="00CF3557" w:rsidRPr="00EA0612" w:rsidRDefault="00CF3557" w:rsidP="00672023">
            <w:r w:rsidRPr="00EA0612">
              <w:t xml:space="preserve">Step 2: </w:t>
            </w:r>
            <w:r w:rsidR="00FB5F46">
              <w:t>Confirm to delete the category.</w:t>
            </w:r>
          </w:p>
          <w:p w:rsidR="00CF3557" w:rsidRPr="00EA0612" w:rsidRDefault="00FB5F46" w:rsidP="00672023">
            <w:r>
              <w:t>Step 3</w:t>
            </w:r>
            <w:r w:rsidR="00CF3557" w:rsidRPr="00EA0612">
              <w:t xml:space="preserve">: System displays </w:t>
            </w:r>
            <w:r w:rsidR="005828C4">
              <w:t>category</w:t>
            </w:r>
            <w:r>
              <w:t xml:space="preserve"> management</w:t>
            </w:r>
            <w:r w:rsidR="00CF3557" w:rsidRPr="00EA0612">
              <w:t xml:space="preserve"> in the website.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lastRenderedPageBreak/>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t>Invalid information entered</w:t>
            </w:r>
          </w:p>
        </w:tc>
        <w:tc>
          <w:tcPr>
            <w:tcW w:w="5703" w:type="dxa"/>
            <w:gridSpan w:val="2"/>
            <w:shd w:val="clear" w:color="auto" w:fill="auto"/>
          </w:tcPr>
          <w:p w:rsidR="00CF3557" w:rsidRPr="00EA0612" w:rsidRDefault="00A84AB5"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t>1</w:t>
            </w:r>
            <w:r w:rsidR="00CF3557" w:rsidRPr="00EA0612">
              <w:t xml:space="preserve">. System displays information with appropriate message to correct </w:t>
            </w:r>
            <w:r w:rsidR="005F478A" w:rsidRPr="00EA0612">
              <w:t>invalid information</w:t>
            </w:r>
            <w:r w:rsidR="00CF3557"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A84AB5" w:rsidP="00672023">
            <w:r>
              <w:t>None.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Administrator checks the database and the website to ensure that the new </w:t>
            </w:r>
            <w:r w:rsidR="005828C4">
              <w:t>category</w:t>
            </w:r>
            <w:r w:rsidRPr="00EA0612">
              <w:t xml:space="preserve"> is </w:t>
            </w:r>
            <w:r w:rsidR="00CC60AB">
              <w:t>removed</w:t>
            </w:r>
            <w:r w:rsidRPr="00EA0612">
              <w:t xml:space="preserve">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5828C4">
              <w:t>category</w:t>
            </w:r>
            <w:r w:rsidRPr="00EA0612">
              <w:t xml:space="preserve"> is </w:t>
            </w:r>
            <w:r w:rsidR="00CC60AB">
              <w:t>removed</w:t>
            </w:r>
            <w:r w:rsidRPr="00EA0612">
              <w:t xml:space="preserve">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FB5F46">
              <w:t>remove</w:t>
            </w:r>
            <w:r w:rsidRPr="00EA0612">
              <w:t xml:space="preserve"> new </w:t>
            </w:r>
            <w:r w:rsidR="005828C4">
              <w:t>category</w:t>
            </w:r>
            <w:r w:rsidRPr="00EA0612">
              <w:t xml:space="preserve"> to database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754C12" w:rsidP="00CF3557">
      <w:pPr>
        <w:pStyle w:val="BodyText"/>
        <w:rPr>
          <w:rFonts w:ascii="Arial" w:hAnsi="Arial" w:cs="Arial"/>
          <w:b/>
        </w:rPr>
      </w:pPr>
      <w:r w:rsidRPr="00754C12">
        <w:rPr>
          <w:rFonts w:ascii="Arial" w:hAnsi="Arial" w:cs="Arial"/>
          <w:b/>
          <w:noProof/>
        </w:rPr>
        <w:drawing>
          <wp:inline distT="0" distB="0" distL="0" distR="0" wp14:anchorId="154AACDB" wp14:editId="6C0064C3">
            <wp:extent cx="4972744"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744" cy="3791479"/>
                    </a:xfrm>
                    <a:prstGeom prst="rect">
                      <a:avLst/>
                    </a:prstGeom>
                  </pic:spPr>
                </pic:pic>
              </a:graphicData>
            </a:graphic>
          </wp:inline>
        </w:drawing>
      </w:r>
    </w:p>
    <w:p w:rsidR="00CF3557" w:rsidRPr="007547FF" w:rsidRDefault="007547FF" w:rsidP="00CF3557">
      <w:pPr>
        <w:pStyle w:val="BodyText"/>
        <w:rPr>
          <w:rFonts w:ascii="Arial" w:hAnsi="Arial" w:cs="Arial"/>
          <w:b/>
        </w:rPr>
      </w:pPr>
      <w:r w:rsidRPr="007547FF">
        <w:rPr>
          <w:rFonts w:ascii="Arial" w:hAnsi="Arial" w:cs="Arial"/>
          <w:b/>
        </w:rPr>
        <w:t>2.3. Class Diagram</w:t>
      </w:r>
    </w:p>
    <w:p w:rsidR="00CF3557" w:rsidRDefault="00CF3557" w:rsidP="00CF3557">
      <w:pPr>
        <w:pStyle w:val="BodyText"/>
      </w:pPr>
    </w:p>
    <w:p w:rsidR="00CF3557" w:rsidRDefault="00CF3557" w:rsidP="00CF3557">
      <w:pPr>
        <w:pStyle w:val="BodyText"/>
      </w:pPr>
    </w:p>
    <w:p w:rsidR="00CF3557" w:rsidRDefault="00CF3557" w:rsidP="00CF3557">
      <w:pPr>
        <w:pStyle w:val="BodyText"/>
      </w:pPr>
    </w:p>
    <w:p w:rsidR="000D4237" w:rsidRPr="003A0A9B" w:rsidRDefault="002F0004" w:rsidP="00E46506">
      <w:pPr>
        <w:pStyle w:val="BodyText"/>
        <w:ind w:left="0"/>
      </w:pPr>
      <w:r w:rsidRPr="002F0004">
        <w:rPr>
          <w:noProof/>
        </w:rPr>
        <w:drawing>
          <wp:inline distT="0" distB="0" distL="0" distR="0" wp14:anchorId="05E11A96" wp14:editId="137AC340">
            <wp:extent cx="4192438" cy="36107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3168" cy="3637212"/>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5CC" w:rsidRDefault="000955CC">
      <w:pPr>
        <w:spacing w:line="240" w:lineRule="auto"/>
      </w:pPr>
      <w:r>
        <w:separator/>
      </w:r>
    </w:p>
  </w:endnote>
  <w:endnote w:type="continuationSeparator" w:id="0">
    <w:p w:rsidR="000955CC" w:rsidRDefault="00095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71D" w:rsidRDefault="00DD071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71D" w:rsidRDefault="00DD071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DF549E">
          <w:pPr>
            <w:jc w:val="center"/>
          </w:pPr>
          <w:r>
            <w:sym w:font="Symbol" w:char="F0D3"/>
          </w:r>
          <w:r w:rsidR="00DD071D" w:rsidRPr="00DD071D">
            <w:t>Group 22 - 4C17/6C17</w:t>
          </w:r>
          <w:bookmarkStart w:id="14" w:name="_GoBack"/>
          <w:bookmarkEnd w:id="14"/>
          <w:r>
            <w:t xml:space="preserve">, </w:t>
          </w:r>
          <w:r>
            <w:fldChar w:fldCharType="begin"/>
          </w:r>
          <w:r>
            <w:instrText xml:space="preserve"> DATE \@ "yyyy" </w:instrText>
          </w:r>
          <w:r>
            <w:fldChar w:fldCharType="separate"/>
          </w:r>
          <w:r w:rsidR="00DD071D">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071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D071D">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5CC" w:rsidRDefault="000955CC">
      <w:pPr>
        <w:spacing w:line="240" w:lineRule="auto"/>
      </w:pPr>
      <w:r>
        <w:separator/>
      </w:r>
    </w:p>
  </w:footnote>
  <w:footnote w:type="continuationSeparator" w:id="0">
    <w:p w:rsidR="000955CC" w:rsidRDefault="000955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71D" w:rsidRDefault="00DD07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1729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80359">
      <w:rPr>
        <w:rFonts w:ascii="Arial" w:hAnsi="Arial"/>
        <w:b/>
        <w:sz w:val="36"/>
      </w:rPr>
      <w:t>Group 22 - 4C17/6C17</w:t>
    </w:r>
    <w:r>
      <w:rPr>
        <w:rFonts w:ascii="Arial" w:hAnsi="Arial"/>
        <w:b/>
        <w:sz w:val="36"/>
      </w:rPr>
      <w:fldChar w:fldCharType="end"/>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71D" w:rsidRDefault="00DD071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6A27E0">
          <w:fldSimple w:instr=" TITLE  \* MERGEFORMAT ">
            <w:r w:rsidR="0025652B">
              <w:t>Use-Case-Realizati</w:t>
            </w:r>
            <w:r w:rsidR="004915BC">
              <w:t xml:space="preserve">on Specification: </w:t>
            </w:r>
            <w:r w:rsidR="00FB5F46">
              <w:t>Remove</w:t>
            </w:r>
            <w:r w:rsidR="004915BC">
              <w:t xml:space="preserve"> </w:t>
            </w:r>
            <w:r w:rsidR="005828C4">
              <w:t>Category</w:t>
            </w:r>
          </w:fldSimple>
        </w:p>
      </w:tc>
      <w:tc>
        <w:tcPr>
          <w:tcW w:w="3179" w:type="dxa"/>
        </w:tcPr>
        <w:p w:rsidR="00A61F9D" w:rsidRDefault="00172905" w:rsidP="00AB2229">
          <w:r>
            <w:t xml:space="preserve">  Issue Date:  </w:t>
          </w:r>
          <w:r w:rsidR="005828C4">
            <w:t>20</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91D23"/>
    <w:rsid w:val="000955CC"/>
    <w:rsid w:val="000A7D6A"/>
    <w:rsid w:val="000D012C"/>
    <w:rsid w:val="000D4237"/>
    <w:rsid w:val="000F01CA"/>
    <w:rsid w:val="00100E98"/>
    <w:rsid w:val="00107B96"/>
    <w:rsid w:val="00172905"/>
    <w:rsid w:val="001B2C10"/>
    <w:rsid w:val="001E3EA8"/>
    <w:rsid w:val="0025652B"/>
    <w:rsid w:val="00256EAF"/>
    <w:rsid w:val="0026234D"/>
    <w:rsid w:val="0028062C"/>
    <w:rsid w:val="002D663D"/>
    <w:rsid w:val="002F0004"/>
    <w:rsid w:val="00314234"/>
    <w:rsid w:val="003A0A9B"/>
    <w:rsid w:val="00417D99"/>
    <w:rsid w:val="004839D7"/>
    <w:rsid w:val="00485F81"/>
    <w:rsid w:val="004915BC"/>
    <w:rsid w:val="004D12BD"/>
    <w:rsid w:val="004E2709"/>
    <w:rsid w:val="004E51E0"/>
    <w:rsid w:val="00515C53"/>
    <w:rsid w:val="00546A30"/>
    <w:rsid w:val="005828C4"/>
    <w:rsid w:val="005A1F8B"/>
    <w:rsid w:val="005F478A"/>
    <w:rsid w:val="006427FA"/>
    <w:rsid w:val="00673B8A"/>
    <w:rsid w:val="0068652C"/>
    <w:rsid w:val="006A27E0"/>
    <w:rsid w:val="006F51BF"/>
    <w:rsid w:val="007547FF"/>
    <w:rsid w:val="00754C12"/>
    <w:rsid w:val="007562D3"/>
    <w:rsid w:val="00780359"/>
    <w:rsid w:val="007D2434"/>
    <w:rsid w:val="0082409C"/>
    <w:rsid w:val="0085168D"/>
    <w:rsid w:val="0085196E"/>
    <w:rsid w:val="008733B3"/>
    <w:rsid w:val="00886975"/>
    <w:rsid w:val="00887113"/>
    <w:rsid w:val="008E4E50"/>
    <w:rsid w:val="00933184"/>
    <w:rsid w:val="00974065"/>
    <w:rsid w:val="00A02F43"/>
    <w:rsid w:val="00A53B59"/>
    <w:rsid w:val="00A61F9D"/>
    <w:rsid w:val="00A84AB5"/>
    <w:rsid w:val="00AB2229"/>
    <w:rsid w:val="00AB2A95"/>
    <w:rsid w:val="00B10C6C"/>
    <w:rsid w:val="00B145C6"/>
    <w:rsid w:val="00B376C7"/>
    <w:rsid w:val="00B5731B"/>
    <w:rsid w:val="00B60DB0"/>
    <w:rsid w:val="00B75E9E"/>
    <w:rsid w:val="00B839B8"/>
    <w:rsid w:val="00C201FD"/>
    <w:rsid w:val="00C277ED"/>
    <w:rsid w:val="00C42AC7"/>
    <w:rsid w:val="00C910F6"/>
    <w:rsid w:val="00CC60AB"/>
    <w:rsid w:val="00CD1A1E"/>
    <w:rsid w:val="00CF3557"/>
    <w:rsid w:val="00D05ACD"/>
    <w:rsid w:val="00DC1691"/>
    <w:rsid w:val="00DD071D"/>
    <w:rsid w:val="00DF549E"/>
    <w:rsid w:val="00E002A7"/>
    <w:rsid w:val="00E46506"/>
    <w:rsid w:val="00E8160D"/>
    <w:rsid w:val="00EA0612"/>
    <w:rsid w:val="00EE6346"/>
    <w:rsid w:val="00F86B7A"/>
    <w:rsid w:val="00FA5492"/>
    <w:rsid w:val="00FB5F4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6B572"/>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Realization-A&amp;D).dot</Template>
  <TotalTime>8</TotalTime>
  <Pages>6</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10</cp:revision>
  <cp:lastPrinted>1999-10-18T09:04:00Z</cp:lastPrinted>
  <dcterms:created xsi:type="dcterms:W3CDTF">2019-12-30T19:19:00Z</dcterms:created>
  <dcterms:modified xsi:type="dcterms:W3CDTF">2020-01-02T15:21:00Z</dcterms:modified>
</cp:coreProperties>
</file>