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6"/>
        <w:spacing/>
        <w:jc w:val="right"/>
      </w:pPr>
      <w:r>
        <w:t>Eyeconic - Glasses Shop Management System</w:t>
      </w:r>
    </w:p>
    <w:p>
      <w:pPr>
        <w:pStyle w:val="para16"/>
        <w:spacing/>
        <w:jc w:val="right"/>
      </w:pPr>
      <w:r>
        <w:t>Use-Case Specification: M03</w:t>
      </w:r>
    </w:p>
    <w:p>
      <w:pPr>
        <w:spacing/>
        <w:jc w:val="right"/>
      </w:pPr>
      <w:r>
        <w:t>Orders Management - Admin</w:t>
      </w:r>
    </w:p>
    <w:p>
      <w:pPr>
        <w:pStyle w:val="para16"/>
        <w:spacing/>
        <w:jc w:val="right"/>
      </w:pPr>
      <w:r/>
    </w:p>
    <w:p>
      <w:pPr>
        <w:pStyle w:val="para16"/>
        <w:spacing/>
        <w:jc w:val="right"/>
      </w:pPr>
      <w:r>
        <w:rPr>
          <w:sz w:val="28"/>
        </w:rPr>
        <w:t>Version 1.0</w:t>
      </w:r>
      <w:r/>
    </w:p>
    <w:p>
      <w:pPr>
        <w:pStyle w:val="para44"/>
      </w:pP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5840" w:w="12240"/>
          <w:pgMar w:left="1440" w:top="1440" w:right="1440" w:bottom="1440" w:footer="0"/>
          <w:paperSrc w:first="0" w:other="0"/>
          <w:pgNumType w:fmt="decimal"/>
          <w:vAlign w:val="center"/>
          <w:tmGutter w:val="3"/>
          <w:mirrorMargins w:val="0"/>
          <w:tmSection w:h="-1">
            <w:tmHeader w:id="0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6"/>
      </w:pPr>
      <w:r>
        <w:t>Revision History</w:t>
      </w:r>
    </w:p>
    <w:tbl>
      <w:tblPr>
        <w:tblStyle w:val="TableNormal"/>
        <w:name w:val="Table3"/>
        <w:tabOrder w:val="0"/>
        <w:jc w:val="left"/>
        <w:tblInd w:w="0" w:type="dxa"/>
        <w:tblW w:w="9504" w:type="dxa"/>
        <w:tblLook w:val="0000" w:firstRow="0" w:lastRow="0" w:firstColumn="0" w:lastColumn="0" w:noHBand="0" w:noVBand="0"/>
      </w:tblPr>
      <w:tblGrid>
        <w:gridCol w:w="2301"/>
        <w:gridCol w:w="1152"/>
        <w:gridCol w:w="3747"/>
        <w:gridCol w:w="2304"/>
      </w:tblGrid>
      <w:tr>
        <w:trPr>
          <w:tblHeader w:val="0"/>
          <w:cantSplit w:val="0"/>
          <w:trHeight w:val="0" w:hRule="auto"/>
        </w:trPr>
        <w:tc>
          <w:tcPr>
            <w:tcW w:w="2301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1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>
              <w:t>06/Nov/19</w:t>
            </w:r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>
              <w:t>1.0</w:t>
            </w:r>
          </w:p>
        </w:tc>
        <w:tc>
          <w:tcPr>
            <w:tcW w:w="3747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>
              <w:t>OK</w:t>
            </w:r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>
              <w:t>TungPD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1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3747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1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3747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1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3747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361" protected="0"/>
          </w:tcPr>
          <w:p>
            <w:pPr>
              <w:pStyle w:val="para27"/>
            </w:pPr>
            <w:r/>
          </w:p>
        </w:tc>
      </w:tr>
    </w:tbl>
    <w:p>
      <w:r>
        <w:br w:type="page"/>
      </w:r>
    </w:p>
    <w:p>
      <w:pPr>
        <w:pStyle w:val="para16"/>
      </w:pPr>
      <w:r>
        <w:t>Table of Contents</w:t>
      </w:r>
    </w:p>
    <w:p>
      <w:pPr>
        <w:pStyle w:val="para19"/>
      </w:pPr>
      <w:r>
        <w:fldChar w:fldCharType="begin"/>
      </w:r>
      <w:r>
        <w:instrText xml:space="preserve"> TOC \o \h </w:instrText>
      </w:r>
      <w:r>
        <w:fldChar w:fldCharType="separate"/>
      </w:r>
      <w:r>
        <w:t>1. Use-Case Name</w:t>
        <w:tab/>
        <w:t>4</w:t>
      </w:r>
    </w:p>
    <w:p>
      <w:pPr>
        <w:pStyle w:val="para20"/>
      </w:pPr>
      <w:r>
        <w:t>1.1 Brief Description</w:t>
        <w:tab/>
        <w:t>4</w:t>
      </w:r>
    </w:p>
    <w:p>
      <w:pPr>
        <w:pStyle w:val="para19"/>
      </w:pPr>
      <w:r>
        <w:t>2. Flow of Events</w:t>
        <w:tab/>
        <w:t>4</w:t>
      </w:r>
    </w:p>
    <w:p>
      <w:pPr>
        <w:pStyle w:val="para20"/>
      </w:pPr>
      <w:r>
        <w:t>2.1 Basic Flow</w:t>
        <w:tab/>
        <w:t>4</w:t>
      </w:r>
    </w:p>
    <w:p>
      <w:pPr>
        <w:pStyle w:val="para20"/>
      </w:pPr>
      <w:r>
        <w:t>2.2 Alternative Flows</w:t>
        <w:tab/>
        <w:t>4</w:t>
      </w:r>
    </w:p>
    <w:p>
      <w:pPr>
        <w:pStyle w:val="para19"/>
      </w:pPr>
      <w:r>
        <w:t>3. Special Requirements</w:t>
        <w:tab/>
        <w:t>4</w:t>
      </w:r>
    </w:p>
    <w:p>
      <w:pPr>
        <w:pStyle w:val="para19"/>
      </w:pPr>
      <w:r>
        <w:t>4. Preconditions</w:t>
        <w:tab/>
        <w:t>4</w:t>
      </w:r>
    </w:p>
    <w:p>
      <w:pPr>
        <w:pStyle w:val="para19"/>
      </w:pPr>
      <w:r>
        <w:t>5. Post-conditions</w:t>
        <w:tab/>
        <w:t>4</w:t>
      </w:r>
    </w:p>
    <w:p>
      <w:pPr>
        <w:pStyle w:val="para20"/>
      </w:pPr>
      <w:r>
        <w:t>5.1 A table with recent payments shows up, with a filter</w:t>
        <w:tab/>
        <w:t>4</w:t>
      </w:r>
    </w:p>
    <w:p>
      <w:pPr>
        <w:pStyle w:val="para19"/>
      </w:pPr>
      <w:r>
        <w:t>6. Extension Points</w:t>
        <w:tab/>
        <w:t>4</w:t>
      </w:r>
    </w:p>
    <w:p>
      <w:r>
        <w:fldChar w:fldCharType="end"/>
      </w:r>
      <w:r/>
      <w:r>
        <w:br w:type="page"/>
      </w:r>
    </w:p>
    <w:p>
      <w:pPr>
        <w:pStyle w:val="para16"/>
      </w:pPr>
      <w:r>
        <w:t xml:space="preserve"> Use-Case Sp</w:t>
      </w:r>
      <w:bookmarkStart w:id="0" w:name="_GoBack"/>
      <w:bookmarkEnd w:id="0"/>
      <w:r>
        <w:t>ecification: P00 – Website Preferences</w:t>
      </w:r>
    </w:p>
    <w:p>
      <w:pPr>
        <w:pStyle w:val="para1"/>
        <w:numPr>
          <w:ilvl w:val="0"/>
          <w:numId w:val="1"/>
        </w:numPr>
        <w:ind w:left="720" w:hanging="720"/>
      </w:pPr>
      <w:bookmarkStart w:id="1" w:name="_Toc508098429"/>
      <w:bookmarkEnd w:id="1"/>
      <w:r/>
      <w:bookmarkStart w:id="2" w:name="_Toc25853604"/>
      <w:bookmarkEnd w:id="2"/>
      <w:r>
        <w:t xml:space="preserve">Use-Case Name </w:t>
      </w:r>
    </w:p>
    <w:p>
      <w:pPr>
        <w:pStyle w:val="para2"/>
        <w:numPr>
          <w:ilvl w:val="1"/>
          <w:numId w:val="1"/>
        </w:numPr>
        <w:ind w:left="720" w:hanging="720"/>
      </w:pPr>
      <w:bookmarkStart w:id="3" w:name="_Toc508098430"/>
      <w:bookmarkEnd w:id="3"/>
      <w:r/>
      <w:bookmarkStart w:id="4" w:name="_Toc425054504"/>
      <w:bookmarkEnd w:id="4"/>
      <w:r/>
      <w:bookmarkStart w:id="5" w:name="_Toc423410238"/>
      <w:bookmarkEnd w:id="5"/>
      <w:r/>
      <w:bookmarkStart w:id="6" w:name="_Toc25853605"/>
      <w:bookmarkEnd w:id="6"/>
      <w:r>
        <w:t>Brief Description</w:t>
      </w:r>
    </w:p>
    <w:p>
      <w:pPr>
        <w:pStyle w:val="para44"/>
        <w:spacing/>
        <w:jc w:val="both"/>
        <w:keepLines/>
      </w:pPr>
      <w:r>
        <w:rPr>
          <w:i w:val="0"/>
          <w:color w:val="auto"/>
        </w:rPr>
        <w:t>Provide orders management capability for administrators, an admin can:</w:t>
      </w:r>
      <w:r/>
    </w:p>
    <w:p>
      <w:pPr>
        <w:pStyle w:val="para11"/>
        <w:numPr>
          <w:ilvl w:val="0"/>
          <w:numId w:val="3"/>
        </w:numPr>
        <w:ind w:left="1080" w:hanging="360"/>
        <w:spacing/>
        <w:jc w:val="both"/>
      </w:pPr>
      <w:r>
        <w:t>View all orders, track their progress</w:t>
      </w:r>
    </w:p>
    <w:p>
      <w:pPr>
        <w:pStyle w:val="para11"/>
        <w:numPr>
          <w:ilvl w:val="0"/>
          <w:numId w:val="3"/>
        </w:numPr>
        <w:ind w:left="1080" w:hanging="360"/>
        <w:spacing/>
        <w:jc w:val="both"/>
      </w:pPr>
      <w:r>
        <w:t>Change order state</w:t>
      </w:r>
    </w:p>
    <w:p>
      <w:pPr>
        <w:pStyle w:val="para11"/>
        <w:ind w:left="360"/>
        <w:spacing/>
        <w:jc w:val="both"/>
      </w:pPr>
      <w:r/>
    </w:p>
    <w:p>
      <w:pPr>
        <w:pStyle w:val="para1"/>
        <w:numPr>
          <w:ilvl w:val="0"/>
          <w:numId w:val="1"/>
        </w:numPr>
        <w:ind w:left="720" w:hanging="720"/>
        <w:widowControl/>
      </w:pPr>
      <w:bookmarkStart w:id="7" w:name="_Toc423410239"/>
      <w:bookmarkEnd w:id="7"/>
      <w:r/>
      <w:bookmarkStart w:id="8" w:name="_Toc425054505"/>
      <w:bookmarkEnd w:id="8"/>
      <w:r/>
      <w:bookmarkStart w:id="9" w:name="_Toc508098431"/>
      <w:bookmarkEnd w:id="9"/>
      <w:r/>
      <w:bookmarkStart w:id="10" w:name="_Toc25853606"/>
      <w:bookmarkEnd w:id="10"/>
      <w:r>
        <w:t>Flow of Events</w:t>
      </w:r>
    </w:p>
    <w:p>
      <w:pPr>
        <w:pStyle w:val="para2"/>
        <w:numPr>
          <w:ilvl w:val="1"/>
          <w:numId w:val="1"/>
        </w:numPr>
        <w:ind w:left="720" w:hanging="720"/>
        <w:widowControl/>
      </w:pPr>
      <w:bookmarkStart w:id="11" w:name="_Toc425054506"/>
      <w:bookmarkEnd w:id="11"/>
      <w:r/>
      <w:bookmarkStart w:id="12" w:name="_Toc423410240"/>
      <w:bookmarkEnd w:id="12"/>
      <w:r/>
      <w:bookmarkStart w:id="13" w:name="_Toc508098432"/>
      <w:bookmarkEnd w:id="13"/>
      <w:r/>
      <w:bookmarkStart w:id="14" w:name="_Toc25853607"/>
      <w:bookmarkEnd w:id="14"/>
      <w:r>
        <w:t xml:space="preserve">Basic Flow </w:t>
      </w:r>
    </w:p>
    <w:p>
      <w:pPr>
        <w:ind w:left="720"/>
        <w:widowControl/>
      </w:pPr>
      <w:r>
        <w:t>- Admin enters Orders Management page</w:t>
      </w:r>
    </w:p>
    <w:p>
      <w:pPr>
        <w:ind w:left="720"/>
        <w:widowControl/>
      </w:pPr>
      <w:r>
        <w:t>- A table with recent payments displays</w:t>
      </w:r>
    </w:p>
    <w:p>
      <w:pPr>
        <w:ind w:left="720"/>
        <w:widowControl/>
      </w:pPr>
      <w:r>
        <w:t>- Click detail button to see order detail</w:t>
      </w:r>
    </w:p>
    <w:p>
      <w:pPr>
        <w:ind w:left="720"/>
        <w:widowControl/>
      </w:pPr>
      <w:r>
        <w:t>- Change its state: Pending, Shipping, Completed, Failed, Rescinded</w:t>
      </w:r>
    </w:p>
    <w:p>
      <w:pPr>
        <w:ind w:left="720"/>
        <w:widowControl/>
      </w:pPr>
      <w:r>
        <w:t>- System sends customer an email to notify</w:t>
      </w:r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</w:r>
    </w:p>
    <w:p>
      <w:pPr>
        <w:pStyle w:val="para2"/>
        <w:numPr>
          <w:ilvl w:val="1"/>
          <w:numId w:val="1"/>
        </w:numPr>
        <w:ind w:left="720" w:hanging="720"/>
        <w:widowControl/>
      </w:pPr>
      <w:bookmarkStart w:id="15" w:name="_Toc423410241"/>
      <w:bookmarkEnd w:id="15"/>
      <w:r/>
      <w:bookmarkStart w:id="16" w:name="_Toc425054507"/>
      <w:bookmarkEnd w:id="16"/>
      <w:r/>
      <w:bookmarkStart w:id="17" w:name="_Toc508098433"/>
      <w:bookmarkEnd w:id="17"/>
      <w:r/>
      <w:bookmarkStart w:id="18" w:name="_Toc25853608"/>
      <w:bookmarkEnd w:id="18"/>
      <w:r>
        <w:t>Alternative Flows</w:t>
      </w:r>
    </w:p>
    <w:p>
      <w:pPr>
        <w:pStyle w:val="para1"/>
        <w:numPr>
          <w:ilvl w:val="0"/>
          <w:numId w:val="1"/>
        </w:numPr>
        <w:ind w:left="720" w:hanging="720"/>
      </w:pPr>
      <w:bookmarkStart w:id="19" w:name="_Toc508098436"/>
      <w:bookmarkEnd w:id="19"/>
      <w:r/>
      <w:bookmarkStart w:id="20" w:name="_Toc425054510"/>
      <w:bookmarkEnd w:id="20"/>
      <w:r/>
      <w:bookmarkStart w:id="21" w:name="_Toc423410251"/>
      <w:bookmarkEnd w:id="21"/>
      <w:r/>
      <w:bookmarkStart w:id="22" w:name="_Toc25853611"/>
      <w:bookmarkEnd w:id="22"/>
      <w:r>
        <w:t>Special Requirements</w:t>
      </w:r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  <w:t>User logged in the administration page</w:t>
      </w:r>
    </w:p>
    <w:p>
      <w:r/>
    </w:p>
    <w:p>
      <w:pPr>
        <w:pStyle w:val="para1"/>
        <w:numPr>
          <w:ilvl w:val="0"/>
          <w:numId w:val="1"/>
        </w:numPr>
        <w:ind w:left="720" w:hanging="720"/>
        <w:widowControl/>
      </w:pPr>
      <w:bookmarkStart w:id="23" w:name="_Toc423410253"/>
      <w:bookmarkEnd w:id="23"/>
      <w:r/>
      <w:bookmarkStart w:id="24" w:name="_Toc425054512"/>
      <w:bookmarkEnd w:id="24"/>
      <w:r/>
      <w:bookmarkStart w:id="25" w:name="_Toc508098438"/>
      <w:bookmarkEnd w:id="25"/>
      <w:r/>
      <w:bookmarkStart w:id="26" w:name="_Toc25853612"/>
      <w:bookmarkEnd w:id="26"/>
      <w:r>
        <w:t>Preconditions</w:t>
      </w:r>
    </w:p>
    <w:p>
      <w:pPr>
        <w:pStyle w:val="para11"/>
      </w:pPr>
      <w:r>
        <w:t>Actor must be an administrator</w:t>
      </w:r>
    </w:p>
    <w:p>
      <w:pPr>
        <w:pStyle w:val="para11"/>
      </w:pPr>
      <w:r/>
    </w:p>
    <w:p>
      <w:pPr>
        <w:pStyle w:val="para1"/>
        <w:numPr>
          <w:ilvl w:val="0"/>
          <w:numId w:val="1"/>
        </w:numPr>
        <w:ind w:left="720" w:hanging="720"/>
        <w:widowControl/>
      </w:pPr>
      <w:bookmarkStart w:id="27" w:name="_Toc423410255"/>
      <w:bookmarkEnd w:id="27"/>
      <w:r/>
      <w:bookmarkStart w:id="28" w:name="_Toc425054514"/>
      <w:bookmarkEnd w:id="28"/>
      <w:r/>
      <w:bookmarkStart w:id="29" w:name="_Toc508098440"/>
      <w:bookmarkEnd w:id="29"/>
      <w:r/>
      <w:bookmarkStart w:id="30" w:name="_Toc25853614"/>
      <w:bookmarkEnd w:id="30"/>
      <w:r>
        <w:t>Post-conditions</w:t>
      </w:r>
    </w:p>
    <w:p>
      <w:pPr>
        <w:pStyle w:val="para2"/>
        <w:numPr>
          <w:ilvl w:val="1"/>
          <w:numId w:val="1"/>
        </w:numPr>
        <w:ind w:left="720" w:hanging="720"/>
        <w:widowControl/>
      </w:pPr>
      <w:bookmarkStart w:id="31" w:name="_Toc25853615"/>
      <w:bookmarkEnd w:id="31"/>
      <w:r>
        <w:t>A table with recent payments shows up, with a filter</w:t>
      </w:r>
    </w:p>
    <w:p>
      <w:r>
        <w:tab/>
        <w:t>Customer’s name, phone number, age, address</w:t>
      </w:r>
    </w:p>
    <w:p>
      <w:r>
        <w:tab/>
        <w:t>Payment’s created date</w:t>
      </w:r>
    </w:p>
    <w:p>
      <w:pPr>
        <w:pStyle w:val="para11"/>
      </w:pPr>
      <w:r>
        <w:t>Payment’s state</w:t>
      </w:r>
    </w:p>
    <w:p>
      <w:pPr>
        <w:widowControl/>
      </w:pPr>
      <w:r/>
    </w:p>
    <w:p>
      <w:pPr>
        <w:widowControl/>
      </w:pPr>
      <w:r>
        <w:rPr>
          <w:rFonts w:ascii="Arial" w:hAnsi="Arial"/>
          <w:b/>
          <w:bCs/>
        </w:rPr>
        <w:t>5.2</w:t>
        <w:tab/>
        <w:t>Order information updates</w:t>
      </w:r>
      <w:r/>
    </w:p>
    <w:p>
      <w:pPr>
        <w:widowControl/>
      </w:pPr>
      <w:r/>
    </w:p>
    <w:p>
      <w:pPr>
        <w:widowControl/>
      </w:pPr>
      <w:r>
        <w:rPr>
          <w:rFonts w:ascii="Arial" w:hAnsi="Arial"/>
          <w:b/>
          <w:bCs/>
        </w:rPr>
        <w:t>5.3</w:t>
        <w:tab/>
        <w:t>Email sent immediately after order state changed</w:t>
      </w:r>
      <w:r/>
    </w:p>
    <w:p>
      <w:pPr>
        <w:widowControl/>
      </w:pPr>
      <w:r/>
    </w:p>
    <w:p>
      <w:pPr>
        <w:pStyle w:val="para1"/>
        <w:numPr>
          <w:ilvl w:val="0"/>
          <w:numId w:val="1"/>
        </w:numPr>
        <w:ind w:left="720" w:hanging="720"/>
      </w:pPr>
      <w:bookmarkStart w:id="32" w:name="_Toc508098442"/>
      <w:bookmarkEnd w:id="32"/>
      <w:r/>
      <w:bookmarkStart w:id="33" w:name="_Toc25853616"/>
      <w:bookmarkEnd w:id="33"/>
      <w:r>
        <w:t>Extension Points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5840" w:w="12240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Liberation Sans">
    <w:charset w:val="01"/>
    <w:family w:val="roman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Tahoma">
    <w:charset w:val="00"/>
    <w:family w:val="swiss"/>
    <w:pitch w:val="default"/>
  </w:font>
  <w:font w:name="Helvetica">
    <w:charset w:val="01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1"/>
      <w:tabOrder w:val="0"/>
      <w:jc w:val="left"/>
      <w:tblInd w:w="0" w:type="dxa"/>
      <w:tblW w:w="9359" w:type="dxa"/>
      <w:tblLook w:val="0000" w:firstRow="0" w:lastRow="0" w:firstColumn="0" w:lastColumn="0" w:noHBand="0" w:noVBand="0"/>
    </w:tblPr>
    <w:tblGrid>
      <w:gridCol w:w="3119"/>
      <w:gridCol w:w="3118"/>
      <w:gridCol w:w="3122"/>
    </w:tblGrid>
    <w:tr>
      <w:trPr>
        <w:tblHeader w:val="0"/>
        <w:cantSplit w:val="0"/>
        <w:trHeight w:val="0" w:hRule="auto"/>
      </w:trPr>
      <w:tc>
        <w:tcPr>
          <w:tcW w:w="3119" w:type="dxa"/>
          <w:shd w:val="none"/>
          <w:tcMar>
            <w:left w:w="115" w:type="dxa"/>
          </w:tcMar>
          <w:tmTcPr id="1577981361" protected="0"/>
        </w:tcPr>
        <w:p>
          <w:pPr>
            <w:ind w:right="360"/>
            <w:rPr>
              <w:sz w:val="24"/>
            </w:rPr>
          </w:pPr>
          <w:r>
            <w:t>Confidential</w:t>
          </w:r>
          <w:r>
            <w:rPr>
              <w:sz w:val="24"/>
            </w:rPr>
          </w:r>
        </w:p>
      </w:tc>
      <w:tc>
        <w:tcPr>
          <w:tcW w:w="3118" w:type="dxa"/>
          <w:shd w:val="none"/>
          <w:tcMar>
            <w:left w:w="115" w:type="dxa"/>
          </w:tcMar>
          <w:tmTcPr id="1577981361" protected="0"/>
        </w:tcPr>
        <w:p>
          <w:pPr>
            <w:spacing/>
            <w:jc w:val="center"/>
          </w:pPr>
          <w:r>
            <w:rPr>
              <w:rFonts w:ascii="Symbol" w:hAnsi="Symbol"/>
            </w:rPr>
            <w:t>Ó</w:t>
          </w:r>
          <w:r>
            <w:t>Group 22, 2019</w:t>
          </w:r>
        </w:p>
      </w:tc>
      <w:tc>
        <w:tcPr>
          <w:tcW w:w="3122" w:type="dxa"/>
          <w:shd w:val="none"/>
          <w:tcMar>
            <w:left w:w="115" w:type="dxa"/>
          </w:tcMar>
          <w:tmTcPr id="1577981361" protected="0"/>
        </w:tcPr>
        <w:p>
          <w:pPr>
            <w:spacing/>
            <w:jc w:val="right"/>
          </w:pPr>
          <w:r>
            <w:t xml:space="preserve">Page </w:t>
          </w:r>
          <w:r>
            <w:rPr>
              <w:rStyle w:val="char1"/>
            </w:rPr>
          </w:r>
          <w:r>
            <w:rPr>
              <w:rStyle w:val="char1"/>
            </w:rPr>
            <w:fldChar w:fldCharType="begin"/>
            <w:instrText xml:space="preserve"> PAGE </w:instrText>
            <w:fldChar w:fldCharType="separate"/>
            <w:t>3</w:t>
            <w:fldChar w:fldCharType="end"/>
          </w:r>
          <w:r/>
        </w:p>
      </w:tc>
    </w:tr>
  </w:tbl>
  <w:p>
    <w:pPr>
      <w:pStyle w:val="para2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  <w:r>
      <w:rPr>
        <w:sz w:val="24"/>
      </w:rPr>
    </w:r>
  </w:p>
  <w:p>
    <w:pPr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22 - 4C17/6C17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pStyle w:val="para23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2"/>
      <w:tabOrder w:val="0"/>
      <w:jc w:val="left"/>
      <w:tblInd w:w="0" w:type="dxa"/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361" protected="0"/>
        </w:tcPr>
        <w:p>
          <w:pPr/>
          <w:r>
            <w:t>Eyeconic</w:t>
          </w:r>
        </w:p>
      </w:tc>
      <w:tc>
        <w:tcPr>
          <w:tcW w:w="3178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361" protected="0"/>
        </w:tcPr>
        <w:p>
          <w:pPr>
            <w:ind w:right="68"/>
            <w:spacing w:before="40"/>
            <w:tabs defTabSz="720">
              <w:tab w:val="left" w:pos="1135" w:leader="none"/>
            </w:tabs>
          </w:pPr>
          <w:r>
            <w:t xml:space="preserve">  Version:           1.0</w:t>
          </w:r>
        </w:p>
      </w:tc>
    </w:tr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361" protected="0"/>
        </w:tcPr>
        <w:p>
          <w:pPr/>
          <w:r>
            <w:t>Use-Case Specification: M03 - Admin Orders Management</w:t>
          </w:r>
        </w:p>
      </w:tc>
      <w:tc>
        <w:tcPr>
          <w:tcW w:w="3178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361" protected="0"/>
        </w:tcPr>
        <w:p>
          <w:pPr/>
          <w:r>
            <w:t xml:space="preserve">  Date:  06/Nov/19</w:t>
          </w:r>
        </w:p>
      </w:tc>
    </w:tr>
    <w:tr>
      <w:trPr>
        <w:tblHeader w:val="0"/>
        <w:cantSplit w:val="0"/>
        <w:trHeight w:val="0" w:hRule="auto"/>
      </w:trPr>
      <w:tc>
        <w:tcPr>
          <w:tcW w:w="9558" w:type="dxa"/>
          <w:gridSpan w:val="2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361" protected="0"/>
        </w:tcPr>
        <w:p>
          <w:pPr/>
          <w:r>
            <w:t>UC_M03</w:t>
          </w:r>
        </w:p>
      </w:tc>
    </w:tr>
  </w:tbl>
  <w:p>
    <w:pPr>
      <w:pStyle w:val="para2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409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798136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2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2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2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2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2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2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2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2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2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2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2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2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2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2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2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2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2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2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/>
  <cp:revision>30</cp:revision>
  <dcterms:created xsi:type="dcterms:W3CDTF">2019-10-22T10:56:00Z</dcterms:created>
  <dcterms:modified xsi:type="dcterms:W3CDTF">2020-01-02T15:09:21Z</dcterms:modified>
</cp:coreProperties>
</file>