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4"/>
          <w:szCs w:val="24"/>
        </w:rPr>
        <w:t xml:space="preserve">LỚP PHÂN TÍCH 2</w:t>
      </w:r>
    </w:p>
    <w:p>
      <w:pPr>
        <w:spacing w:after="200"/>
        <w:jc w:val="center"/>
      </w:pPr>
      <w:r>
        <w:rPr>
          <w:b/>
          <w:bCs/>
          <w:color w:val="1F4E79"/>
          <w:sz w:val="34"/>
          <w:szCs w:val="34"/>
        </w:rPr>
        <w:t xml:space="preserve">PHÂN TÍCH MÔ TẢ &amp; CHẨN ĐOÁN (DESCRIPTIVE &amp; DIAGNOSTIC ANALYSIS)</w:t>
      </w:r>
    </w:p>
    <w:p>
      <w:pPr>
        <w:spacing w:after="150" w:line="300"/>
      </w:pPr>
      <w:r>
        <w:rPr>
          <w:b/>
          <w:bCs/>
          <w:sz w:val="22"/>
          <w:szCs w:val="22"/>
        </w:rPr>
        <w:t xml:space="preserve">Người thực hiện: </w:t>
      </w:r>
      <w:r>
        <w:rPr>
          <w:sz w:val="22"/>
          <w:szCs w:val="22"/>
        </w:rPr>
        <w:t xml:space="preserve">Võ Việt Hoàng (MSSV 52400191)</w:t>
      </w:r>
    </w:p>
    <w:p>
      <w:pPr>
        <w:spacing w:after="150" w:line="300"/>
      </w:pPr>
      <w:r>
        <w:rPr>
          <w:b/>
          <w:bCs/>
          <w:sz w:val="22"/>
          <w:szCs w:val="22"/>
        </w:rPr>
        <w:t xml:space="preserve">Nguồn: </w:t>
      </w:r>
      <w:r>
        <w:rPr>
          <w:sz w:val="22"/>
          <w:szCs w:val="22"/>
        </w:rPr>
        <w:t xml:space="preserve">Notebook 02_descriptive_diagnostic.ipynb</w:t>
      </w:r>
    </w:p>
    <w:p>
      <w:pPr>
        <w:spacing w:after="150" w:line="300"/>
      </w:pPr>
      <w:r>
        <w:rPr>
          <w:sz w:val="22"/>
          <w:szCs w:val="22"/>
        </w:rPr>
        <w:t xml:space="preserve">Tài liệu này trình bày lại toàn bộ notebook phân tích mô tả và chẩn đoán một cách chi tiết, dễ hiểu — giải thích mục tiêu của từng câu hỏi, cách xử lý dữ liệu, kết quả thu được và ý nghĩa thực tiễn — nhằm xác định điểm đen (hotspot), khung giờ nguy hiểm và các yếu tố liên quan đến mức độ nghiêm trọng của tai nạn giao thông, phục vụ đề xuất giải pháp trước mùa mưa bão.</w:t>
      </w:r>
    </w:p>
    <w:p>
      <w:pPr>
        <w:pStyle w:val="Heading1"/>
        <w:spacing w:after="200" w:before="400"/>
      </w:pPr>
      <w:r>
        <w:rPr>
          <w:b/>
          <w:bCs/>
          <w:color w:val="1F4E79"/>
          <w:sz w:val="30"/>
          <w:szCs w:val="30"/>
        </w:rPr>
        <w:t xml:space="preserve">1. Giới thiệu chung về dữ liệu</w:t>
      </w:r>
    </w:p>
    <w:p>
      <w:pPr>
        <w:spacing w:after="150" w:line="300"/>
      </w:pPr>
      <w:r>
        <w:rPr>
          <w:sz w:val="22"/>
          <w:szCs w:val="22"/>
        </w:rPr>
        <w:t xml:space="preserve">Dữ liệu sử dụng là bộ dữ liệu tai nạn giao thông đã được làm sạch ở bước trước (01_data_cleaning.ipynb), lưu tại accidents_clean_2y.csv.</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Quy mô dữ liệu</w:t>
            </w:r>
          </w:p>
          <w:p>
            <w:pPr>
              <w:spacing w:after="40"/>
            </w:pPr>
            <w:r>
              <w:rPr>
                <w:sz w:val="21"/>
                <w:szCs w:val="21"/>
              </w:rPr>
              <w:t xml:space="preserve">• 2.972.890 bản ghi (gần 3 triệu vụ tai nạn)</w:t>
            </w:r>
          </w:p>
          <w:p>
            <w:pPr>
              <w:spacing w:after="40"/>
            </w:pPr>
            <w:r>
              <w:rPr>
                <w:sz w:val="21"/>
                <w:szCs w:val="21"/>
              </w:rPr>
              <w:t xml:space="preserve">• 36 cột thông tin: thời gian, vị trí, thời tiết, hạ tầng đường bộ</w:t>
            </w:r>
          </w:p>
          <w:p>
            <w:pPr>
              <w:spacing w:after="40"/>
            </w:pPr>
            <w:r>
              <w:rPr>
                <w:sz w:val="21"/>
                <w:szCs w:val="21"/>
              </w:rPr>
              <w:t xml:space="preserve">• Khoảng thời gian: từ 31/03/2021 đến khoảng tháng 3/2023 (~2 năm)</w:t>
            </w:r>
          </w:p>
        </w:tc>
      </w:tr>
    </w:tbl>
    <w:p>
      <w:pPr>
        <w:spacing w:after="150" w:line="300"/>
      </w:pPr>
      <w:r>
        <w:rPr>
          <w:sz w:val="22"/>
          <w:szCs w:val="22"/>
        </w:rPr>
        <w:t xml:space="preserve">Với khối lượng và độ đa dạng dữ liệu như trên, nhóm có đủ điều kiện để phân tích tai nạn theo ba chiều: không gian (khu vực nào nguy hiểm), thời gian (khi nào nguy hiểm) và nguyên nhân (yếu tố nào làm tăng mức độ nghiêm trọng). Phần dưới đây lần lượt trả lời 7 câu hỏi phân tích, mỗi câu hỏi gồm: cách làm, kết quả số liệu và nhận xét ý nghĩa.</w:t>
      </w:r>
    </w:p>
    <w:p>
      <w:pPr>
        <w:pStyle w:val="Heading1"/>
        <w:spacing w:after="200" w:before="400"/>
      </w:pPr>
      <w:r>
        <w:rPr>
          <w:b/>
          <w:bCs/>
          <w:color w:val="1F4E79"/>
          <w:sz w:val="30"/>
          <w:szCs w:val="30"/>
        </w:rPr>
        <w:t xml:space="preserve">2. Câu hỏi 1 — Khu vực nào có mật độ tai nạn cao nhất? (Điểm đen theo thành phố)</w:t>
      </w:r>
    </w:p>
    <w:p>
      <w:pPr>
        <w:pStyle w:val="Heading3"/>
        <w:spacing w:after="100" w:before="200"/>
      </w:pPr>
      <w:r>
        <w:rPr>
          <w:b/>
          <w:bCs/>
          <w:color w:val="C00000"/>
          <w:sz w:val="23"/>
          <w:szCs w:val="23"/>
        </w:rPr>
        <w:t xml:space="preserve">Cách làm</w:t>
      </w:r>
    </w:p>
    <w:p>
      <w:pPr>
        <w:spacing w:after="150" w:line="300"/>
      </w:pPr>
      <w:r>
        <w:rPr>
          <w:sz w:val="22"/>
          <w:szCs w:val="22"/>
        </w:rPr>
        <w:t xml:space="preserve">Dữ liệu được nhóm theo cột City, tính hai chỉ số cho mỗi thành phố: tổng số vụ tai nạn (Total_Accidents) và số vụ nghiêm trọng — tức Severity từ 3 trở lên (Severe_Count). Từ đó suy ra tỷ lệ phần trăm tai nạn nghiêm trọng (Severe_Rate_%). Việc nhìn đồng thời hai chỉ số này (thay vì chỉ đếm tổng số vụ) giúp tránh nhầm lẫn giữa "nơi có nhiều tai nạn" và "nơi tai nạn nguy hiểm" — hai khái niệm khác nhau.</w:t>
      </w:r>
    </w:p>
    <w:p>
      <w:pPr>
        <w:pStyle w:val="Heading3"/>
        <w:spacing w:after="100" w:before="200"/>
      </w:pPr>
      <w:r>
        <w:rPr>
          <w:b/>
          <w:bCs/>
          <w:color w:val="C00000"/>
          <w:sz w:val="23"/>
          <w:szCs w:val="23"/>
        </w:rPr>
        <w:t xml:space="preserve">Kết quả — Top 10 thành phố có nhiều tai nạn nhất</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tblGrid>
      <w:tr>
        <w:trPr>
          <w:tblHeader/>
        </w:trPr>
        <w:tc>
          <w:tcPr>
            <w:tcW w:type="pct" w:w="30%"/>
            <w:shd w:fill="1F4E79" w:val="clear"/>
            <w:tcMar>
              <w:top w:type="dxa" w:w="80"/>
              <w:left w:type="dxa" w:w="100"/>
              <w:bottom w:type="dxa" w:w="80"/>
              <w:right w:type="dxa" w:w="100"/>
            </w:tcMar>
          </w:tcPr>
          <w:p>
            <w:pPr>
              <w:jc w:val="center"/>
            </w:pPr>
            <w:r>
              <w:rPr>
                <w:b/>
                <w:bCs/>
                <w:color w:val="FFFFFF"/>
                <w:sz w:val="20"/>
                <w:szCs w:val="20"/>
              </w:rPr>
              <w:t xml:space="preserve">Thành phố</w:t>
            </w:r>
          </w:p>
        </w:tc>
        <w:tc>
          <w:tcPr>
            <w:tcW w:type="pct" w:w="22%"/>
            <w:shd w:fill="1F4E79" w:val="clear"/>
            <w:tcMar>
              <w:top w:type="dxa" w:w="80"/>
              <w:left w:type="dxa" w:w="100"/>
              <w:bottom w:type="dxa" w:w="80"/>
              <w:right w:type="dxa" w:w="100"/>
            </w:tcMar>
          </w:tcPr>
          <w:p>
            <w:pPr>
              <w:jc w:val="center"/>
            </w:pPr>
            <w:r>
              <w:rPr>
                <w:b/>
                <w:bCs/>
                <w:color w:val="FFFFFF"/>
                <w:sz w:val="20"/>
                <w:szCs w:val="20"/>
              </w:rPr>
              <w:t xml:space="preserve">Tổng số vụ</w:t>
            </w:r>
          </w:p>
        </w:tc>
        <w:tc>
          <w:tcPr>
            <w:tcW w:type="pct" w:w="26%"/>
            <w:shd w:fill="1F4E79" w:val="clear"/>
            <w:tcMar>
              <w:top w:type="dxa" w:w="80"/>
              <w:left w:type="dxa" w:w="100"/>
              <w:bottom w:type="dxa" w:w="80"/>
              <w:right w:type="dxa" w:w="100"/>
            </w:tcMar>
          </w:tcPr>
          <w:p>
            <w:pPr>
              <w:jc w:val="center"/>
            </w:pPr>
            <w:r>
              <w:rPr>
                <w:b/>
                <w:bCs/>
                <w:color w:val="FFFFFF"/>
                <w:sz w:val="20"/>
                <w:szCs w:val="20"/>
              </w:rPr>
              <w:t xml:space="preserve">Số vụ nghiêm trọng</w:t>
            </w:r>
          </w:p>
        </w:tc>
        <w:tc>
          <w:tcPr>
            <w:tcW w:type="pct" w:w="22%"/>
            <w:shd w:fill="1F4E79" w:val="clear"/>
            <w:tcMar>
              <w:top w:type="dxa" w:w="80"/>
              <w:left w:type="dxa" w:w="100"/>
              <w:bottom w:type="dxa" w:w="80"/>
              <w:right w:type="dxa" w:w="100"/>
            </w:tcMar>
          </w:tcPr>
          <w:p>
            <w:pPr>
              <w:jc w:val="center"/>
            </w:pPr>
            <w:r>
              <w:rPr>
                <w:b/>
                <w:bCs/>
                <w:color w:val="FFFFFF"/>
                <w:sz w:val="20"/>
                <w:szCs w:val="20"/>
              </w:rPr>
              <w:t xml:space="preserve">Tỷ lệ nghiêm trọng (%)</w:t>
            </w:r>
          </w:p>
        </w:tc>
      </w:tr>
      <w:tr>
        <w:tc>
          <w:tcPr>
            <w:tcW w:type="pct" w:w="30%"/>
            <w:shd w:fill="FFFFFF" w:val="clear"/>
            <w:tcMar>
              <w:top w:type="dxa" w:w="70"/>
              <w:left w:type="dxa" w:w="100"/>
              <w:bottom w:type="dxa" w:w="70"/>
              <w:right w:type="dxa" w:w="100"/>
            </w:tcMar>
          </w:tcPr>
          <w:p>
            <w:pPr>
              <w:jc w:val="left"/>
            </w:pPr>
            <w:r>
              <w:rPr>
                <w:sz w:val="20"/>
                <w:szCs w:val="20"/>
              </w:rPr>
              <w:t xml:space="preserve">Miami</w:t>
            </w:r>
          </w:p>
        </w:tc>
        <w:tc>
          <w:tcPr>
            <w:tcW w:type="pct" w:w="22%"/>
            <w:shd w:fill="FFFFFF" w:val="clear"/>
            <w:tcMar>
              <w:top w:type="dxa" w:w="70"/>
              <w:left w:type="dxa" w:w="100"/>
              <w:bottom w:type="dxa" w:w="70"/>
              <w:right w:type="dxa" w:w="100"/>
            </w:tcMar>
          </w:tcPr>
          <w:p>
            <w:pPr>
              <w:jc w:val="center"/>
            </w:pPr>
            <w:r>
              <w:rPr>
                <w:sz w:val="20"/>
                <w:szCs w:val="20"/>
              </w:rPr>
              <w:t xml:space="preserve">112.899</w:t>
            </w:r>
          </w:p>
        </w:tc>
        <w:tc>
          <w:tcPr>
            <w:tcW w:type="pct" w:w="26%"/>
            <w:shd w:fill="FFFFFF" w:val="clear"/>
            <w:tcMar>
              <w:top w:type="dxa" w:w="70"/>
              <w:left w:type="dxa" w:w="100"/>
              <w:bottom w:type="dxa" w:w="70"/>
              <w:right w:type="dxa" w:w="100"/>
            </w:tcMar>
          </w:tcPr>
          <w:p>
            <w:pPr>
              <w:jc w:val="center"/>
            </w:pPr>
            <w:r>
              <w:rPr>
                <w:sz w:val="20"/>
                <w:szCs w:val="20"/>
              </w:rPr>
              <w:t xml:space="preserve">2.188</w:t>
            </w:r>
          </w:p>
        </w:tc>
        <w:tc>
          <w:tcPr>
            <w:tcW w:type="pct" w:w="22%"/>
            <w:shd w:fill="FFFFFF" w:val="clear"/>
            <w:tcMar>
              <w:top w:type="dxa" w:w="70"/>
              <w:left w:type="dxa" w:w="100"/>
              <w:bottom w:type="dxa" w:w="70"/>
              <w:right w:type="dxa" w:w="100"/>
            </w:tcMar>
          </w:tcPr>
          <w:p>
            <w:pPr>
              <w:jc w:val="center"/>
            </w:pPr>
            <w:r>
              <w:rPr>
                <w:sz w:val="20"/>
                <w:szCs w:val="20"/>
              </w:rPr>
              <w:t xml:space="preserve">1,94</w:t>
            </w:r>
          </w:p>
        </w:tc>
      </w:tr>
      <w:tr>
        <w:tc>
          <w:tcPr>
            <w:tcW w:type="pct" w:w="30%"/>
            <w:shd w:fill="F2F6FA" w:val="clear"/>
            <w:tcMar>
              <w:top w:type="dxa" w:w="70"/>
              <w:left w:type="dxa" w:w="100"/>
              <w:bottom w:type="dxa" w:w="70"/>
              <w:right w:type="dxa" w:w="100"/>
            </w:tcMar>
          </w:tcPr>
          <w:p>
            <w:pPr>
              <w:jc w:val="left"/>
            </w:pPr>
            <w:r>
              <w:rPr>
                <w:sz w:val="20"/>
                <w:szCs w:val="20"/>
              </w:rPr>
              <w:t xml:space="preserve">Orlando</w:t>
            </w:r>
          </w:p>
        </w:tc>
        <w:tc>
          <w:tcPr>
            <w:tcW w:type="pct" w:w="22%"/>
            <w:shd w:fill="F2F6FA" w:val="clear"/>
            <w:tcMar>
              <w:top w:type="dxa" w:w="70"/>
              <w:left w:type="dxa" w:w="100"/>
              <w:bottom w:type="dxa" w:w="70"/>
              <w:right w:type="dxa" w:w="100"/>
            </w:tcMar>
          </w:tcPr>
          <w:p>
            <w:pPr>
              <w:jc w:val="center"/>
            </w:pPr>
            <w:r>
              <w:rPr>
                <w:sz w:val="20"/>
                <w:szCs w:val="20"/>
              </w:rPr>
              <w:t xml:space="preserve">65.531</w:t>
            </w:r>
          </w:p>
        </w:tc>
        <w:tc>
          <w:tcPr>
            <w:tcW w:type="pct" w:w="26%"/>
            <w:shd w:fill="F2F6FA" w:val="clear"/>
            <w:tcMar>
              <w:top w:type="dxa" w:w="70"/>
              <w:left w:type="dxa" w:w="100"/>
              <w:bottom w:type="dxa" w:w="70"/>
              <w:right w:type="dxa" w:w="100"/>
            </w:tcMar>
          </w:tcPr>
          <w:p>
            <w:pPr>
              <w:jc w:val="center"/>
            </w:pPr>
            <w:r>
              <w:rPr>
                <w:sz w:val="20"/>
                <w:szCs w:val="20"/>
              </w:rPr>
              <w:t xml:space="preserve">847</w:t>
            </w:r>
          </w:p>
        </w:tc>
        <w:tc>
          <w:tcPr>
            <w:tcW w:type="pct" w:w="22%"/>
            <w:shd w:fill="F2F6FA" w:val="clear"/>
            <w:tcMar>
              <w:top w:type="dxa" w:w="70"/>
              <w:left w:type="dxa" w:w="100"/>
              <w:bottom w:type="dxa" w:w="70"/>
              <w:right w:type="dxa" w:w="100"/>
            </w:tcMar>
          </w:tcPr>
          <w:p>
            <w:pPr>
              <w:jc w:val="center"/>
            </w:pPr>
            <w:r>
              <w:rPr>
                <w:sz w:val="20"/>
                <w:szCs w:val="20"/>
              </w:rPr>
              <w:t xml:space="preserve">1,29</w:t>
            </w:r>
          </w:p>
        </w:tc>
      </w:tr>
      <w:tr>
        <w:tc>
          <w:tcPr>
            <w:tcW w:type="pct" w:w="30%"/>
            <w:shd w:fill="FFFFFF" w:val="clear"/>
            <w:tcMar>
              <w:top w:type="dxa" w:w="70"/>
              <w:left w:type="dxa" w:w="100"/>
              <w:bottom w:type="dxa" w:w="70"/>
              <w:right w:type="dxa" w:w="100"/>
            </w:tcMar>
          </w:tcPr>
          <w:p>
            <w:pPr>
              <w:jc w:val="left"/>
            </w:pPr>
            <w:r>
              <w:rPr>
                <w:sz w:val="20"/>
                <w:szCs w:val="20"/>
              </w:rPr>
              <w:t xml:space="preserve">Los Angeles</w:t>
            </w:r>
          </w:p>
        </w:tc>
        <w:tc>
          <w:tcPr>
            <w:tcW w:type="pct" w:w="22%"/>
            <w:shd w:fill="FFFFFF" w:val="clear"/>
            <w:tcMar>
              <w:top w:type="dxa" w:w="70"/>
              <w:left w:type="dxa" w:w="100"/>
              <w:bottom w:type="dxa" w:w="70"/>
              <w:right w:type="dxa" w:w="100"/>
            </w:tcMar>
          </w:tcPr>
          <w:p>
            <w:pPr>
              <w:jc w:val="center"/>
            </w:pPr>
            <w:r>
              <w:rPr>
                <w:sz w:val="20"/>
                <w:szCs w:val="20"/>
              </w:rPr>
              <w:t xml:space="preserve">57.077</w:t>
            </w:r>
          </w:p>
        </w:tc>
        <w:tc>
          <w:tcPr>
            <w:tcW w:type="pct" w:w="26%"/>
            <w:shd w:fill="FFFFFF" w:val="clear"/>
            <w:tcMar>
              <w:top w:type="dxa" w:w="70"/>
              <w:left w:type="dxa" w:w="100"/>
              <w:bottom w:type="dxa" w:w="70"/>
              <w:right w:type="dxa" w:w="100"/>
            </w:tcMar>
          </w:tcPr>
          <w:p>
            <w:pPr>
              <w:jc w:val="center"/>
            </w:pPr>
            <w:r>
              <w:rPr>
                <w:sz w:val="20"/>
                <w:szCs w:val="20"/>
              </w:rPr>
              <w:t xml:space="preserve">4.539</w:t>
            </w:r>
          </w:p>
        </w:tc>
        <w:tc>
          <w:tcPr>
            <w:tcW w:type="pct" w:w="22%"/>
            <w:shd w:fill="FFFFFF" w:val="clear"/>
            <w:tcMar>
              <w:top w:type="dxa" w:w="70"/>
              <w:left w:type="dxa" w:w="100"/>
              <w:bottom w:type="dxa" w:w="70"/>
              <w:right w:type="dxa" w:w="100"/>
            </w:tcMar>
          </w:tcPr>
          <w:p>
            <w:pPr>
              <w:jc w:val="center"/>
            </w:pPr>
            <w:r>
              <w:rPr>
                <w:sz w:val="20"/>
                <w:szCs w:val="20"/>
              </w:rPr>
              <w:t xml:space="preserve">7,95</w:t>
            </w:r>
          </w:p>
        </w:tc>
      </w:tr>
      <w:tr>
        <w:tc>
          <w:tcPr>
            <w:tcW w:type="pct" w:w="30%"/>
            <w:shd w:fill="F2F6FA" w:val="clear"/>
            <w:tcMar>
              <w:top w:type="dxa" w:w="70"/>
              <w:left w:type="dxa" w:w="100"/>
              <w:bottom w:type="dxa" w:w="70"/>
              <w:right w:type="dxa" w:w="100"/>
            </w:tcMar>
          </w:tcPr>
          <w:p>
            <w:pPr>
              <w:jc w:val="left"/>
            </w:pPr>
            <w:r>
              <w:rPr>
                <w:sz w:val="20"/>
                <w:szCs w:val="20"/>
              </w:rPr>
              <w:t xml:space="preserve">Houston</w:t>
            </w:r>
          </w:p>
        </w:tc>
        <w:tc>
          <w:tcPr>
            <w:tcW w:type="pct" w:w="22%"/>
            <w:shd w:fill="F2F6FA" w:val="clear"/>
            <w:tcMar>
              <w:top w:type="dxa" w:w="70"/>
              <w:left w:type="dxa" w:w="100"/>
              <w:bottom w:type="dxa" w:w="70"/>
              <w:right w:type="dxa" w:w="100"/>
            </w:tcMar>
          </w:tcPr>
          <w:p>
            <w:pPr>
              <w:jc w:val="center"/>
            </w:pPr>
            <w:r>
              <w:rPr>
                <w:sz w:val="20"/>
                <w:szCs w:val="20"/>
              </w:rPr>
              <w:t xml:space="preserve">48.500</w:t>
            </w:r>
          </w:p>
        </w:tc>
        <w:tc>
          <w:tcPr>
            <w:tcW w:type="pct" w:w="26%"/>
            <w:shd w:fill="F2F6FA" w:val="clear"/>
            <w:tcMar>
              <w:top w:type="dxa" w:w="70"/>
              <w:left w:type="dxa" w:w="100"/>
              <w:bottom w:type="dxa" w:w="70"/>
              <w:right w:type="dxa" w:w="100"/>
            </w:tcMar>
          </w:tcPr>
          <w:p>
            <w:pPr>
              <w:jc w:val="center"/>
            </w:pPr>
            <w:r>
              <w:rPr>
                <w:sz w:val="20"/>
                <w:szCs w:val="20"/>
              </w:rPr>
              <w:t xml:space="preserve">4.809</w:t>
            </w:r>
          </w:p>
        </w:tc>
        <w:tc>
          <w:tcPr>
            <w:tcW w:type="pct" w:w="22%"/>
            <w:shd w:fill="F2F6FA" w:val="clear"/>
            <w:tcMar>
              <w:top w:type="dxa" w:w="70"/>
              <w:left w:type="dxa" w:w="100"/>
              <w:bottom w:type="dxa" w:w="70"/>
              <w:right w:type="dxa" w:w="100"/>
            </w:tcMar>
          </w:tcPr>
          <w:p>
            <w:pPr>
              <w:jc w:val="center"/>
            </w:pPr>
            <w:r>
              <w:rPr>
                <w:sz w:val="20"/>
                <w:szCs w:val="20"/>
              </w:rPr>
              <w:t xml:space="preserve">9,92</w:t>
            </w:r>
          </w:p>
        </w:tc>
      </w:tr>
      <w:tr>
        <w:tc>
          <w:tcPr>
            <w:tcW w:type="pct" w:w="30%"/>
            <w:shd w:fill="FFFFFF" w:val="clear"/>
            <w:tcMar>
              <w:top w:type="dxa" w:w="70"/>
              <w:left w:type="dxa" w:w="100"/>
              <w:bottom w:type="dxa" w:w="70"/>
              <w:right w:type="dxa" w:w="100"/>
            </w:tcMar>
          </w:tcPr>
          <w:p>
            <w:pPr>
              <w:jc w:val="left"/>
            </w:pPr>
            <w:r>
              <w:rPr>
                <w:sz w:val="20"/>
                <w:szCs w:val="20"/>
              </w:rPr>
              <w:t xml:space="preserve">Dallas</w:t>
            </w:r>
          </w:p>
        </w:tc>
        <w:tc>
          <w:tcPr>
            <w:tcW w:type="pct" w:w="22%"/>
            <w:shd w:fill="FFFFFF" w:val="clear"/>
            <w:tcMar>
              <w:top w:type="dxa" w:w="70"/>
              <w:left w:type="dxa" w:w="100"/>
              <w:bottom w:type="dxa" w:w="70"/>
              <w:right w:type="dxa" w:w="100"/>
            </w:tcMar>
          </w:tcPr>
          <w:p>
            <w:pPr>
              <w:jc w:val="center"/>
            </w:pPr>
            <w:r>
              <w:rPr>
                <w:sz w:val="20"/>
                <w:szCs w:val="20"/>
              </w:rPr>
              <w:t xml:space="preserve">48.154</w:t>
            </w:r>
          </w:p>
        </w:tc>
        <w:tc>
          <w:tcPr>
            <w:tcW w:type="pct" w:w="26%"/>
            <w:shd w:fill="FFFFFF" w:val="clear"/>
            <w:tcMar>
              <w:top w:type="dxa" w:w="70"/>
              <w:left w:type="dxa" w:w="100"/>
              <w:bottom w:type="dxa" w:w="70"/>
              <w:right w:type="dxa" w:w="100"/>
            </w:tcMar>
          </w:tcPr>
          <w:p>
            <w:pPr>
              <w:jc w:val="center"/>
            </w:pPr>
            <w:r>
              <w:rPr>
                <w:sz w:val="20"/>
                <w:szCs w:val="20"/>
              </w:rPr>
              <w:t xml:space="preserve">5.821</w:t>
            </w:r>
          </w:p>
        </w:tc>
        <w:tc>
          <w:tcPr>
            <w:tcW w:type="pct" w:w="22%"/>
            <w:shd w:fill="FFFFFF" w:val="clear"/>
            <w:tcMar>
              <w:top w:type="dxa" w:w="70"/>
              <w:left w:type="dxa" w:w="100"/>
              <w:bottom w:type="dxa" w:w="70"/>
              <w:right w:type="dxa" w:w="100"/>
            </w:tcMar>
          </w:tcPr>
          <w:p>
            <w:pPr>
              <w:jc w:val="center"/>
            </w:pPr>
            <w:r>
              <w:rPr>
                <w:sz w:val="20"/>
                <w:szCs w:val="20"/>
              </w:rPr>
              <w:t xml:space="preserve">12,09</w:t>
            </w:r>
          </w:p>
        </w:tc>
      </w:tr>
      <w:tr>
        <w:tc>
          <w:tcPr>
            <w:tcW w:type="pct" w:w="30%"/>
            <w:shd w:fill="F2F6FA" w:val="clear"/>
            <w:tcMar>
              <w:top w:type="dxa" w:w="70"/>
              <w:left w:type="dxa" w:w="100"/>
              <w:bottom w:type="dxa" w:w="70"/>
              <w:right w:type="dxa" w:w="100"/>
            </w:tcMar>
          </w:tcPr>
          <w:p>
            <w:pPr>
              <w:jc w:val="left"/>
            </w:pPr>
            <w:r>
              <w:rPr>
                <w:sz w:val="20"/>
                <w:szCs w:val="20"/>
              </w:rPr>
              <w:t xml:space="preserve">Charlotte</w:t>
            </w:r>
          </w:p>
        </w:tc>
        <w:tc>
          <w:tcPr>
            <w:tcW w:type="pct" w:w="22%"/>
            <w:shd w:fill="F2F6FA" w:val="clear"/>
            <w:tcMar>
              <w:top w:type="dxa" w:w="70"/>
              <w:left w:type="dxa" w:w="100"/>
              <w:bottom w:type="dxa" w:w="70"/>
              <w:right w:type="dxa" w:w="100"/>
            </w:tcMar>
          </w:tcPr>
          <w:p>
            <w:pPr>
              <w:jc w:val="center"/>
            </w:pPr>
            <w:r>
              <w:rPr>
                <w:sz w:val="20"/>
                <w:szCs w:val="20"/>
              </w:rPr>
              <w:t xml:space="preserve">44.914</w:t>
            </w:r>
          </w:p>
        </w:tc>
        <w:tc>
          <w:tcPr>
            <w:tcW w:type="pct" w:w="26%"/>
            <w:shd w:fill="F2F6FA" w:val="clear"/>
            <w:tcMar>
              <w:top w:type="dxa" w:w="70"/>
              <w:left w:type="dxa" w:w="100"/>
              <w:bottom w:type="dxa" w:w="70"/>
              <w:right w:type="dxa" w:w="100"/>
            </w:tcMar>
          </w:tcPr>
          <w:p>
            <w:pPr>
              <w:jc w:val="center"/>
            </w:pPr>
            <w:r>
              <w:rPr>
                <w:sz w:val="20"/>
                <w:szCs w:val="20"/>
              </w:rPr>
              <w:t xml:space="preserve">1.589</w:t>
            </w:r>
          </w:p>
        </w:tc>
        <w:tc>
          <w:tcPr>
            <w:tcW w:type="pct" w:w="22%"/>
            <w:shd w:fill="F2F6FA" w:val="clear"/>
            <w:tcMar>
              <w:top w:type="dxa" w:w="70"/>
              <w:left w:type="dxa" w:w="100"/>
              <w:bottom w:type="dxa" w:w="70"/>
              <w:right w:type="dxa" w:w="100"/>
            </w:tcMar>
          </w:tcPr>
          <w:p>
            <w:pPr>
              <w:jc w:val="center"/>
            </w:pPr>
            <w:r>
              <w:rPr>
                <w:sz w:val="20"/>
                <w:szCs w:val="20"/>
              </w:rPr>
              <w:t xml:space="preserve">3,54</w:t>
            </w:r>
          </w:p>
        </w:tc>
      </w:tr>
      <w:tr>
        <w:tc>
          <w:tcPr>
            <w:tcW w:type="pct" w:w="30%"/>
            <w:shd w:fill="FFFFFF" w:val="clear"/>
            <w:tcMar>
              <w:top w:type="dxa" w:w="70"/>
              <w:left w:type="dxa" w:w="100"/>
              <w:bottom w:type="dxa" w:w="70"/>
              <w:right w:type="dxa" w:w="100"/>
            </w:tcMar>
          </w:tcPr>
          <w:p>
            <w:pPr>
              <w:jc w:val="left"/>
            </w:pPr>
            <w:r>
              <w:rPr>
                <w:sz w:val="20"/>
                <w:szCs w:val="20"/>
              </w:rPr>
              <w:t xml:space="preserve">Raleigh</w:t>
            </w:r>
          </w:p>
        </w:tc>
        <w:tc>
          <w:tcPr>
            <w:tcW w:type="pct" w:w="22%"/>
            <w:shd w:fill="FFFFFF" w:val="clear"/>
            <w:tcMar>
              <w:top w:type="dxa" w:w="70"/>
              <w:left w:type="dxa" w:w="100"/>
              <w:bottom w:type="dxa" w:w="70"/>
              <w:right w:type="dxa" w:w="100"/>
            </w:tcMar>
          </w:tcPr>
          <w:p>
            <w:pPr>
              <w:jc w:val="center"/>
            </w:pPr>
            <w:r>
              <w:rPr>
                <w:sz w:val="20"/>
                <w:szCs w:val="20"/>
              </w:rPr>
              <w:t xml:space="preserve">30.195</w:t>
            </w:r>
          </w:p>
        </w:tc>
        <w:tc>
          <w:tcPr>
            <w:tcW w:type="pct" w:w="26%"/>
            <w:shd w:fill="FFFFFF" w:val="clear"/>
            <w:tcMar>
              <w:top w:type="dxa" w:w="70"/>
              <w:left w:type="dxa" w:w="100"/>
              <w:bottom w:type="dxa" w:w="70"/>
              <w:right w:type="dxa" w:w="100"/>
            </w:tcMar>
          </w:tcPr>
          <w:p>
            <w:pPr>
              <w:jc w:val="center"/>
            </w:pPr>
            <w:r>
              <w:rPr>
                <w:sz w:val="20"/>
                <w:szCs w:val="20"/>
              </w:rPr>
              <w:t xml:space="preserve">903</w:t>
            </w:r>
          </w:p>
        </w:tc>
        <w:tc>
          <w:tcPr>
            <w:tcW w:type="pct" w:w="22%"/>
            <w:shd w:fill="FFFFFF" w:val="clear"/>
            <w:tcMar>
              <w:top w:type="dxa" w:w="70"/>
              <w:left w:type="dxa" w:w="100"/>
              <w:bottom w:type="dxa" w:w="70"/>
              <w:right w:type="dxa" w:w="100"/>
            </w:tcMar>
          </w:tcPr>
          <w:p>
            <w:pPr>
              <w:jc w:val="center"/>
            </w:pPr>
            <w:r>
              <w:rPr>
                <w:sz w:val="20"/>
                <w:szCs w:val="20"/>
              </w:rPr>
              <w:t xml:space="preserve">2,99</w:t>
            </w:r>
          </w:p>
        </w:tc>
      </w:tr>
      <w:tr>
        <w:tc>
          <w:tcPr>
            <w:tcW w:type="pct" w:w="30%"/>
            <w:shd w:fill="F2F6FA" w:val="clear"/>
            <w:tcMar>
              <w:top w:type="dxa" w:w="70"/>
              <w:left w:type="dxa" w:w="100"/>
              <w:bottom w:type="dxa" w:w="70"/>
              <w:right w:type="dxa" w:w="100"/>
            </w:tcMar>
          </w:tcPr>
          <w:p>
            <w:pPr>
              <w:jc w:val="left"/>
            </w:pPr>
            <w:r>
              <w:rPr>
                <w:sz w:val="20"/>
                <w:szCs w:val="20"/>
              </w:rPr>
              <w:t xml:space="preserve">Nashville</w:t>
            </w:r>
          </w:p>
        </w:tc>
        <w:tc>
          <w:tcPr>
            <w:tcW w:type="pct" w:w="22%"/>
            <w:shd w:fill="F2F6FA" w:val="clear"/>
            <w:tcMar>
              <w:top w:type="dxa" w:w="70"/>
              <w:left w:type="dxa" w:w="100"/>
              <w:bottom w:type="dxa" w:w="70"/>
              <w:right w:type="dxa" w:w="100"/>
            </w:tcMar>
          </w:tcPr>
          <w:p>
            <w:pPr>
              <w:jc w:val="center"/>
            </w:pPr>
            <w:r>
              <w:rPr>
                <w:sz w:val="20"/>
                <w:szCs w:val="20"/>
              </w:rPr>
              <w:t xml:space="preserve">28.111</w:t>
            </w:r>
          </w:p>
        </w:tc>
        <w:tc>
          <w:tcPr>
            <w:tcW w:type="pct" w:w="26%"/>
            <w:shd w:fill="F2F6FA" w:val="clear"/>
            <w:tcMar>
              <w:top w:type="dxa" w:w="70"/>
              <w:left w:type="dxa" w:w="100"/>
              <w:bottom w:type="dxa" w:w="70"/>
              <w:right w:type="dxa" w:w="100"/>
            </w:tcMar>
          </w:tcPr>
          <w:p>
            <w:pPr>
              <w:jc w:val="center"/>
            </w:pPr>
            <w:r>
              <w:rPr>
                <w:sz w:val="20"/>
                <w:szCs w:val="20"/>
              </w:rPr>
              <w:t xml:space="preserve">1.538</w:t>
            </w:r>
          </w:p>
        </w:tc>
        <w:tc>
          <w:tcPr>
            <w:tcW w:type="pct" w:w="22%"/>
            <w:shd w:fill="F2F6FA" w:val="clear"/>
            <w:tcMar>
              <w:top w:type="dxa" w:w="70"/>
              <w:left w:type="dxa" w:w="100"/>
              <w:bottom w:type="dxa" w:w="70"/>
              <w:right w:type="dxa" w:w="100"/>
            </w:tcMar>
          </w:tcPr>
          <w:p>
            <w:pPr>
              <w:jc w:val="center"/>
            </w:pPr>
            <w:r>
              <w:rPr>
                <w:sz w:val="20"/>
                <w:szCs w:val="20"/>
              </w:rPr>
              <w:t xml:space="preserve">5,47</w:t>
            </w:r>
          </w:p>
        </w:tc>
      </w:tr>
      <w:tr>
        <w:tc>
          <w:tcPr>
            <w:tcW w:type="pct" w:w="30%"/>
            <w:shd w:fill="FFFFFF" w:val="clear"/>
            <w:tcMar>
              <w:top w:type="dxa" w:w="70"/>
              <w:left w:type="dxa" w:w="100"/>
              <w:bottom w:type="dxa" w:w="70"/>
              <w:right w:type="dxa" w:w="100"/>
            </w:tcMar>
          </w:tcPr>
          <w:p>
            <w:pPr>
              <w:jc w:val="left"/>
            </w:pPr>
            <w:r>
              <w:rPr>
                <w:sz w:val="20"/>
                <w:szCs w:val="20"/>
              </w:rPr>
              <w:t xml:space="preserve">Baton Rouge</w:t>
            </w:r>
          </w:p>
        </w:tc>
        <w:tc>
          <w:tcPr>
            <w:tcW w:type="pct" w:w="22%"/>
            <w:shd w:fill="FFFFFF" w:val="clear"/>
            <w:tcMar>
              <w:top w:type="dxa" w:w="70"/>
              <w:left w:type="dxa" w:w="100"/>
              <w:bottom w:type="dxa" w:w="70"/>
              <w:right w:type="dxa" w:w="100"/>
            </w:tcMar>
          </w:tcPr>
          <w:p>
            <w:pPr>
              <w:jc w:val="center"/>
            </w:pPr>
            <w:r>
              <w:rPr>
                <w:sz w:val="20"/>
                <w:szCs w:val="20"/>
              </w:rPr>
              <w:t xml:space="preserve">25.540</w:t>
            </w:r>
          </w:p>
        </w:tc>
        <w:tc>
          <w:tcPr>
            <w:tcW w:type="pct" w:w="26%"/>
            <w:shd w:fill="FFFFFF" w:val="clear"/>
            <w:tcMar>
              <w:top w:type="dxa" w:w="70"/>
              <w:left w:type="dxa" w:w="100"/>
              <w:bottom w:type="dxa" w:w="70"/>
              <w:right w:type="dxa" w:w="100"/>
            </w:tcMar>
          </w:tcPr>
          <w:p>
            <w:pPr>
              <w:jc w:val="center"/>
            </w:pPr>
            <w:r>
              <w:rPr>
                <w:sz w:val="20"/>
                <w:szCs w:val="20"/>
              </w:rPr>
              <w:t xml:space="preserve">981</w:t>
            </w:r>
          </w:p>
        </w:tc>
        <w:tc>
          <w:tcPr>
            <w:tcW w:type="pct" w:w="22%"/>
            <w:shd w:fill="FFFFFF" w:val="clear"/>
            <w:tcMar>
              <w:top w:type="dxa" w:w="70"/>
              <w:left w:type="dxa" w:w="100"/>
              <w:bottom w:type="dxa" w:w="70"/>
              <w:right w:type="dxa" w:w="100"/>
            </w:tcMar>
          </w:tcPr>
          <w:p>
            <w:pPr>
              <w:jc w:val="center"/>
            </w:pPr>
            <w:r>
              <w:rPr>
                <w:sz w:val="20"/>
                <w:szCs w:val="20"/>
              </w:rPr>
              <w:t xml:space="preserve">3,84</w:t>
            </w:r>
          </w:p>
        </w:tc>
      </w:tr>
      <w:tr>
        <w:tc>
          <w:tcPr>
            <w:tcW w:type="pct" w:w="30%"/>
            <w:shd w:fill="F2F6FA" w:val="clear"/>
            <w:tcMar>
              <w:top w:type="dxa" w:w="70"/>
              <w:left w:type="dxa" w:w="100"/>
              <w:bottom w:type="dxa" w:w="70"/>
              <w:right w:type="dxa" w:w="100"/>
            </w:tcMar>
          </w:tcPr>
          <w:p>
            <w:pPr>
              <w:jc w:val="left"/>
            </w:pPr>
            <w:r>
              <w:rPr>
                <w:sz w:val="20"/>
                <w:szCs w:val="20"/>
              </w:rPr>
              <w:t xml:space="preserve">San Diego</w:t>
            </w:r>
          </w:p>
        </w:tc>
        <w:tc>
          <w:tcPr>
            <w:tcW w:type="pct" w:w="22%"/>
            <w:shd w:fill="F2F6FA" w:val="clear"/>
            <w:tcMar>
              <w:top w:type="dxa" w:w="70"/>
              <w:left w:type="dxa" w:w="100"/>
              <w:bottom w:type="dxa" w:w="70"/>
              <w:right w:type="dxa" w:w="100"/>
            </w:tcMar>
          </w:tcPr>
          <w:p>
            <w:pPr>
              <w:jc w:val="center"/>
            </w:pPr>
            <w:r>
              <w:rPr>
                <w:sz w:val="20"/>
                <w:szCs w:val="20"/>
              </w:rPr>
              <w:t xml:space="preserve">24.009</w:t>
            </w:r>
          </w:p>
        </w:tc>
        <w:tc>
          <w:tcPr>
            <w:tcW w:type="pct" w:w="26%"/>
            <w:shd w:fill="F2F6FA" w:val="clear"/>
            <w:tcMar>
              <w:top w:type="dxa" w:w="70"/>
              <w:left w:type="dxa" w:w="100"/>
              <w:bottom w:type="dxa" w:w="70"/>
              <w:right w:type="dxa" w:w="100"/>
            </w:tcMar>
          </w:tcPr>
          <w:p>
            <w:pPr>
              <w:jc w:val="center"/>
            </w:pPr>
            <w:r>
              <w:rPr>
                <w:sz w:val="20"/>
                <w:szCs w:val="20"/>
              </w:rPr>
              <w:t xml:space="preserve">1.035</w:t>
            </w:r>
          </w:p>
        </w:tc>
        <w:tc>
          <w:tcPr>
            <w:tcW w:type="pct" w:w="22%"/>
            <w:shd w:fill="F2F6FA" w:val="clear"/>
            <w:tcMar>
              <w:top w:type="dxa" w:w="70"/>
              <w:left w:type="dxa" w:w="100"/>
              <w:bottom w:type="dxa" w:w="70"/>
              <w:right w:type="dxa" w:w="100"/>
            </w:tcMar>
          </w:tcPr>
          <w:p>
            <w:pPr>
              <w:jc w:val="center"/>
            </w:pPr>
            <w:r>
              <w:rPr>
                <w:sz w:val="20"/>
                <w:szCs w:val="20"/>
              </w:rPr>
              <w:t xml:space="preserve">4,31</w:t>
            </w:r>
          </w:p>
        </w:tc>
      </w:tr>
    </w:tbl>
    <w:p>
      <w:pPr>
        <w:pStyle w:val="Heading3"/>
        <w:spacing w:after="100" w:before="200"/>
      </w:pPr>
      <w:r>
        <w:rPr>
          <w:b/>
          <w:bCs/>
          <w:color w:val="C00000"/>
          <w:sz w:val="23"/>
          <w:szCs w:val="23"/>
        </w:rPr>
        <w:t xml:space="preserve">Ý nghĩa thực tiễn</w:t>
      </w:r>
    </w:p>
    <w:p>
      <w:pPr>
        <w:spacing w:after="150" w:line="300"/>
      </w:pPr>
      <w:r>
        <w:rPr>
          <w:sz w:val="22"/>
          <w:szCs w:val="22"/>
        </w:rPr>
        <w:t xml:space="preserve">Miami dẫn đầu tuyệt đối về tổng số vụ (112.899 vụ) nhưng tỷ lệ nghiêm trọng chỉ 1,94% — thấp nhất trong top 10. Ngược lại, Dallas có tổng số vụ thấp hơn nhiều (48.154 vụ) nhưng tỷ lệ nghiêm trọng lại cao nhất nhóm (12,09%), theo sau là Houston (9,92%).</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Kết luận</w:t>
            </w:r>
          </w:p>
          <w:p>
            <w:pPr>
              <w:spacing w:after="40"/>
            </w:pPr>
            <w:r>
              <w:rPr>
                <w:sz w:val="21"/>
                <w:szCs w:val="21"/>
              </w:rPr>
              <w:t xml:space="preserve">• "Nhiều tai nạn nhất" và "nguy hiểm nhất" là hai vấn đề khác nhau, cần hai chiến lược khác nhau.</w:t>
            </w:r>
          </w:p>
          <w:p>
            <w:pPr>
              <w:spacing w:after="40"/>
            </w:pPr>
            <w:r>
              <w:rPr>
                <w:sz w:val="21"/>
                <w:szCs w:val="21"/>
              </w:rPr>
              <w:t xml:space="preserve">• Miami: cần ưu tiên giảm tần suất xảy ra tai nạn (ví dụ cải thiện lưu thông, giảm ùn tắc).</w:t>
            </w:r>
          </w:p>
          <w:p>
            <w:pPr>
              <w:spacing w:after="40"/>
            </w:pPr>
            <w:r>
              <w:rPr>
                <w:sz w:val="21"/>
                <w:szCs w:val="21"/>
              </w:rPr>
              <w:t xml:space="preserve">• Dallas, Houston: cần ưu tiên giảm mức độ nghiêm trọng khi tai nạn xảy ra (ví dụ giới hạn tốc độ, cải thiện hạ tầng an toàn).</w:t>
            </w:r>
          </w:p>
        </w:tc>
      </w:tr>
    </w:tbl>
    <w:p>
      <w:pPr>
        <w:pStyle w:val="Heading1"/>
        <w:spacing w:after="200" w:before="400"/>
      </w:pPr>
      <w:r>
        <w:rPr>
          <w:b/>
          <w:bCs/>
          <w:color w:val="1F4E79"/>
          <w:sz w:val="30"/>
          <w:szCs w:val="30"/>
        </w:rPr>
        <w:t xml:space="preserve">3. Câu hỏi 2 — Khung giờ nào trong ngày xảy ra tai nạn nhiều nhất?</w:t>
      </w:r>
    </w:p>
    <w:p>
      <w:pPr>
        <w:pStyle w:val="Heading3"/>
        <w:spacing w:after="100" w:before="200"/>
      </w:pPr>
      <w:r>
        <w:rPr>
          <w:b/>
          <w:bCs/>
          <w:color w:val="C00000"/>
          <w:sz w:val="23"/>
          <w:szCs w:val="23"/>
        </w:rPr>
        <w:t xml:space="preserve">Cách làm</w:t>
      </w:r>
    </w:p>
    <w:p>
      <w:pPr>
        <w:spacing w:after="150" w:line="300"/>
      </w:pPr>
      <w:r>
        <w:rPr>
          <w:sz w:val="22"/>
          <w:szCs w:val="22"/>
        </w:rPr>
        <w:t xml:space="preserve">Dữ liệu được nhóm theo cột Hour (giờ trong ngày, từ 0 đến 23) và đếm số vụ tai nạn ở mỗi giờ, sau đó lấy ra 10 khung giờ có số vụ cao nhất.</w:t>
      </w:r>
    </w:p>
    <w:p>
      <w:pPr>
        <w:pStyle w:val="Heading3"/>
        <w:spacing w:after="100" w:before="200"/>
      </w:pPr>
      <w:r>
        <w:rPr>
          <w:b/>
          <w:bCs/>
          <w:color w:val="C00000"/>
          <w:sz w:val="23"/>
          <w:szCs w:val="23"/>
        </w:rPr>
        <w:t xml:space="preserve">Kết quả — Top 10 khung giờ nhiều tai nạn nhất</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tblGrid>
      <w:tr>
        <w:trPr>
          <w:tblHeader/>
        </w:trPr>
        <w:tc>
          <w:tcPr>
            <w:tcW w:type="pct" w:w="50%"/>
            <w:shd w:fill="1F4E79" w:val="clear"/>
            <w:tcMar>
              <w:top w:type="dxa" w:w="80"/>
              <w:left w:type="dxa" w:w="100"/>
              <w:bottom w:type="dxa" w:w="80"/>
              <w:right w:type="dxa" w:w="100"/>
            </w:tcMar>
          </w:tcPr>
          <w:p>
            <w:pPr>
              <w:jc w:val="center"/>
            </w:pPr>
            <w:r>
              <w:rPr>
                <w:b/>
                <w:bCs/>
                <w:color w:val="FFFFFF"/>
                <w:sz w:val="20"/>
                <w:szCs w:val="20"/>
              </w:rPr>
              <w:t xml:space="preserve">Giờ trong ngày</w:t>
            </w:r>
          </w:p>
        </w:tc>
        <w:tc>
          <w:tcPr>
            <w:tcW w:type="pct" w:w="50%"/>
            <w:shd w:fill="1F4E79" w:val="clear"/>
            <w:tcMar>
              <w:top w:type="dxa" w:w="80"/>
              <w:left w:type="dxa" w:w="100"/>
              <w:bottom w:type="dxa" w:w="80"/>
              <w:right w:type="dxa" w:w="100"/>
            </w:tcMar>
          </w:tcPr>
          <w:p>
            <w:pPr>
              <w:jc w:val="center"/>
            </w:pPr>
            <w:r>
              <w:rPr>
                <w:b/>
                <w:bCs/>
                <w:color w:val="FFFFFF"/>
                <w:sz w:val="20"/>
                <w:szCs w:val="20"/>
              </w:rPr>
              <w:t xml:space="preserve">Số vụ tai nạn</w:t>
            </w:r>
          </w:p>
        </w:tc>
      </w:tr>
      <w:tr>
        <w:tc>
          <w:tcPr>
            <w:tcW w:type="pct" w:w="50%"/>
            <w:shd w:fill="FFFFFF" w:val="clear"/>
            <w:tcMar>
              <w:top w:type="dxa" w:w="70"/>
              <w:left w:type="dxa" w:w="100"/>
              <w:bottom w:type="dxa" w:w="70"/>
              <w:right w:type="dxa" w:w="100"/>
            </w:tcMar>
          </w:tcPr>
          <w:p>
            <w:pPr>
              <w:jc w:val="left"/>
            </w:pPr>
            <w:r>
              <w:rPr>
                <w:sz w:val="20"/>
                <w:szCs w:val="20"/>
              </w:rPr>
              <w:t xml:space="preserve">16h</w:t>
            </w:r>
          </w:p>
        </w:tc>
        <w:tc>
          <w:tcPr>
            <w:tcW w:type="pct" w:w="50%"/>
            <w:shd w:fill="FFFFFF" w:val="clear"/>
            <w:tcMar>
              <w:top w:type="dxa" w:w="70"/>
              <w:left w:type="dxa" w:w="100"/>
              <w:bottom w:type="dxa" w:w="70"/>
              <w:right w:type="dxa" w:w="100"/>
            </w:tcMar>
          </w:tcPr>
          <w:p>
            <w:pPr>
              <w:jc w:val="center"/>
            </w:pPr>
            <w:r>
              <w:rPr>
                <w:sz w:val="20"/>
                <w:szCs w:val="20"/>
              </w:rPr>
              <w:t xml:space="preserve">252.396</w:t>
            </w:r>
          </w:p>
        </w:tc>
      </w:tr>
      <w:tr>
        <w:tc>
          <w:tcPr>
            <w:tcW w:type="pct" w:w="50%"/>
            <w:shd w:fill="F2F6FA" w:val="clear"/>
            <w:tcMar>
              <w:top w:type="dxa" w:w="70"/>
              <w:left w:type="dxa" w:w="100"/>
              <w:bottom w:type="dxa" w:w="70"/>
              <w:right w:type="dxa" w:w="100"/>
            </w:tcMar>
          </w:tcPr>
          <w:p>
            <w:pPr>
              <w:jc w:val="left"/>
            </w:pPr>
            <w:r>
              <w:rPr>
                <w:sz w:val="20"/>
                <w:szCs w:val="20"/>
              </w:rPr>
              <w:t xml:space="preserve">17h</w:t>
            </w:r>
          </w:p>
        </w:tc>
        <w:tc>
          <w:tcPr>
            <w:tcW w:type="pct" w:w="50%"/>
            <w:shd w:fill="F2F6FA" w:val="clear"/>
            <w:tcMar>
              <w:top w:type="dxa" w:w="70"/>
              <w:left w:type="dxa" w:w="100"/>
              <w:bottom w:type="dxa" w:w="70"/>
              <w:right w:type="dxa" w:w="100"/>
            </w:tcMar>
          </w:tcPr>
          <w:p>
            <w:pPr>
              <w:jc w:val="center"/>
            </w:pPr>
            <w:r>
              <w:rPr>
                <w:sz w:val="20"/>
                <w:szCs w:val="20"/>
              </w:rPr>
              <w:t xml:space="preserve">242.691</w:t>
            </w:r>
          </w:p>
        </w:tc>
      </w:tr>
      <w:tr>
        <w:tc>
          <w:tcPr>
            <w:tcW w:type="pct" w:w="50%"/>
            <w:shd w:fill="FFFFFF" w:val="clear"/>
            <w:tcMar>
              <w:top w:type="dxa" w:w="70"/>
              <w:left w:type="dxa" w:w="100"/>
              <w:bottom w:type="dxa" w:w="70"/>
              <w:right w:type="dxa" w:w="100"/>
            </w:tcMar>
          </w:tcPr>
          <w:p>
            <w:pPr>
              <w:jc w:val="left"/>
            </w:pPr>
            <w:r>
              <w:rPr>
                <w:sz w:val="20"/>
                <w:szCs w:val="20"/>
              </w:rPr>
              <w:t xml:space="preserve">15h</w:t>
            </w:r>
          </w:p>
        </w:tc>
        <w:tc>
          <w:tcPr>
            <w:tcW w:type="pct" w:w="50%"/>
            <w:shd w:fill="FFFFFF" w:val="clear"/>
            <w:tcMar>
              <w:top w:type="dxa" w:w="70"/>
              <w:left w:type="dxa" w:w="100"/>
              <w:bottom w:type="dxa" w:w="70"/>
              <w:right w:type="dxa" w:w="100"/>
            </w:tcMar>
          </w:tcPr>
          <w:p>
            <w:pPr>
              <w:jc w:val="center"/>
            </w:pPr>
            <w:r>
              <w:rPr>
                <w:sz w:val="20"/>
                <w:szCs w:val="20"/>
              </w:rPr>
              <w:t xml:space="preserve">240.720</w:t>
            </w:r>
          </w:p>
        </w:tc>
      </w:tr>
      <w:tr>
        <w:tc>
          <w:tcPr>
            <w:tcW w:type="pct" w:w="50%"/>
            <w:shd w:fill="F2F6FA" w:val="clear"/>
            <w:tcMar>
              <w:top w:type="dxa" w:w="70"/>
              <w:left w:type="dxa" w:w="100"/>
              <w:bottom w:type="dxa" w:w="70"/>
              <w:right w:type="dxa" w:w="100"/>
            </w:tcMar>
          </w:tcPr>
          <w:p>
            <w:pPr>
              <w:jc w:val="left"/>
            </w:pPr>
            <w:r>
              <w:rPr>
                <w:sz w:val="20"/>
                <w:szCs w:val="20"/>
              </w:rPr>
              <w:t xml:space="preserve">7h</w:t>
            </w:r>
          </w:p>
        </w:tc>
        <w:tc>
          <w:tcPr>
            <w:tcW w:type="pct" w:w="50%"/>
            <w:shd w:fill="F2F6FA" w:val="clear"/>
            <w:tcMar>
              <w:top w:type="dxa" w:w="70"/>
              <w:left w:type="dxa" w:w="100"/>
              <w:bottom w:type="dxa" w:w="70"/>
              <w:right w:type="dxa" w:w="100"/>
            </w:tcMar>
          </w:tcPr>
          <w:p>
            <w:pPr>
              <w:jc w:val="center"/>
            </w:pPr>
            <w:r>
              <w:rPr>
                <w:sz w:val="20"/>
                <w:szCs w:val="20"/>
              </w:rPr>
              <w:t xml:space="preserve">202.977</w:t>
            </w:r>
          </w:p>
        </w:tc>
      </w:tr>
      <w:tr>
        <w:tc>
          <w:tcPr>
            <w:tcW w:type="pct" w:w="50%"/>
            <w:shd w:fill="FFFFFF" w:val="clear"/>
            <w:tcMar>
              <w:top w:type="dxa" w:w="70"/>
              <w:left w:type="dxa" w:w="100"/>
              <w:bottom w:type="dxa" w:w="70"/>
              <w:right w:type="dxa" w:w="100"/>
            </w:tcMar>
          </w:tcPr>
          <w:p>
            <w:pPr>
              <w:jc w:val="left"/>
            </w:pPr>
            <w:r>
              <w:rPr>
                <w:sz w:val="20"/>
                <w:szCs w:val="20"/>
              </w:rPr>
              <w:t xml:space="preserve">14h</w:t>
            </w:r>
          </w:p>
        </w:tc>
        <w:tc>
          <w:tcPr>
            <w:tcW w:type="pct" w:w="50%"/>
            <w:shd w:fill="FFFFFF" w:val="clear"/>
            <w:tcMar>
              <w:top w:type="dxa" w:w="70"/>
              <w:left w:type="dxa" w:w="100"/>
              <w:bottom w:type="dxa" w:w="70"/>
              <w:right w:type="dxa" w:w="100"/>
            </w:tcMar>
          </w:tcPr>
          <w:p>
            <w:pPr>
              <w:jc w:val="center"/>
            </w:pPr>
            <w:r>
              <w:rPr>
                <w:sz w:val="20"/>
                <w:szCs w:val="20"/>
              </w:rPr>
              <w:t xml:space="preserve">200.878</w:t>
            </w:r>
          </w:p>
        </w:tc>
      </w:tr>
      <w:tr>
        <w:tc>
          <w:tcPr>
            <w:tcW w:type="pct" w:w="50%"/>
            <w:shd w:fill="F2F6FA" w:val="clear"/>
            <w:tcMar>
              <w:top w:type="dxa" w:w="70"/>
              <w:left w:type="dxa" w:w="100"/>
              <w:bottom w:type="dxa" w:w="70"/>
              <w:right w:type="dxa" w:w="100"/>
            </w:tcMar>
          </w:tcPr>
          <w:p>
            <w:pPr>
              <w:jc w:val="left"/>
            </w:pPr>
            <w:r>
              <w:rPr>
                <w:sz w:val="20"/>
                <w:szCs w:val="20"/>
              </w:rPr>
              <w:t xml:space="preserve">8h</w:t>
            </w:r>
          </w:p>
        </w:tc>
        <w:tc>
          <w:tcPr>
            <w:tcW w:type="pct" w:w="50%"/>
            <w:shd w:fill="F2F6FA" w:val="clear"/>
            <w:tcMar>
              <w:top w:type="dxa" w:w="70"/>
              <w:left w:type="dxa" w:w="100"/>
              <w:bottom w:type="dxa" w:w="70"/>
              <w:right w:type="dxa" w:w="100"/>
            </w:tcMar>
          </w:tcPr>
          <w:p>
            <w:pPr>
              <w:jc w:val="center"/>
            </w:pPr>
            <w:r>
              <w:rPr>
                <w:sz w:val="20"/>
                <w:szCs w:val="20"/>
              </w:rPr>
              <w:t xml:space="preserve">187.204</w:t>
            </w:r>
          </w:p>
        </w:tc>
      </w:tr>
      <w:tr>
        <w:tc>
          <w:tcPr>
            <w:tcW w:type="pct" w:w="50%"/>
            <w:shd w:fill="FFFFFF" w:val="clear"/>
            <w:tcMar>
              <w:top w:type="dxa" w:w="70"/>
              <w:left w:type="dxa" w:w="100"/>
              <w:bottom w:type="dxa" w:w="70"/>
              <w:right w:type="dxa" w:w="100"/>
            </w:tcMar>
          </w:tcPr>
          <w:p>
            <w:pPr>
              <w:jc w:val="left"/>
            </w:pPr>
            <w:r>
              <w:rPr>
                <w:sz w:val="20"/>
                <w:szCs w:val="20"/>
              </w:rPr>
              <w:t xml:space="preserve">18h</w:t>
            </w:r>
          </w:p>
        </w:tc>
        <w:tc>
          <w:tcPr>
            <w:tcW w:type="pct" w:w="50%"/>
            <w:shd w:fill="FFFFFF" w:val="clear"/>
            <w:tcMar>
              <w:top w:type="dxa" w:w="70"/>
              <w:left w:type="dxa" w:w="100"/>
              <w:bottom w:type="dxa" w:w="70"/>
              <w:right w:type="dxa" w:w="100"/>
            </w:tcMar>
          </w:tcPr>
          <w:p>
            <w:pPr>
              <w:jc w:val="center"/>
            </w:pPr>
            <w:r>
              <w:rPr>
                <w:sz w:val="20"/>
                <w:szCs w:val="20"/>
              </w:rPr>
              <w:t xml:space="preserve">168.923</w:t>
            </w:r>
          </w:p>
        </w:tc>
      </w:tr>
      <w:tr>
        <w:tc>
          <w:tcPr>
            <w:tcW w:type="pct" w:w="50%"/>
            <w:shd w:fill="F2F6FA" w:val="clear"/>
            <w:tcMar>
              <w:top w:type="dxa" w:w="70"/>
              <w:left w:type="dxa" w:w="100"/>
              <w:bottom w:type="dxa" w:w="70"/>
              <w:right w:type="dxa" w:w="100"/>
            </w:tcMar>
          </w:tcPr>
          <w:p>
            <w:pPr>
              <w:jc w:val="left"/>
            </w:pPr>
            <w:r>
              <w:rPr>
                <w:sz w:val="20"/>
                <w:szCs w:val="20"/>
              </w:rPr>
              <w:t xml:space="preserve">13h</w:t>
            </w:r>
          </w:p>
        </w:tc>
        <w:tc>
          <w:tcPr>
            <w:tcW w:type="pct" w:w="50%"/>
            <w:shd w:fill="F2F6FA" w:val="clear"/>
            <w:tcMar>
              <w:top w:type="dxa" w:w="70"/>
              <w:left w:type="dxa" w:w="100"/>
              <w:bottom w:type="dxa" w:w="70"/>
              <w:right w:type="dxa" w:w="100"/>
            </w:tcMar>
          </w:tcPr>
          <w:p>
            <w:pPr>
              <w:jc w:val="center"/>
            </w:pPr>
            <w:r>
              <w:rPr>
                <w:sz w:val="20"/>
                <w:szCs w:val="20"/>
              </w:rPr>
              <w:t xml:space="preserve">162.967</w:t>
            </w:r>
          </w:p>
        </w:tc>
      </w:tr>
      <w:tr>
        <w:tc>
          <w:tcPr>
            <w:tcW w:type="pct" w:w="50%"/>
            <w:shd w:fill="FFFFFF" w:val="clear"/>
            <w:tcMar>
              <w:top w:type="dxa" w:w="70"/>
              <w:left w:type="dxa" w:w="100"/>
              <w:bottom w:type="dxa" w:w="70"/>
              <w:right w:type="dxa" w:w="100"/>
            </w:tcMar>
          </w:tcPr>
          <w:p>
            <w:pPr>
              <w:jc w:val="left"/>
            </w:pPr>
            <w:r>
              <w:rPr>
                <w:sz w:val="20"/>
                <w:szCs w:val="20"/>
              </w:rPr>
              <w:t xml:space="preserve">6h</w:t>
            </w:r>
          </w:p>
        </w:tc>
        <w:tc>
          <w:tcPr>
            <w:tcW w:type="pct" w:w="50%"/>
            <w:shd w:fill="FFFFFF" w:val="clear"/>
            <w:tcMar>
              <w:top w:type="dxa" w:w="70"/>
              <w:left w:type="dxa" w:w="100"/>
              <w:bottom w:type="dxa" w:w="70"/>
              <w:right w:type="dxa" w:w="100"/>
            </w:tcMar>
          </w:tcPr>
          <w:p>
            <w:pPr>
              <w:jc w:val="center"/>
            </w:pPr>
            <w:r>
              <w:rPr>
                <w:sz w:val="20"/>
                <w:szCs w:val="20"/>
              </w:rPr>
              <w:t xml:space="preserve">145.789</w:t>
            </w:r>
          </w:p>
        </w:tc>
      </w:tr>
      <w:tr>
        <w:tc>
          <w:tcPr>
            <w:tcW w:type="pct" w:w="50%"/>
            <w:shd w:fill="F2F6FA" w:val="clear"/>
            <w:tcMar>
              <w:top w:type="dxa" w:w="70"/>
              <w:left w:type="dxa" w:w="100"/>
              <w:bottom w:type="dxa" w:w="70"/>
              <w:right w:type="dxa" w:w="100"/>
            </w:tcMar>
          </w:tcPr>
          <w:p>
            <w:pPr>
              <w:jc w:val="left"/>
            </w:pPr>
            <w:r>
              <w:rPr>
                <w:sz w:val="20"/>
                <w:szCs w:val="20"/>
              </w:rPr>
              <w:t xml:space="preserve">12h</w:t>
            </w:r>
          </w:p>
        </w:tc>
        <w:tc>
          <w:tcPr>
            <w:tcW w:type="pct" w:w="50%"/>
            <w:shd w:fill="F2F6FA" w:val="clear"/>
            <w:tcMar>
              <w:top w:type="dxa" w:w="70"/>
              <w:left w:type="dxa" w:w="100"/>
              <w:bottom w:type="dxa" w:w="70"/>
              <w:right w:type="dxa" w:w="100"/>
            </w:tcMar>
          </w:tcPr>
          <w:p>
            <w:pPr>
              <w:jc w:val="center"/>
            </w:pPr>
            <w:r>
              <w:rPr>
                <w:sz w:val="20"/>
                <w:szCs w:val="20"/>
              </w:rPr>
              <w:t xml:space="preserve">144.325</w:t>
            </w:r>
          </w:p>
        </w:tc>
      </w:tr>
    </w:tbl>
    <w:p>
      <w:pPr>
        <w:pStyle w:val="Heading3"/>
        <w:spacing w:after="100" w:before="200"/>
      </w:pPr>
      <w:r>
        <w:rPr>
          <w:b/>
          <w:bCs/>
          <w:color w:val="C00000"/>
          <w:sz w:val="23"/>
          <w:szCs w:val="23"/>
        </w:rPr>
        <w:t xml:space="preserve">Ý nghĩa thực tiễn</w:t>
      </w:r>
    </w:p>
    <w:p>
      <w:pPr>
        <w:spacing w:after="150" w:line="300"/>
      </w:pPr>
      <w:r>
        <w:rPr>
          <w:sz w:val="22"/>
          <w:szCs w:val="22"/>
        </w:rPr>
        <w:t xml:space="preserve">Khung giờ 15h–18h (giờ tan tầm buổi chiều) chiếm ưu thế rõ rệt trong danh sách, với đỉnh điểm là 16h (252.396 vụ). Khung giờ 6h–8h (giờ đi làm buổi sáng) cũng lọt vào top 10 nhưng thấp hơn đáng kể so với buổi chiều.</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Kết luận</w:t>
            </w:r>
          </w:p>
          <w:p>
            <w:pPr>
              <w:spacing w:after="40"/>
            </w:pPr>
            <w:r>
              <w:rPr>
                <w:sz w:val="21"/>
                <w:szCs w:val="21"/>
              </w:rPr>
              <w:t xml:space="preserve">• Buổi chiều tan tầm là thời điểm nguy hiểm nhất trong ngày — mật độ xe cao kết hợp ánh sáng yếu dần có thể là yếu tố cộng hưởng làm tăng nguy cơ.</w:t>
            </w:r>
          </w:p>
          <w:p>
            <w:pPr>
              <w:spacing w:after="40"/>
            </w:pPr>
            <w:r>
              <w:rPr>
                <w:sz w:val="21"/>
                <w:szCs w:val="21"/>
              </w:rPr>
              <w:t xml:space="preserve">• Nên tập trung lực lượng điều tiết giao thông và tuần tra an toàn vào khung 15h–18h.</w:t>
            </w:r>
          </w:p>
        </w:tc>
      </w:tr>
    </w:tbl>
    <w:p>
      <w:pPr>
        <w:pStyle w:val="Heading1"/>
        <w:spacing w:after="200" w:before="400"/>
      </w:pPr>
      <w:r>
        <w:rPr>
          <w:b/>
          <w:bCs/>
          <w:color w:val="1F4E79"/>
          <w:sz w:val="30"/>
          <w:szCs w:val="30"/>
        </w:rPr>
        <w:t xml:space="preserve">4. Câu hỏi 3 — Ngày nào trong tuần có tỷ lệ tai nạn cao nhất?</w:t>
      </w:r>
    </w:p>
    <w:p>
      <w:pPr>
        <w:pStyle w:val="Heading3"/>
        <w:spacing w:after="100" w:before="200"/>
      </w:pPr>
      <w:r>
        <w:rPr>
          <w:b/>
          <w:bCs/>
          <w:color w:val="C00000"/>
          <w:sz w:val="23"/>
          <w:szCs w:val="23"/>
        </w:rPr>
        <w:t xml:space="preserve">Cách làm</w:t>
      </w:r>
    </w:p>
    <w:p>
      <w:pPr>
        <w:spacing w:after="150" w:line="300"/>
      </w:pPr>
      <w:r>
        <w:rPr>
          <w:sz w:val="22"/>
          <w:szCs w:val="22"/>
        </w:rPr>
        <w:t xml:space="preserve">Dữ liệu được nhóm theo DayOfWeek (thứ trong tuần), tính tổng số vụ mỗi ngày, đồng thời dùng cột Is_Daytime để tách riêng tỷ lệ tai nạn xảy ra vào ban ngày và ban đêm cho từng ngày.</w:t>
      </w:r>
    </w:p>
    <w:p>
      <w:pPr>
        <w:pStyle w:val="Heading3"/>
        <w:spacing w:after="100" w:before="200"/>
      </w:pPr>
      <w:r>
        <w:rPr>
          <w:b/>
          <w:bCs/>
          <w:color w:val="C00000"/>
          <w:sz w:val="23"/>
          <w:szCs w:val="23"/>
        </w:rPr>
        <w:t xml:space="preserve">Kết quả</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tblGrid>
      <w:tr>
        <w:trPr>
          <w:tblHeader/>
        </w:trPr>
        <w:tc>
          <w:tcPr>
            <w:tcW w:type="pct" w:w="24%"/>
            <w:shd w:fill="1F4E79" w:val="clear"/>
            <w:tcMar>
              <w:top w:type="dxa" w:w="80"/>
              <w:left w:type="dxa" w:w="100"/>
              <w:bottom w:type="dxa" w:w="80"/>
              <w:right w:type="dxa" w:w="100"/>
            </w:tcMar>
          </w:tcPr>
          <w:p>
            <w:pPr>
              <w:jc w:val="center"/>
            </w:pPr>
            <w:r>
              <w:rPr>
                <w:b/>
                <w:bCs/>
                <w:color w:val="FFFFFF"/>
                <w:sz w:val="20"/>
                <w:szCs w:val="20"/>
              </w:rPr>
              <w:t xml:space="preserve">Thứ</w:t>
            </w:r>
          </w:p>
        </w:tc>
        <w:tc>
          <w:tcPr>
            <w:tcW w:type="pct" w:w="26%"/>
            <w:shd w:fill="1F4E79" w:val="clear"/>
            <w:tcMar>
              <w:top w:type="dxa" w:w="80"/>
              <w:left w:type="dxa" w:w="100"/>
              <w:bottom w:type="dxa" w:w="80"/>
              <w:right w:type="dxa" w:w="100"/>
            </w:tcMar>
          </w:tcPr>
          <w:p>
            <w:pPr>
              <w:jc w:val="center"/>
            </w:pPr>
            <w:r>
              <w:rPr>
                <w:b/>
                <w:bCs/>
                <w:color w:val="FFFFFF"/>
                <w:sz w:val="20"/>
                <w:szCs w:val="20"/>
              </w:rPr>
              <w:t xml:space="preserve">Tổng số vụ</w:t>
            </w:r>
          </w:p>
        </w:tc>
        <w:tc>
          <w:tcPr>
            <w:tcW w:type="pct" w:w="25%"/>
            <w:shd w:fill="1F4E79" w:val="clear"/>
            <w:tcMar>
              <w:top w:type="dxa" w:w="80"/>
              <w:left w:type="dxa" w:w="100"/>
              <w:bottom w:type="dxa" w:w="80"/>
              <w:right w:type="dxa" w:w="100"/>
            </w:tcMar>
          </w:tcPr>
          <w:p>
            <w:pPr>
              <w:jc w:val="center"/>
            </w:pPr>
            <w:r>
              <w:rPr>
                <w:b/>
                <w:bCs/>
                <w:color w:val="FFFFFF"/>
                <w:sz w:val="20"/>
                <w:szCs w:val="20"/>
              </w:rPr>
              <w:t xml:space="preserve">Tỷ lệ ban ngày (%)</w:t>
            </w:r>
          </w:p>
        </w:tc>
        <w:tc>
          <w:tcPr>
            <w:tcW w:type="pct" w:w="25%"/>
            <w:shd w:fill="1F4E79" w:val="clear"/>
            <w:tcMar>
              <w:top w:type="dxa" w:w="80"/>
              <w:left w:type="dxa" w:w="100"/>
              <w:bottom w:type="dxa" w:w="80"/>
              <w:right w:type="dxa" w:w="100"/>
            </w:tcMar>
          </w:tcPr>
          <w:p>
            <w:pPr>
              <w:jc w:val="center"/>
            </w:pPr>
            <w:r>
              <w:rPr>
                <w:b/>
                <w:bCs/>
                <w:color w:val="FFFFFF"/>
                <w:sz w:val="20"/>
                <w:szCs w:val="20"/>
              </w:rPr>
              <w:t xml:space="preserve">Tỷ lệ ban đêm (%)</w:t>
            </w:r>
          </w:p>
        </w:tc>
      </w:tr>
      <w:tr>
        <w:tc>
          <w:tcPr>
            <w:tcW w:type="pct" w:w="24%"/>
            <w:shd w:fill="FFFFFF" w:val="clear"/>
            <w:tcMar>
              <w:top w:type="dxa" w:w="70"/>
              <w:left w:type="dxa" w:w="100"/>
              <w:bottom w:type="dxa" w:w="70"/>
              <w:right w:type="dxa" w:w="100"/>
            </w:tcMar>
          </w:tcPr>
          <w:p>
            <w:pPr>
              <w:jc w:val="left"/>
            </w:pPr>
            <w:r>
              <w:rPr>
                <w:sz w:val="20"/>
                <w:szCs w:val="20"/>
              </w:rPr>
              <w:t xml:space="preserve">Thứ Hai</w:t>
            </w:r>
          </w:p>
        </w:tc>
        <w:tc>
          <w:tcPr>
            <w:tcW w:type="pct" w:w="26%"/>
            <w:shd w:fill="FFFFFF" w:val="clear"/>
            <w:tcMar>
              <w:top w:type="dxa" w:w="70"/>
              <w:left w:type="dxa" w:w="100"/>
              <w:bottom w:type="dxa" w:w="70"/>
              <w:right w:type="dxa" w:w="100"/>
            </w:tcMar>
          </w:tcPr>
          <w:p>
            <w:pPr>
              <w:jc w:val="center"/>
            </w:pPr>
            <w:r>
              <w:rPr>
                <w:sz w:val="20"/>
                <w:szCs w:val="20"/>
              </w:rPr>
              <w:t xml:space="preserve">428.231</w:t>
            </w:r>
          </w:p>
        </w:tc>
        <w:tc>
          <w:tcPr>
            <w:tcW w:type="pct" w:w="25%"/>
            <w:shd w:fill="FFFFFF" w:val="clear"/>
            <w:tcMar>
              <w:top w:type="dxa" w:w="70"/>
              <w:left w:type="dxa" w:w="100"/>
              <w:bottom w:type="dxa" w:w="70"/>
              <w:right w:type="dxa" w:w="100"/>
            </w:tcMar>
          </w:tcPr>
          <w:p>
            <w:pPr>
              <w:jc w:val="center"/>
            </w:pPr>
            <w:r>
              <w:rPr>
                <w:sz w:val="20"/>
                <w:szCs w:val="20"/>
              </w:rPr>
              <w:t xml:space="preserve">72,21</w:t>
            </w:r>
          </w:p>
        </w:tc>
        <w:tc>
          <w:tcPr>
            <w:tcW w:type="pct" w:w="25%"/>
            <w:shd w:fill="FFFFFF" w:val="clear"/>
            <w:tcMar>
              <w:top w:type="dxa" w:w="70"/>
              <w:left w:type="dxa" w:w="100"/>
              <w:bottom w:type="dxa" w:w="70"/>
              <w:right w:type="dxa" w:w="100"/>
            </w:tcMar>
          </w:tcPr>
          <w:p>
            <w:pPr>
              <w:jc w:val="center"/>
            </w:pPr>
            <w:r>
              <w:rPr>
                <w:sz w:val="20"/>
                <w:szCs w:val="20"/>
              </w:rPr>
              <w:t xml:space="preserve">27,79</w:t>
            </w:r>
          </w:p>
        </w:tc>
      </w:tr>
      <w:tr>
        <w:tc>
          <w:tcPr>
            <w:tcW w:type="pct" w:w="24%"/>
            <w:shd w:fill="F2F6FA" w:val="clear"/>
            <w:tcMar>
              <w:top w:type="dxa" w:w="70"/>
              <w:left w:type="dxa" w:w="100"/>
              <w:bottom w:type="dxa" w:w="70"/>
              <w:right w:type="dxa" w:w="100"/>
            </w:tcMar>
          </w:tcPr>
          <w:p>
            <w:pPr>
              <w:jc w:val="left"/>
            </w:pPr>
            <w:r>
              <w:rPr>
                <w:sz w:val="20"/>
                <w:szCs w:val="20"/>
              </w:rPr>
              <w:t xml:space="preserve">Thứ Ba</w:t>
            </w:r>
          </w:p>
        </w:tc>
        <w:tc>
          <w:tcPr>
            <w:tcW w:type="pct" w:w="26%"/>
            <w:shd w:fill="F2F6FA" w:val="clear"/>
            <w:tcMar>
              <w:top w:type="dxa" w:w="70"/>
              <w:left w:type="dxa" w:w="100"/>
              <w:bottom w:type="dxa" w:w="70"/>
              <w:right w:type="dxa" w:w="100"/>
            </w:tcMar>
          </w:tcPr>
          <w:p>
            <w:pPr>
              <w:jc w:val="center"/>
            </w:pPr>
            <w:r>
              <w:rPr>
                <w:sz w:val="20"/>
                <w:szCs w:val="20"/>
              </w:rPr>
              <w:t xml:space="preserve">467.599</w:t>
            </w:r>
          </w:p>
        </w:tc>
        <w:tc>
          <w:tcPr>
            <w:tcW w:type="pct" w:w="25%"/>
            <w:shd w:fill="F2F6FA" w:val="clear"/>
            <w:tcMar>
              <w:top w:type="dxa" w:w="70"/>
              <w:left w:type="dxa" w:w="100"/>
              <w:bottom w:type="dxa" w:w="70"/>
              <w:right w:type="dxa" w:w="100"/>
            </w:tcMar>
          </w:tcPr>
          <w:p>
            <w:pPr>
              <w:jc w:val="center"/>
            </w:pPr>
            <w:r>
              <w:rPr>
                <w:sz w:val="20"/>
                <w:szCs w:val="20"/>
              </w:rPr>
              <w:t xml:space="preserve">73,48</w:t>
            </w:r>
          </w:p>
        </w:tc>
        <w:tc>
          <w:tcPr>
            <w:tcW w:type="pct" w:w="25%"/>
            <w:shd w:fill="F2F6FA" w:val="clear"/>
            <w:tcMar>
              <w:top w:type="dxa" w:w="70"/>
              <w:left w:type="dxa" w:w="100"/>
              <w:bottom w:type="dxa" w:w="70"/>
              <w:right w:type="dxa" w:w="100"/>
            </w:tcMar>
          </w:tcPr>
          <w:p>
            <w:pPr>
              <w:jc w:val="center"/>
            </w:pPr>
            <w:r>
              <w:rPr>
                <w:sz w:val="20"/>
                <w:szCs w:val="20"/>
              </w:rPr>
              <w:t xml:space="preserve">26,52</w:t>
            </w:r>
          </w:p>
        </w:tc>
      </w:tr>
      <w:tr>
        <w:tc>
          <w:tcPr>
            <w:tcW w:type="pct" w:w="24%"/>
            <w:shd w:fill="FFFFFF" w:val="clear"/>
            <w:tcMar>
              <w:top w:type="dxa" w:w="70"/>
              <w:left w:type="dxa" w:w="100"/>
              <w:bottom w:type="dxa" w:w="70"/>
              <w:right w:type="dxa" w:w="100"/>
            </w:tcMar>
          </w:tcPr>
          <w:p>
            <w:pPr>
              <w:jc w:val="left"/>
            </w:pPr>
            <w:r>
              <w:rPr>
                <w:sz w:val="20"/>
                <w:szCs w:val="20"/>
              </w:rPr>
              <w:t xml:space="preserve">Thứ Tư</w:t>
            </w:r>
          </w:p>
        </w:tc>
        <w:tc>
          <w:tcPr>
            <w:tcW w:type="pct" w:w="26%"/>
            <w:shd w:fill="FFFFFF" w:val="clear"/>
            <w:tcMar>
              <w:top w:type="dxa" w:w="70"/>
              <w:left w:type="dxa" w:w="100"/>
              <w:bottom w:type="dxa" w:w="70"/>
              <w:right w:type="dxa" w:w="100"/>
            </w:tcMar>
          </w:tcPr>
          <w:p>
            <w:pPr>
              <w:jc w:val="center"/>
            </w:pPr>
            <w:r>
              <w:rPr>
                <w:sz w:val="20"/>
                <w:szCs w:val="20"/>
              </w:rPr>
              <w:t xml:space="preserve">486.922</w:t>
            </w:r>
          </w:p>
        </w:tc>
        <w:tc>
          <w:tcPr>
            <w:tcW w:type="pct" w:w="25%"/>
            <w:shd w:fill="FFFFFF" w:val="clear"/>
            <w:tcMar>
              <w:top w:type="dxa" w:w="70"/>
              <w:left w:type="dxa" w:w="100"/>
              <w:bottom w:type="dxa" w:w="70"/>
              <w:right w:type="dxa" w:w="100"/>
            </w:tcMar>
          </w:tcPr>
          <w:p>
            <w:pPr>
              <w:jc w:val="center"/>
            </w:pPr>
            <w:r>
              <w:rPr>
                <w:sz w:val="20"/>
                <w:szCs w:val="20"/>
              </w:rPr>
              <w:t xml:space="preserve">73,45</w:t>
            </w:r>
          </w:p>
        </w:tc>
        <w:tc>
          <w:tcPr>
            <w:tcW w:type="pct" w:w="25%"/>
            <w:shd w:fill="FFFFFF" w:val="clear"/>
            <w:tcMar>
              <w:top w:type="dxa" w:w="70"/>
              <w:left w:type="dxa" w:w="100"/>
              <w:bottom w:type="dxa" w:w="70"/>
              <w:right w:type="dxa" w:w="100"/>
            </w:tcMar>
          </w:tcPr>
          <w:p>
            <w:pPr>
              <w:jc w:val="center"/>
            </w:pPr>
            <w:r>
              <w:rPr>
                <w:sz w:val="20"/>
                <w:szCs w:val="20"/>
              </w:rPr>
              <w:t xml:space="preserve">26,55</w:t>
            </w:r>
          </w:p>
        </w:tc>
      </w:tr>
      <w:tr>
        <w:tc>
          <w:tcPr>
            <w:tcW w:type="pct" w:w="24%"/>
            <w:shd w:fill="F2F6FA" w:val="clear"/>
            <w:tcMar>
              <w:top w:type="dxa" w:w="70"/>
              <w:left w:type="dxa" w:w="100"/>
              <w:bottom w:type="dxa" w:w="70"/>
              <w:right w:type="dxa" w:w="100"/>
            </w:tcMar>
          </w:tcPr>
          <w:p>
            <w:pPr>
              <w:jc w:val="left"/>
            </w:pPr>
            <w:r>
              <w:rPr>
                <w:sz w:val="20"/>
                <w:szCs w:val="20"/>
              </w:rPr>
              <w:t xml:space="preserve">Thứ Năm</w:t>
            </w:r>
          </w:p>
        </w:tc>
        <w:tc>
          <w:tcPr>
            <w:tcW w:type="pct" w:w="26%"/>
            <w:shd w:fill="F2F6FA" w:val="clear"/>
            <w:tcMar>
              <w:top w:type="dxa" w:w="70"/>
              <w:left w:type="dxa" w:w="100"/>
              <w:bottom w:type="dxa" w:w="70"/>
              <w:right w:type="dxa" w:w="100"/>
            </w:tcMar>
          </w:tcPr>
          <w:p>
            <w:pPr>
              <w:jc w:val="center"/>
            </w:pPr>
            <w:r>
              <w:rPr>
                <w:sz w:val="20"/>
                <w:szCs w:val="20"/>
              </w:rPr>
              <w:t xml:space="preserve">492.193</w:t>
            </w:r>
          </w:p>
        </w:tc>
        <w:tc>
          <w:tcPr>
            <w:tcW w:type="pct" w:w="25%"/>
            <w:shd w:fill="F2F6FA" w:val="clear"/>
            <w:tcMar>
              <w:top w:type="dxa" w:w="70"/>
              <w:left w:type="dxa" w:w="100"/>
              <w:bottom w:type="dxa" w:w="70"/>
              <w:right w:type="dxa" w:w="100"/>
            </w:tcMar>
          </w:tcPr>
          <w:p>
            <w:pPr>
              <w:jc w:val="center"/>
            </w:pPr>
            <w:r>
              <w:rPr>
                <w:sz w:val="20"/>
                <w:szCs w:val="20"/>
              </w:rPr>
              <w:t xml:space="preserve">73,00</w:t>
            </w:r>
          </w:p>
        </w:tc>
        <w:tc>
          <w:tcPr>
            <w:tcW w:type="pct" w:w="25%"/>
            <w:shd w:fill="F2F6FA" w:val="clear"/>
            <w:tcMar>
              <w:top w:type="dxa" w:w="70"/>
              <w:left w:type="dxa" w:w="100"/>
              <w:bottom w:type="dxa" w:w="70"/>
              <w:right w:type="dxa" w:w="100"/>
            </w:tcMar>
          </w:tcPr>
          <w:p>
            <w:pPr>
              <w:jc w:val="center"/>
            </w:pPr>
            <w:r>
              <w:rPr>
                <w:sz w:val="20"/>
                <w:szCs w:val="20"/>
              </w:rPr>
              <w:t xml:space="preserve">27,00</w:t>
            </w:r>
          </w:p>
        </w:tc>
      </w:tr>
      <w:tr>
        <w:tc>
          <w:tcPr>
            <w:tcW w:type="pct" w:w="24%"/>
            <w:shd w:fill="FFFFFF" w:val="clear"/>
            <w:tcMar>
              <w:top w:type="dxa" w:w="70"/>
              <w:left w:type="dxa" w:w="100"/>
              <w:bottom w:type="dxa" w:w="70"/>
              <w:right w:type="dxa" w:w="100"/>
            </w:tcMar>
          </w:tcPr>
          <w:p>
            <w:pPr>
              <w:jc w:val="left"/>
            </w:pPr>
            <w:r>
              <w:rPr>
                <w:sz w:val="20"/>
                <w:szCs w:val="20"/>
              </w:rPr>
              <w:t xml:space="preserve">Thứ Sáu</w:t>
            </w:r>
          </w:p>
        </w:tc>
        <w:tc>
          <w:tcPr>
            <w:tcW w:type="pct" w:w="26%"/>
            <w:shd w:fill="FFFFFF" w:val="clear"/>
            <w:tcMar>
              <w:top w:type="dxa" w:w="70"/>
              <w:left w:type="dxa" w:w="100"/>
              <w:bottom w:type="dxa" w:w="70"/>
              <w:right w:type="dxa" w:w="100"/>
            </w:tcMar>
          </w:tcPr>
          <w:p>
            <w:pPr>
              <w:jc w:val="center"/>
            </w:pPr>
            <w:r>
              <w:rPr>
                <w:sz w:val="20"/>
                <w:szCs w:val="20"/>
              </w:rPr>
              <w:t xml:space="preserve">523.571</w:t>
            </w:r>
          </w:p>
        </w:tc>
        <w:tc>
          <w:tcPr>
            <w:tcW w:type="pct" w:w="25%"/>
            <w:shd w:fill="FFFFFF" w:val="clear"/>
            <w:tcMar>
              <w:top w:type="dxa" w:w="70"/>
              <w:left w:type="dxa" w:w="100"/>
              <w:bottom w:type="dxa" w:w="70"/>
              <w:right w:type="dxa" w:w="100"/>
            </w:tcMar>
          </w:tcPr>
          <w:p>
            <w:pPr>
              <w:jc w:val="center"/>
            </w:pPr>
            <w:r>
              <w:rPr>
                <w:sz w:val="20"/>
                <w:szCs w:val="20"/>
              </w:rPr>
              <w:t xml:space="preserve">72,03</w:t>
            </w:r>
          </w:p>
        </w:tc>
        <w:tc>
          <w:tcPr>
            <w:tcW w:type="pct" w:w="25%"/>
            <w:shd w:fill="FFFFFF" w:val="clear"/>
            <w:tcMar>
              <w:top w:type="dxa" w:w="70"/>
              <w:left w:type="dxa" w:w="100"/>
              <w:bottom w:type="dxa" w:w="70"/>
              <w:right w:type="dxa" w:w="100"/>
            </w:tcMar>
          </w:tcPr>
          <w:p>
            <w:pPr>
              <w:jc w:val="center"/>
            </w:pPr>
            <w:r>
              <w:rPr>
                <w:sz w:val="20"/>
                <w:szCs w:val="20"/>
              </w:rPr>
              <w:t xml:space="preserve">27,97</w:t>
            </w:r>
          </w:p>
        </w:tc>
      </w:tr>
      <w:tr>
        <w:tc>
          <w:tcPr>
            <w:tcW w:type="pct" w:w="24%"/>
            <w:shd w:fill="F2F6FA" w:val="clear"/>
            <w:tcMar>
              <w:top w:type="dxa" w:w="70"/>
              <w:left w:type="dxa" w:w="100"/>
              <w:bottom w:type="dxa" w:w="70"/>
              <w:right w:type="dxa" w:w="100"/>
            </w:tcMar>
          </w:tcPr>
          <w:p>
            <w:pPr>
              <w:jc w:val="left"/>
            </w:pPr>
            <w:r>
              <w:rPr>
                <w:sz w:val="20"/>
                <w:szCs w:val="20"/>
              </w:rPr>
              <w:t xml:space="preserve">Thứ Bảy</w:t>
            </w:r>
          </w:p>
        </w:tc>
        <w:tc>
          <w:tcPr>
            <w:tcW w:type="pct" w:w="26%"/>
            <w:shd w:fill="F2F6FA" w:val="clear"/>
            <w:tcMar>
              <w:top w:type="dxa" w:w="70"/>
              <w:left w:type="dxa" w:w="100"/>
              <w:bottom w:type="dxa" w:w="70"/>
              <w:right w:type="dxa" w:w="100"/>
            </w:tcMar>
          </w:tcPr>
          <w:p>
            <w:pPr>
              <w:jc w:val="center"/>
            </w:pPr>
            <w:r>
              <w:rPr>
                <w:sz w:val="20"/>
                <w:szCs w:val="20"/>
              </w:rPr>
              <w:t xml:space="preserve">317.848</w:t>
            </w:r>
          </w:p>
        </w:tc>
        <w:tc>
          <w:tcPr>
            <w:tcW w:type="pct" w:w="25%"/>
            <w:shd w:fill="F2F6FA" w:val="clear"/>
            <w:tcMar>
              <w:top w:type="dxa" w:w="70"/>
              <w:left w:type="dxa" w:w="100"/>
              <w:bottom w:type="dxa" w:w="70"/>
              <w:right w:type="dxa" w:w="100"/>
            </w:tcMar>
          </w:tcPr>
          <w:p>
            <w:pPr>
              <w:jc w:val="center"/>
            </w:pPr>
            <w:r>
              <w:rPr>
                <w:sz w:val="20"/>
                <w:szCs w:val="20"/>
              </w:rPr>
              <w:t xml:space="preserve">64,45</w:t>
            </w:r>
          </w:p>
        </w:tc>
        <w:tc>
          <w:tcPr>
            <w:tcW w:type="pct" w:w="25%"/>
            <w:shd w:fill="F2F6FA" w:val="clear"/>
            <w:tcMar>
              <w:top w:type="dxa" w:w="70"/>
              <w:left w:type="dxa" w:w="100"/>
              <w:bottom w:type="dxa" w:w="70"/>
              <w:right w:type="dxa" w:w="100"/>
            </w:tcMar>
          </w:tcPr>
          <w:p>
            <w:pPr>
              <w:jc w:val="center"/>
            </w:pPr>
            <w:r>
              <w:rPr>
                <w:sz w:val="20"/>
                <w:szCs w:val="20"/>
              </w:rPr>
              <w:t xml:space="preserve">35,55</w:t>
            </w:r>
          </w:p>
        </w:tc>
      </w:tr>
      <w:tr>
        <w:tc>
          <w:tcPr>
            <w:tcW w:type="pct" w:w="24%"/>
            <w:shd w:fill="FFFFFF" w:val="clear"/>
            <w:tcMar>
              <w:top w:type="dxa" w:w="70"/>
              <w:left w:type="dxa" w:w="100"/>
              <w:bottom w:type="dxa" w:w="70"/>
              <w:right w:type="dxa" w:w="100"/>
            </w:tcMar>
          </w:tcPr>
          <w:p>
            <w:pPr>
              <w:jc w:val="left"/>
            </w:pPr>
            <w:r>
              <w:rPr>
                <w:sz w:val="20"/>
                <w:szCs w:val="20"/>
              </w:rPr>
              <w:t xml:space="preserve">Chủ Nhật</w:t>
            </w:r>
          </w:p>
        </w:tc>
        <w:tc>
          <w:tcPr>
            <w:tcW w:type="pct" w:w="26%"/>
            <w:shd w:fill="FFFFFF" w:val="clear"/>
            <w:tcMar>
              <w:top w:type="dxa" w:w="70"/>
              <w:left w:type="dxa" w:w="100"/>
              <w:bottom w:type="dxa" w:w="70"/>
              <w:right w:type="dxa" w:w="100"/>
            </w:tcMar>
          </w:tcPr>
          <w:p>
            <w:pPr>
              <w:jc w:val="center"/>
            </w:pPr>
            <w:r>
              <w:rPr>
                <w:sz w:val="20"/>
                <w:szCs w:val="20"/>
              </w:rPr>
              <w:t xml:space="preserve">256.526</w:t>
            </w:r>
          </w:p>
        </w:tc>
        <w:tc>
          <w:tcPr>
            <w:tcW w:type="pct" w:w="25%"/>
            <w:shd w:fill="FFFFFF" w:val="clear"/>
            <w:tcMar>
              <w:top w:type="dxa" w:w="70"/>
              <w:left w:type="dxa" w:w="100"/>
              <w:bottom w:type="dxa" w:w="70"/>
              <w:right w:type="dxa" w:w="100"/>
            </w:tcMar>
          </w:tcPr>
          <w:p>
            <w:pPr>
              <w:jc w:val="center"/>
            </w:pPr>
            <w:r>
              <w:rPr>
                <w:sz w:val="20"/>
                <w:szCs w:val="20"/>
              </w:rPr>
              <w:t xml:space="preserve">61,02</w:t>
            </w:r>
          </w:p>
        </w:tc>
        <w:tc>
          <w:tcPr>
            <w:tcW w:type="pct" w:w="25%"/>
            <w:shd w:fill="FFFFFF" w:val="clear"/>
            <w:tcMar>
              <w:top w:type="dxa" w:w="70"/>
              <w:left w:type="dxa" w:w="100"/>
              <w:bottom w:type="dxa" w:w="70"/>
              <w:right w:type="dxa" w:w="100"/>
            </w:tcMar>
          </w:tcPr>
          <w:p>
            <w:pPr>
              <w:jc w:val="center"/>
            </w:pPr>
            <w:r>
              <w:rPr>
                <w:sz w:val="20"/>
                <w:szCs w:val="20"/>
              </w:rPr>
              <w:t xml:space="preserve">38,98</w:t>
            </w:r>
          </w:p>
        </w:tc>
      </w:tr>
    </w:tbl>
    <w:p>
      <w:pPr>
        <w:pStyle w:val="Heading3"/>
        <w:spacing w:after="100" w:before="200"/>
      </w:pPr>
      <w:r>
        <w:rPr>
          <w:b/>
          <w:bCs/>
          <w:color w:val="C00000"/>
          <w:sz w:val="23"/>
          <w:szCs w:val="23"/>
        </w:rPr>
        <w:t xml:space="preserve">Ý nghĩa thực tiễn</w:t>
      </w:r>
    </w:p>
    <w:p>
      <w:pPr>
        <w:spacing w:after="150" w:line="300"/>
      </w:pPr>
      <w:r>
        <w:rPr>
          <w:sz w:val="22"/>
          <w:szCs w:val="22"/>
        </w:rPr>
        <w:t xml:space="preserve">Thứ Sáu có tổng số vụ cao nhất (523.571 vụ, chiếm 17,61% cả tuần). Các ngày trong tuần làm việc (Thứ Hai đến Thứ Sáu) đều có tỷ lệ tai nạn ban ngày cao hơn hẳn (72–73%) so với cuối tuần — Thứ Bảy chỉ còn 64,45% và Chủ Nhật thấp nhất với 61,02%.</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Kết luận</w:t>
            </w:r>
          </w:p>
          <w:p>
            <w:pPr>
              <w:spacing w:after="40"/>
            </w:pPr>
            <w:r>
              <w:rPr>
                <w:sz w:val="21"/>
                <w:szCs w:val="21"/>
              </w:rPr>
              <w:t xml:space="preserve">• Ngày thường: tai nạn gắn liền với giờ đi làm và giờ tan tầm, chủ yếu xảy ra ban ngày.</w:t>
            </w:r>
          </w:p>
          <w:p>
            <w:pPr>
              <w:spacing w:after="40"/>
            </w:pPr>
            <w:r>
              <w:rPr>
                <w:sz w:val="21"/>
                <w:szCs w:val="21"/>
              </w:rPr>
              <w:t xml:space="preserve">• Cuối tuần: tai nạn có xu hướng dịch chuyển sang ban đêm nhiều hơn — có thể do sinh hoạt giải trí, đi chơi khuya.</w:t>
            </w:r>
          </w:p>
          <w:p>
            <w:pPr>
              <w:spacing w:after="40"/>
            </w:pPr>
            <w:r>
              <w:rPr>
                <w:sz w:val="21"/>
                <w:szCs w:val="21"/>
              </w:rPr>
              <w:t xml:space="preserve">• Thứ Sáu cần được chú ý đặc biệt vì có tổng số vụ cao nhất trong tuần.</w:t>
            </w:r>
          </w:p>
        </w:tc>
      </w:tr>
    </w:tbl>
    <w:p>
      <w:pPr>
        <w:pStyle w:val="Heading1"/>
        <w:spacing w:after="200" w:before="400"/>
      </w:pPr>
      <w:r>
        <w:rPr>
          <w:b/>
          <w:bCs/>
          <w:color w:val="1F4E79"/>
          <w:sz w:val="30"/>
          <w:szCs w:val="30"/>
        </w:rPr>
        <w:t xml:space="preserve">5. Câu hỏi 4 — Tháng nào trong năm ghi nhận nhiều tai nạn nhất?</w:t>
      </w:r>
    </w:p>
    <w:p>
      <w:pPr>
        <w:pStyle w:val="Heading3"/>
        <w:spacing w:after="100" w:before="200"/>
      </w:pPr>
      <w:r>
        <w:rPr>
          <w:b/>
          <w:bCs/>
          <w:color w:val="C00000"/>
          <w:sz w:val="23"/>
          <w:szCs w:val="23"/>
        </w:rPr>
        <w:t xml:space="preserve">Cách làm</w:t>
      </w:r>
    </w:p>
    <w:p>
      <w:pPr>
        <w:spacing w:after="150" w:line="300"/>
      </w:pPr>
      <w:r>
        <w:rPr>
          <w:sz w:val="22"/>
          <w:szCs w:val="22"/>
        </w:rPr>
        <w:t xml:space="preserve">Trước khi so sánh số vụ theo tháng, nhóm đã kiểm tra độ phủ dữ liệu (coverage) của từng tháng — tức là tháng đó có dữ liệu đầy đủ các ngày hay bị thiếu (cụt dữ liệu). Những tháng có độ phủ dưới 90% (ví dụ tháng đầu và tháng cuối của giai đoạn thu thập) bị loại khỏi so sánh để tránh kết luận sai lệch do thiếu dữ liệu, chứ không phải do thực sự ít tai nạn.</w:t>
      </w:r>
    </w:p>
    <w:p>
      <w:pPr>
        <w:pStyle w:val="ListParagraph"/>
        <w:numPr>
          <w:ilvl w:val="0"/>
          <w:numId w:val="2"/>
        </w:numPr>
        <w:spacing w:after="90" w:line="290"/>
      </w:pPr>
      <w:r>
        <w:rPr>
          <w:sz w:val="22"/>
          <w:szCs w:val="22"/>
        </w:rPr>
        <w:t xml:space="preserve">Các tháng bị loại vì độ phủ thấp: 03/2021 (3,2%), 03/2023 (54,8%), 10/2022 (67,7%), 11/2022 (90,0%) và 02/2023 (92,9%) — đều là tháng đầu/cuối của giai đoạn thu thập dữ liệu.</w:t>
      </w:r>
    </w:p>
    <w:p>
      <w:pPr>
        <w:pStyle w:val="ListParagraph"/>
        <w:numPr>
          <w:ilvl w:val="0"/>
          <w:numId w:val="2"/>
        </w:numPr>
        <w:spacing w:after="90" w:line="290"/>
      </w:pPr>
      <w:r>
        <w:rPr>
          <w:sz w:val="22"/>
          <w:szCs w:val="22"/>
        </w:rPr>
        <w:t xml:space="preserve">Các tháng còn lại đều có độ phủ từ 93,5% đến 100%, đủ tin cậy để so sánh.</w:t>
      </w:r>
    </w:p>
    <w:p>
      <w:pPr>
        <w:pStyle w:val="Heading3"/>
        <w:spacing w:after="100" w:before="200"/>
      </w:pPr>
      <w:r>
        <w:rPr>
          <w:b/>
          <w:bCs/>
          <w:color w:val="C00000"/>
          <w:sz w:val="23"/>
          <w:szCs w:val="23"/>
        </w:rPr>
        <w:t xml:space="preserve">Ý nghĩa thực tiễn</w:t>
      </w:r>
    </w:p>
    <w:p>
      <w:pPr>
        <w:spacing w:after="150" w:line="300"/>
      </w:pPr>
      <w:r>
        <w:rPr>
          <w:sz w:val="22"/>
          <w:szCs w:val="22"/>
        </w:rPr>
        <w:t xml:space="preserve">Sau khi loại các tháng thiếu dữ liệu, số vụ tai nạn có xu hướng tăng vào các tháng cuối năm — tháng 11 và 12 của cả hai năm đều thuộc nhóm cao nhất (12/2021: 170.578 vụ; 12/2022: 176.318 vụ), trùng với giai đoạn thời tiết xấu và mùa lễ cuối năm tại Mỹ.</w:t>
      </w:r>
    </w:p>
    <w:p>
      <w:pPr>
        <w:spacing w:after="150" w:line="300"/>
      </w:pPr>
      <w:r>
        <w:rPr>
          <w:sz w:val="22"/>
          <w:szCs w:val="22"/>
        </w:rPr>
        <w:t xml:space="preserve">Tuy nhiên, tháng 4/2022 mới là tháng ghi nhận số vụ cao nhất toàn giai đoạn (185.367 vụ), cao hơn cả hai tháng 12 nói trên — cho thấy giả thuyết "mùa lễ cuối năm là nguy hiểm nhất" không hoàn toàn đúng, có thể do một sự kiện thời tiết hoặc giao thông cục bộ khác cần tìm hiểu thêm.</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Lưu ý thêm</w:t>
            </w:r>
          </w:p>
          <w:p>
            <w:pPr>
              <w:spacing w:after="40"/>
            </w:pPr>
            <w:r>
              <w:rPr>
                <w:sz w:val="21"/>
                <w:szCs w:val="21"/>
              </w:rPr>
              <w:t xml:space="preserve">• Tháng 2/2023 tại Mỹ có đợt bão tuyết lớn ảnh hưởng tới các bang mật độ giao thông cao như California, Texas — đây là một phần lý do khiến số liệu tháng đó biến động, cần diễn giải thận trọng.</w:t>
            </w:r>
          </w:p>
        </w:tc>
      </w:tr>
    </w:tbl>
    <w:p>
      <w:pPr>
        <w:pStyle w:val="Heading1"/>
        <w:spacing w:after="200" w:before="400"/>
      </w:pPr>
      <w:r>
        <w:rPr>
          <w:b/>
          <w:bCs/>
          <w:color w:val="1F4E79"/>
          <w:sz w:val="30"/>
          <w:szCs w:val="30"/>
        </w:rPr>
        <w:t xml:space="preserve">6. Câu hỏi 5 — Mức độ nghiêm trọng có thay đổi theo điều kiện thời tiết không?</w:t>
      </w:r>
    </w:p>
    <w:p>
      <w:pPr>
        <w:pStyle w:val="Heading3"/>
        <w:spacing w:after="100" w:before="200"/>
      </w:pPr>
      <w:r>
        <w:rPr>
          <w:b/>
          <w:bCs/>
          <w:color w:val="C00000"/>
          <w:sz w:val="23"/>
          <w:szCs w:val="23"/>
        </w:rPr>
        <w:t xml:space="preserve">Cách làm</w:t>
      </w:r>
    </w:p>
    <w:p>
      <w:pPr>
        <w:spacing w:after="150" w:line="300"/>
      </w:pPr>
      <w:r>
        <w:rPr>
          <w:sz w:val="22"/>
          <w:szCs w:val="22"/>
        </w:rPr>
        <w:t xml:space="preserve">Nhóm xây dựng 4 bảng chéo (crosstab) để xem tỷ lệ phần trăm các mức độ nghiêm trọng (Severity 1–4) phân theo: có thời tiết khắc nghiệt hay không (Is_Adverse_Weather), nhóm thời tiết (Weather_Group), mức độ tầm nhìn (Visibility_Level) và mức nhiệt độ (Temp_Level). Sau đó dùng kiểm định thống kê Chi-square để xem mối liên hệ có ý nghĩa thống kê hay không, và hệ số Cramér's V để đo độ mạnh yếu của mối liên hệ đó.</w:t>
      </w:r>
    </w:p>
    <w:p>
      <w:pPr>
        <w:pStyle w:val="ListParagraph"/>
        <w:numPr>
          <w:ilvl w:val="0"/>
          <w:numId w:val="2"/>
        </w:numPr>
        <w:spacing w:after="90" w:line="290"/>
      </w:pPr>
      <w:r>
        <w:rPr>
          <w:sz w:val="22"/>
          <w:szCs w:val="22"/>
        </w:rPr>
        <w:t xml:space="preserve">Chi-square (kiểm định Khi bình phương): trả lời câu hỏi "hai yếu tố có thực sự liên quan đến nhau, hay chỉ là ngẫu nhiên?" — giá trị p-value càng nhỏ (dưới 0,05) thì càng chắc chắn là có liên quan thật.</w:t>
      </w:r>
    </w:p>
    <w:p>
      <w:pPr>
        <w:pStyle w:val="ListParagraph"/>
        <w:numPr>
          <w:ilvl w:val="0"/>
          <w:numId w:val="2"/>
        </w:numPr>
        <w:spacing w:after="90" w:line="290"/>
      </w:pPr>
      <w:r>
        <w:rPr>
          <w:sz w:val="22"/>
          <w:szCs w:val="22"/>
        </w:rPr>
        <w:t xml:space="preserve">Cramér's V: đo mức độ mạnh yếu của mối liên hệ đó, dao động từ 0 (không liên quan) đến 1 (liên quan rất mạnh).</w:t>
      </w:r>
    </w:p>
    <w:p>
      <w:pPr>
        <w:pStyle w:val="Heading3"/>
        <w:spacing w:after="100" w:before="200"/>
      </w:pPr>
      <w:r>
        <w:rPr>
          <w:b/>
          <w:bCs/>
          <w:color w:val="C00000"/>
          <w:sz w:val="23"/>
          <w:szCs w:val="23"/>
        </w:rPr>
        <w:t xml:space="preserve">Kết quả</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tblGrid>
      <w:tr>
        <w:trPr>
          <w:tblHeader/>
        </w:trPr>
        <w:tc>
          <w:tcPr>
            <w:tcW w:type="pct" w:w="42%"/>
            <w:shd w:fill="1F4E79" w:val="clear"/>
            <w:tcMar>
              <w:top w:type="dxa" w:w="80"/>
              <w:left w:type="dxa" w:w="100"/>
              <w:bottom w:type="dxa" w:w="80"/>
              <w:right w:type="dxa" w:w="100"/>
            </w:tcMar>
          </w:tcPr>
          <w:p>
            <w:pPr>
              <w:jc w:val="center"/>
            </w:pPr>
            <w:r>
              <w:rPr>
                <w:b/>
                <w:bCs/>
                <w:color w:val="FFFFFF"/>
                <w:sz w:val="20"/>
                <w:szCs w:val="20"/>
              </w:rPr>
              <w:t xml:space="preserve">Yếu tố</w:t>
            </w:r>
          </w:p>
        </w:tc>
        <w:tc>
          <w:tcPr>
            <w:tcW w:type="pct" w:w="20%"/>
            <w:shd w:fill="1F4E79" w:val="clear"/>
            <w:tcMar>
              <w:top w:type="dxa" w:w="80"/>
              <w:left w:type="dxa" w:w="100"/>
              <w:bottom w:type="dxa" w:w="80"/>
              <w:right w:type="dxa" w:w="100"/>
            </w:tcMar>
          </w:tcPr>
          <w:p>
            <w:pPr>
              <w:jc w:val="center"/>
            </w:pPr>
            <w:r>
              <w:rPr>
                <w:b/>
                <w:bCs/>
                <w:color w:val="FFFFFF"/>
                <w:sz w:val="20"/>
                <w:szCs w:val="20"/>
              </w:rPr>
              <w:t xml:space="preserve">Chi2</w:t>
            </w:r>
          </w:p>
        </w:tc>
        <w:tc>
          <w:tcPr>
            <w:tcW w:type="pct" w:w="20%"/>
            <w:shd w:fill="1F4E79" w:val="clear"/>
            <w:tcMar>
              <w:top w:type="dxa" w:w="80"/>
              <w:left w:type="dxa" w:w="100"/>
              <w:bottom w:type="dxa" w:w="80"/>
              <w:right w:type="dxa" w:w="100"/>
            </w:tcMar>
          </w:tcPr>
          <w:p>
            <w:pPr>
              <w:jc w:val="center"/>
            </w:pPr>
            <w:r>
              <w:rPr>
                <w:b/>
                <w:bCs/>
                <w:color w:val="FFFFFF"/>
                <w:sz w:val="20"/>
                <w:szCs w:val="20"/>
              </w:rPr>
              <w:t xml:space="preserve">p-value</w:t>
            </w:r>
          </w:p>
        </w:tc>
        <w:tc>
          <w:tcPr>
            <w:tcW w:type="pct" w:w="18%"/>
            <w:shd w:fill="1F4E79" w:val="clear"/>
            <w:tcMar>
              <w:top w:type="dxa" w:w="80"/>
              <w:left w:type="dxa" w:w="100"/>
              <w:bottom w:type="dxa" w:w="80"/>
              <w:right w:type="dxa" w:w="100"/>
            </w:tcMar>
          </w:tcPr>
          <w:p>
            <w:pPr>
              <w:jc w:val="center"/>
            </w:pPr>
            <w:r>
              <w:rPr>
                <w:b/>
                <w:bCs/>
                <w:color w:val="FFFFFF"/>
                <w:sz w:val="20"/>
                <w:szCs w:val="20"/>
              </w:rPr>
              <w:t xml:space="preserve">Cramér's V</w:t>
            </w:r>
          </w:p>
        </w:tc>
      </w:tr>
      <w:tr>
        <w:tc>
          <w:tcPr>
            <w:tcW w:type="pct" w:w="42%"/>
            <w:shd w:fill="FFFFFF" w:val="clear"/>
            <w:tcMar>
              <w:top w:type="dxa" w:w="70"/>
              <w:left w:type="dxa" w:w="100"/>
              <w:bottom w:type="dxa" w:w="70"/>
              <w:right w:type="dxa" w:w="100"/>
            </w:tcMar>
          </w:tcPr>
          <w:p>
            <w:pPr>
              <w:jc w:val="left"/>
            </w:pPr>
            <w:r>
              <w:rPr>
                <w:sz w:val="20"/>
                <w:szCs w:val="20"/>
              </w:rPr>
              <w:t xml:space="preserve">Is_Adverse_Weather (thời tiết khắc nghiệt)</w:t>
            </w:r>
          </w:p>
        </w:tc>
        <w:tc>
          <w:tcPr>
            <w:tcW w:type="pct" w:w="20%"/>
            <w:shd w:fill="FFFFFF" w:val="clear"/>
            <w:tcMar>
              <w:top w:type="dxa" w:w="70"/>
              <w:left w:type="dxa" w:w="100"/>
              <w:bottom w:type="dxa" w:w="70"/>
              <w:right w:type="dxa" w:w="100"/>
            </w:tcMar>
          </w:tcPr>
          <w:p>
            <w:pPr>
              <w:jc w:val="center"/>
            </w:pPr>
            <w:r>
              <w:rPr>
                <w:sz w:val="20"/>
                <w:szCs w:val="20"/>
              </w:rPr>
              <w:t xml:space="preserve">1.266,06</w:t>
            </w:r>
          </w:p>
        </w:tc>
        <w:tc>
          <w:tcPr>
            <w:tcW w:type="pct" w:w="20%"/>
            <w:shd w:fill="FFFFFF" w:val="clear"/>
            <w:tcMar>
              <w:top w:type="dxa" w:w="70"/>
              <w:left w:type="dxa" w:w="100"/>
              <w:bottom w:type="dxa" w:w="70"/>
              <w:right w:type="dxa" w:w="100"/>
            </w:tcMar>
          </w:tcPr>
          <w:p>
            <w:pPr>
              <w:jc w:val="center"/>
            </w:pPr>
            <w:r>
              <w:rPr>
                <w:sz w:val="20"/>
                <w:szCs w:val="20"/>
              </w:rPr>
              <w:t xml:space="preserve">3,41e-274</w:t>
            </w:r>
          </w:p>
        </w:tc>
        <w:tc>
          <w:tcPr>
            <w:tcW w:type="pct" w:w="18%"/>
            <w:shd w:fill="FFFFFF" w:val="clear"/>
            <w:tcMar>
              <w:top w:type="dxa" w:w="70"/>
              <w:left w:type="dxa" w:w="100"/>
              <w:bottom w:type="dxa" w:w="70"/>
              <w:right w:type="dxa" w:w="100"/>
            </w:tcMar>
          </w:tcPr>
          <w:p>
            <w:pPr>
              <w:jc w:val="center"/>
            </w:pPr>
            <w:r>
              <w:rPr>
                <w:sz w:val="20"/>
                <w:szCs w:val="20"/>
              </w:rPr>
              <w:t xml:space="preserve">0,0206</w:t>
            </w:r>
          </w:p>
        </w:tc>
      </w:tr>
      <w:tr>
        <w:tc>
          <w:tcPr>
            <w:tcW w:type="pct" w:w="42%"/>
            <w:shd w:fill="F2F6FA" w:val="clear"/>
            <w:tcMar>
              <w:top w:type="dxa" w:w="70"/>
              <w:left w:type="dxa" w:w="100"/>
              <w:bottom w:type="dxa" w:w="70"/>
              <w:right w:type="dxa" w:w="100"/>
            </w:tcMar>
          </w:tcPr>
          <w:p>
            <w:pPr>
              <w:jc w:val="left"/>
            </w:pPr>
            <w:r>
              <w:rPr>
                <w:sz w:val="20"/>
                <w:szCs w:val="20"/>
              </w:rPr>
              <w:t xml:space="preserve">Weather_Group (nhóm thời tiết)</w:t>
            </w:r>
          </w:p>
        </w:tc>
        <w:tc>
          <w:tcPr>
            <w:tcW w:type="pct" w:w="20%"/>
            <w:shd w:fill="F2F6FA" w:val="clear"/>
            <w:tcMar>
              <w:top w:type="dxa" w:w="70"/>
              <w:left w:type="dxa" w:w="100"/>
              <w:bottom w:type="dxa" w:w="70"/>
              <w:right w:type="dxa" w:w="100"/>
            </w:tcMar>
          </w:tcPr>
          <w:p>
            <w:pPr>
              <w:jc w:val="center"/>
            </w:pPr>
            <w:r>
              <w:rPr>
                <w:sz w:val="20"/>
                <w:szCs w:val="20"/>
              </w:rPr>
              <w:t xml:space="preserve">6.101,27</w:t>
            </w:r>
          </w:p>
        </w:tc>
        <w:tc>
          <w:tcPr>
            <w:tcW w:type="pct" w:w="20%"/>
            <w:shd w:fill="F2F6FA" w:val="clear"/>
            <w:tcMar>
              <w:top w:type="dxa" w:w="70"/>
              <w:left w:type="dxa" w:w="100"/>
              <w:bottom w:type="dxa" w:w="70"/>
              <w:right w:type="dxa" w:w="100"/>
            </w:tcMar>
          </w:tcPr>
          <w:p>
            <w:pPr>
              <w:jc w:val="center"/>
            </w:pPr>
            <w:r>
              <w:rPr>
                <w:sz w:val="20"/>
                <w:szCs w:val="20"/>
              </w:rPr>
              <w:t xml:space="preserve">≈ 0</w:t>
            </w:r>
          </w:p>
        </w:tc>
        <w:tc>
          <w:tcPr>
            <w:tcW w:type="pct" w:w="18%"/>
            <w:shd w:fill="F2F6FA" w:val="clear"/>
            <w:tcMar>
              <w:top w:type="dxa" w:w="70"/>
              <w:left w:type="dxa" w:w="100"/>
              <w:bottom w:type="dxa" w:w="70"/>
              <w:right w:type="dxa" w:w="100"/>
            </w:tcMar>
          </w:tcPr>
          <w:p>
            <w:pPr>
              <w:jc w:val="center"/>
            </w:pPr>
            <w:r>
              <w:rPr>
                <w:sz w:val="20"/>
                <w:szCs w:val="20"/>
              </w:rPr>
              <w:t xml:space="preserve">0,0262</w:t>
            </w:r>
          </w:p>
        </w:tc>
      </w:tr>
      <w:tr>
        <w:tc>
          <w:tcPr>
            <w:tcW w:type="pct" w:w="42%"/>
            <w:shd w:fill="FFFFFF" w:val="clear"/>
            <w:tcMar>
              <w:top w:type="dxa" w:w="70"/>
              <w:left w:type="dxa" w:w="100"/>
              <w:bottom w:type="dxa" w:w="70"/>
              <w:right w:type="dxa" w:w="100"/>
            </w:tcMar>
          </w:tcPr>
          <w:p>
            <w:pPr>
              <w:jc w:val="left"/>
            </w:pPr>
            <w:r>
              <w:rPr>
                <w:sz w:val="20"/>
                <w:szCs w:val="20"/>
              </w:rPr>
              <w:t xml:space="preserve">Visibility_Level (tầm nhìn)</w:t>
            </w:r>
          </w:p>
        </w:tc>
        <w:tc>
          <w:tcPr>
            <w:tcW w:type="pct" w:w="20%"/>
            <w:shd w:fill="FFFFFF" w:val="clear"/>
            <w:tcMar>
              <w:top w:type="dxa" w:w="70"/>
              <w:left w:type="dxa" w:w="100"/>
              <w:bottom w:type="dxa" w:w="70"/>
              <w:right w:type="dxa" w:w="100"/>
            </w:tcMar>
          </w:tcPr>
          <w:p>
            <w:pPr>
              <w:jc w:val="center"/>
            </w:pPr>
            <w:r>
              <w:rPr>
                <w:sz w:val="20"/>
                <w:szCs w:val="20"/>
              </w:rPr>
              <w:t xml:space="preserve">1.524,06</w:t>
            </w:r>
          </w:p>
        </w:tc>
        <w:tc>
          <w:tcPr>
            <w:tcW w:type="pct" w:w="20%"/>
            <w:shd w:fill="FFFFFF" w:val="clear"/>
            <w:tcMar>
              <w:top w:type="dxa" w:w="70"/>
              <w:left w:type="dxa" w:w="100"/>
              <w:bottom w:type="dxa" w:w="70"/>
              <w:right w:type="dxa" w:w="100"/>
            </w:tcMar>
          </w:tcPr>
          <w:p>
            <w:pPr>
              <w:jc w:val="center"/>
            </w:pPr>
            <w:r>
              <w:rPr>
                <w:sz w:val="20"/>
                <w:szCs w:val="20"/>
              </w:rPr>
              <w:t xml:space="preserve">≈ 0</w:t>
            </w:r>
          </w:p>
        </w:tc>
        <w:tc>
          <w:tcPr>
            <w:tcW w:type="pct" w:w="18%"/>
            <w:shd w:fill="FFFFFF" w:val="clear"/>
            <w:tcMar>
              <w:top w:type="dxa" w:w="70"/>
              <w:left w:type="dxa" w:w="100"/>
              <w:bottom w:type="dxa" w:w="70"/>
              <w:right w:type="dxa" w:w="100"/>
            </w:tcMar>
          </w:tcPr>
          <w:p>
            <w:pPr>
              <w:jc w:val="center"/>
            </w:pPr>
            <w:r>
              <w:rPr>
                <w:sz w:val="20"/>
                <w:szCs w:val="20"/>
              </w:rPr>
              <w:t xml:space="preserve">0,0131</w:t>
            </w:r>
          </w:p>
        </w:tc>
      </w:tr>
      <w:tr>
        <w:tc>
          <w:tcPr>
            <w:tcW w:type="pct" w:w="42%"/>
            <w:shd w:fill="F2F6FA" w:val="clear"/>
            <w:tcMar>
              <w:top w:type="dxa" w:w="70"/>
              <w:left w:type="dxa" w:w="100"/>
              <w:bottom w:type="dxa" w:w="70"/>
              <w:right w:type="dxa" w:w="100"/>
            </w:tcMar>
          </w:tcPr>
          <w:p>
            <w:pPr>
              <w:jc w:val="left"/>
            </w:pPr>
            <w:r>
              <w:rPr>
                <w:sz w:val="20"/>
                <w:szCs w:val="20"/>
              </w:rPr>
              <w:t xml:space="preserve">Temp_Level (mức nhiệt độ)</w:t>
            </w:r>
          </w:p>
        </w:tc>
        <w:tc>
          <w:tcPr>
            <w:tcW w:type="pct" w:w="20%"/>
            <w:shd w:fill="F2F6FA" w:val="clear"/>
            <w:tcMar>
              <w:top w:type="dxa" w:w="70"/>
              <w:left w:type="dxa" w:w="100"/>
              <w:bottom w:type="dxa" w:w="70"/>
              <w:right w:type="dxa" w:w="100"/>
            </w:tcMar>
          </w:tcPr>
          <w:p>
            <w:pPr>
              <w:jc w:val="center"/>
            </w:pPr>
            <w:r>
              <w:rPr>
                <w:sz w:val="20"/>
                <w:szCs w:val="20"/>
              </w:rPr>
              <w:t xml:space="preserve">18.514,47</w:t>
            </w:r>
          </w:p>
        </w:tc>
        <w:tc>
          <w:tcPr>
            <w:tcW w:type="pct" w:w="20%"/>
            <w:shd w:fill="F2F6FA" w:val="clear"/>
            <w:tcMar>
              <w:top w:type="dxa" w:w="70"/>
              <w:left w:type="dxa" w:w="100"/>
              <w:bottom w:type="dxa" w:w="70"/>
              <w:right w:type="dxa" w:w="100"/>
            </w:tcMar>
          </w:tcPr>
          <w:p>
            <w:pPr>
              <w:jc w:val="center"/>
            </w:pPr>
            <w:r>
              <w:rPr>
                <w:sz w:val="20"/>
                <w:szCs w:val="20"/>
              </w:rPr>
              <w:t xml:space="preserve">≈ 0</w:t>
            </w:r>
          </w:p>
        </w:tc>
        <w:tc>
          <w:tcPr>
            <w:tcW w:type="pct" w:w="18%"/>
            <w:shd w:fill="F2F6FA" w:val="clear"/>
            <w:tcMar>
              <w:top w:type="dxa" w:w="70"/>
              <w:left w:type="dxa" w:w="100"/>
              <w:bottom w:type="dxa" w:w="70"/>
              <w:right w:type="dxa" w:w="100"/>
            </w:tcMar>
          </w:tcPr>
          <w:p>
            <w:pPr>
              <w:jc w:val="center"/>
            </w:pPr>
            <w:r>
              <w:rPr>
                <w:sz w:val="20"/>
                <w:szCs w:val="20"/>
              </w:rPr>
              <w:t xml:space="preserve">0,0456</w:t>
            </w:r>
          </w:p>
        </w:tc>
      </w:tr>
    </w:tbl>
    <w:p>
      <w:pPr>
        <w:pStyle w:val="Heading3"/>
        <w:spacing w:after="100" w:before="200"/>
      </w:pPr>
      <w:r>
        <w:rPr>
          <w:b/>
          <w:bCs/>
          <w:color w:val="C00000"/>
          <w:sz w:val="23"/>
          <w:szCs w:val="23"/>
        </w:rPr>
        <w:t xml:space="preserve">Ý nghĩa thực tiễn</w:t>
      </w:r>
    </w:p>
    <w:p>
      <w:pPr>
        <w:spacing w:after="150" w:line="300"/>
      </w:pPr>
      <w:r>
        <w:rPr>
          <w:sz w:val="22"/>
          <w:szCs w:val="22"/>
        </w:rPr>
        <w:t xml:space="preserve">Thời tiết xấu chỉ làm tăng nhẹ tỷ lệ tai nạn nghiêm trọng nhất (Severity 4: 2,28% so với 2,20% khi thời tiết bình thường). Trong đó, nhiệt độ đóng băng (Freezing) đáng chú ý nhất với tỷ lệ Severity 4 cao nhất (3,47%) — gần gấp đôi so với thời tiết nóng (1,78%).</w:t>
      </w:r>
    </w:p>
    <w:p>
      <w:pPr>
        <w:spacing w:after="150" w:line="300"/>
      </w:pPr>
      <w:r>
        <w:rPr>
          <w:sz w:val="22"/>
          <w:szCs w:val="22"/>
        </w:rPr>
        <w:t xml:space="preserve">Cả 4 yếu tố thời tiết đều có ý nghĩa thống kê (p-value nhỏ hơn 0,05 rất nhiều), tức là mối liên hệ với mức độ nghiêm trọng là có thật, không phải ngẫu nhiên. Tuy nhiên hệ số Cramér's V lại rất nhỏ (0,013–0,046), cho thấy mối liên hệ này khá yếu trên thực tế.</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Kết luận</w:t>
            </w:r>
          </w:p>
          <w:p>
            <w:pPr>
              <w:spacing w:after="40"/>
            </w:pPr>
            <w:r>
              <w:rPr>
                <w:sz w:val="21"/>
                <w:szCs w:val="21"/>
              </w:rPr>
              <w:t xml:space="preserve">• Vì sao "có ý nghĩa thống kê" nhưng lại "yếu"? Do cỡ mẫu quá lớn (gần 3 triệu dòng), phép kiểm định rất dễ cho ra kết quả có ý nghĩa dù ảnh hưởng thực tế không lớn.</w:t>
            </w:r>
          </w:p>
          <w:p>
            <w:pPr>
              <w:spacing w:after="40"/>
            </w:pPr>
            <w:r>
              <w:rPr>
                <w:sz w:val="21"/>
                <w:szCs w:val="21"/>
              </w:rPr>
              <w:t xml:space="preserve">• Thời tiết không phải là yếu tố quyết định chính đến mức độ nghiêm trọng của tai nạn.</w:t>
            </w:r>
          </w:p>
          <w:p>
            <w:pPr>
              <w:spacing w:after="40"/>
            </w:pPr>
            <w:r>
              <w:rPr>
                <w:sz w:val="21"/>
                <w:szCs w:val="21"/>
              </w:rPr>
              <w:t xml:space="preserve">• Nên ưu tiên các giải pháp theo hạ tầng đường bộ và theo khung giờ/khu vực đã xác định ở các phần trước, thay vì tập trung quá nhiều vào yếu tố thời tiết.</w:t>
            </w:r>
          </w:p>
        </w:tc>
      </w:tr>
    </w:tbl>
    <w:p>
      <w:pPr>
        <w:pStyle w:val="Heading1"/>
        <w:spacing w:after="200" w:before="400"/>
      </w:pPr>
      <w:r>
        <w:rPr>
          <w:b/>
          <w:bCs/>
          <w:color w:val="1F4E79"/>
          <w:sz w:val="30"/>
          <w:szCs w:val="30"/>
        </w:rPr>
        <w:t xml:space="preserve">7. Câu hỏi 6 — Những điều kiện hạ tầng nào liên quan đến tai nạn nghiêm trọng nhất?</w:t>
      </w:r>
    </w:p>
    <w:p>
      <w:pPr>
        <w:pStyle w:val="Heading3"/>
        <w:spacing w:after="100" w:before="200"/>
      </w:pPr>
      <w:r>
        <w:rPr>
          <w:b/>
          <w:bCs/>
          <w:color w:val="C00000"/>
          <w:sz w:val="23"/>
          <w:szCs w:val="23"/>
        </w:rPr>
        <w:t xml:space="preserve">Cách làm</w:t>
      </w:r>
    </w:p>
    <w:p>
      <w:pPr>
        <w:spacing w:after="150" w:line="300"/>
      </w:pPr>
      <w:r>
        <w:rPr>
          <w:sz w:val="22"/>
          <w:szCs w:val="22"/>
        </w:rPr>
        <w:t xml:space="preserve">Nhóm phân tích 6 loại hạ tầng: Amenity (tiện ích ven đường), Crossing (điểm băng qua đường), Junction (nút giao), Railway (giao cắt đường sắt), Stop (biển báo dừng) và Traffic_Signal (đèn tín hiệu). Với mỗi loại hạ tầng, nhóm tính tỷ số chênh (Odds Ratio – OR) so sánh khả năng xảy ra tai nạn nghiêm trọng (Severity từ 3 trở lên) khi có hạ tầng đó so với khi không có, kèm kiểm định Chi-square để xác nhận ý nghĩa thống kê.</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Cách đọc chỉ số Odds Ratio (OR)</w:t>
            </w:r>
          </w:p>
          <w:p>
            <w:pPr>
              <w:spacing w:after="40"/>
            </w:pPr>
            <w:r>
              <w:rPr>
                <w:sz w:val="21"/>
                <w:szCs w:val="21"/>
              </w:rPr>
              <w:t xml:space="preserve">• OR = 1: hạ tầng đó không ảnh hưởng đến nguy cơ nghiêm trọng.</w:t>
            </w:r>
          </w:p>
          <w:p>
            <w:pPr>
              <w:spacing w:after="40"/>
            </w:pPr>
            <w:r>
              <w:rPr>
                <w:sz w:val="21"/>
                <w:szCs w:val="21"/>
              </w:rPr>
              <w:t xml:space="preserve">• OR &gt; 1: hạ tầng đó làm tăng nguy cơ tai nạn nghiêm trọng.</w:t>
            </w:r>
          </w:p>
          <w:p>
            <w:pPr>
              <w:spacing w:after="40"/>
            </w:pPr>
            <w:r>
              <w:rPr>
                <w:sz w:val="21"/>
                <w:szCs w:val="21"/>
              </w:rPr>
              <w:t xml:space="preserve">• OR &lt; 1: hạ tầng đó có tác dụng bảo vệ, làm giảm nguy cơ nghiêm trọng.</w:t>
            </w:r>
          </w:p>
        </w:tc>
      </w:tr>
    </w:tbl>
    <w:p>
      <w:pPr>
        <w:pStyle w:val="Heading3"/>
        <w:spacing w:after="100" w:before="200"/>
      </w:pPr>
      <w:r>
        <w:rPr>
          <w:b/>
          <w:bCs/>
          <w:color w:val="C00000"/>
          <w:sz w:val="23"/>
          <w:szCs w:val="23"/>
        </w:rPr>
        <w:t xml:space="preserve">Kết quả</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gridCol w:w="100"/>
      </w:tblGrid>
      <w:tr>
        <w:trPr>
          <w:tblHeader/>
        </w:trPr>
        <w:tc>
          <w:tcPr>
            <w:tcW w:type="pct" w:w="30%"/>
            <w:shd w:fill="1F4E79" w:val="clear"/>
            <w:tcMar>
              <w:top w:type="dxa" w:w="80"/>
              <w:left w:type="dxa" w:w="100"/>
              <w:bottom w:type="dxa" w:w="80"/>
              <w:right w:type="dxa" w:w="100"/>
            </w:tcMar>
          </w:tcPr>
          <w:p>
            <w:pPr>
              <w:jc w:val="center"/>
            </w:pPr>
            <w:r>
              <w:rPr>
                <w:b/>
                <w:bCs/>
                <w:color w:val="FFFFFF"/>
                <w:sz w:val="20"/>
                <w:szCs w:val="20"/>
              </w:rPr>
              <w:t xml:space="preserve">Hạ tầng</w:t>
            </w:r>
          </w:p>
        </w:tc>
        <w:tc>
          <w:tcPr>
            <w:tcW w:type="pct" w:w="16%"/>
            <w:shd w:fill="1F4E79" w:val="clear"/>
            <w:tcMar>
              <w:top w:type="dxa" w:w="80"/>
              <w:left w:type="dxa" w:w="100"/>
              <w:bottom w:type="dxa" w:w="80"/>
              <w:right w:type="dxa" w:w="100"/>
            </w:tcMar>
          </w:tcPr>
          <w:p>
            <w:pPr>
              <w:jc w:val="center"/>
            </w:pPr>
            <w:r>
              <w:rPr>
                <w:b/>
                <w:bCs/>
                <w:color w:val="FFFFFF"/>
                <w:sz w:val="20"/>
                <w:szCs w:val="20"/>
              </w:rPr>
              <w:t xml:space="preserve">Odds Ratio</w:t>
            </w:r>
          </w:p>
        </w:tc>
        <w:tc>
          <w:tcPr>
            <w:tcW w:type="pct" w:w="18%"/>
            <w:shd w:fill="1F4E79" w:val="clear"/>
            <w:tcMar>
              <w:top w:type="dxa" w:w="80"/>
              <w:left w:type="dxa" w:w="100"/>
              <w:bottom w:type="dxa" w:w="80"/>
              <w:right w:type="dxa" w:w="100"/>
            </w:tcMar>
          </w:tcPr>
          <w:p>
            <w:pPr>
              <w:jc w:val="center"/>
            </w:pPr>
            <w:r>
              <w:rPr>
                <w:b/>
                <w:bCs/>
                <w:color w:val="FFFFFF"/>
                <w:sz w:val="20"/>
                <w:szCs w:val="20"/>
              </w:rPr>
              <w:t xml:space="preserve">Chi2</w:t>
            </w:r>
          </w:p>
        </w:tc>
        <w:tc>
          <w:tcPr>
            <w:tcW w:type="pct" w:w="20%"/>
            <w:shd w:fill="1F4E79" w:val="clear"/>
            <w:tcMar>
              <w:top w:type="dxa" w:w="80"/>
              <w:left w:type="dxa" w:w="100"/>
              <w:bottom w:type="dxa" w:w="80"/>
              <w:right w:type="dxa" w:w="100"/>
            </w:tcMar>
          </w:tcPr>
          <w:p>
            <w:pPr>
              <w:jc w:val="center"/>
            </w:pPr>
            <w:r>
              <w:rPr>
                <w:b/>
                <w:bCs/>
                <w:color w:val="FFFFFF"/>
                <w:sz w:val="20"/>
                <w:szCs w:val="20"/>
              </w:rPr>
              <w:t xml:space="preserve">p-value</w:t>
            </w:r>
          </w:p>
        </w:tc>
        <w:tc>
          <w:tcPr>
            <w:tcW w:type="pct" w:w="16%"/>
            <w:shd w:fill="1F4E79" w:val="clear"/>
            <w:tcMar>
              <w:top w:type="dxa" w:w="80"/>
              <w:left w:type="dxa" w:w="100"/>
              <w:bottom w:type="dxa" w:w="80"/>
              <w:right w:type="dxa" w:w="100"/>
            </w:tcMar>
          </w:tcPr>
          <w:p>
            <w:pPr>
              <w:jc w:val="center"/>
            </w:pPr>
            <w:r>
              <w:rPr>
                <w:b/>
                <w:bCs/>
                <w:color w:val="FFFFFF"/>
                <w:sz w:val="20"/>
                <w:szCs w:val="20"/>
              </w:rPr>
              <w:t xml:space="preserve">Cramér's V</w:t>
            </w:r>
          </w:p>
        </w:tc>
      </w:tr>
      <w:tr>
        <w:tc>
          <w:tcPr>
            <w:tcW w:type="pct" w:w="30%"/>
            <w:shd w:fill="FFFFFF" w:val="clear"/>
            <w:tcMar>
              <w:top w:type="dxa" w:w="70"/>
              <w:left w:type="dxa" w:w="100"/>
              <w:bottom w:type="dxa" w:w="70"/>
              <w:right w:type="dxa" w:w="100"/>
            </w:tcMar>
          </w:tcPr>
          <w:p>
            <w:pPr>
              <w:jc w:val="left"/>
            </w:pPr>
            <w:r>
              <w:rPr>
                <w:sz w:val="20"/>
                <w:szCs w:val="20"/>
              </w:rPr>
              <w:t xml:space="preserve">Junction (nút giao)</w:t>
            </w:r>
          </w:p>
        </w:tc>
        <w:tc>
          <w:tcPr>
            <w:tcW w:type="pct" w:w="16%"/>
            <w:shd w:fill="FFFFFF" w:val="clear"/>
            <w:tcMar>
              <w:top w:type="dxa" w:w="70"/>
              <w:left w:type="dxa" w:w="100"/>
              <w:bottom w:type="dxa" w:w="70"/>
              <w:right w:type="dxa" w:w="100"/>
            </w:tcMar>
          </w:tcPr>
          <w:p>
            <w:pPr>
              <w:jc w:val="center"/>
            </w:pPr>
            <w:r>
              <w:rPr>
                <w:sz w:val="20"/>
                <w:szCs w:val="20"/>
              </w:rPr>
              <w:t xml:space="preserve">1,222</w:t>
            </w:r>
          </w:p>
        </w:tc>
        <w:tc>
          <w:tcPr>
            <w:tcW w:type="pct" w:w="18%"/>
            <w:shd w:fill="FFFFFF" w:val="clear"/>
            <w:tcMar>
              <w:top w:type="dxa" w:w="70"/>
              <w:left w:type="dxa" w:w="100"/>
              <w:bottom w:type="dxa" w:w="70"/>
              <w:right w:type="dxa" w:w="100"/>
            </w:tcMar>
          </w:tcPr>
          <w:p>
            <w:pPr>
              <w:jc w:val="center"/>
            </w:pPr>
            <w:r>
              <w:rPr>
                <w:sz w:val="20"/>
                <w:szCs w:val="20"/>
              </w:rPr>
              <w:t xml:space="preserve">614,11</w:t>
            </w:r>
          </w:p>
        </w:tc>
        <w:tc>
          <w:tcPr>
            <w:tcW w:type="pct" w:w="20%"/>
            <w:shd w:fill="FFFFFF" w:val="clear"/>
            <w:tcMar>
              <w:top w:type="dxa" w:w="70"/>
              <w:left w:type="dxa" w:w="100"/>
              <w:bottom w:type="dxa" w:w="70"/>
              <w:right w:type="dxa" w:w="100"/>
            </w:tcMar>
          </w:tcPr>
          <w:p>
            <w:pPr>
              <w:jc w:val="center"/>
            </w:pPr>
            <w:r>
              <w:rPr>
                <w:sz w:val="20"/>
                <w:szCs w:val="20"/>
              </w:rPr>
              <w:t xml:space="preserve">1,43e-135</w:t>
            </w:r>
          </w:p>
        </w:tc>
        <w:tc>
          <w:tcPr>
            <w:tcW w:type="pct" w:w="16%"/>
            <w:shd w:fill="FFFFFF" w:val="clear"/>
            <w:tcMar>
              <w:top w:type="dxa" w:w="70"/>
              <w:left w:type="dxa" w:w="100"/>
              <w:bottom w:type="dxa" w:w="70"/>
              <w:right w:type="dxa" w:w="100"/>
            </w:tcMar>
          </w:tcPr>
          <w:p>
            <w:pPr>
              <w:jc w:val="center"/>
            </w:pPr>
            <w:r>
              <w:rPr>
                <w:sz w:val="20"/>
                <w:szCs w:val="20"/>
              </w:rPr>
              <w:t xml:space="preserve">0,0144</w:t>
            </w:r>
          </w:p>
        </w:tc>
      </w:tr>
      <w:tr>
        <w:tc>
          <w:tcPr>
            <w:tcW w:type="pct" w:w="30%"/>
            <w:shd w:fill="F2F6FA" w:val="clear"/>
            <w:tcMar>
              <w:top w:type="dxa" w:w="70"/>
              <w:left w:type="dxa" w:w="100"/>
              <w:bottom w:type="dxa" w:w="70"/>
              <w:right w:type="dxa" w:w="100"/>
            </w:tcMar>
          </w:tcPr>
          <w:p>
            <w:pPr>
              <w:jc w:val="left"/>
            </w:pPr>
            <w:r>
              <w:rPr>
                <w:sz w:val="20"/>
                <w:szCs w:val="20"/>
              </w:rPr>
              <w:t xml:space="preserve">Railway (giao cắt đường sắt)</w:t>
            </w:r>
          </w:p>
        </w:tc>
        <w:tc>
          <w:tcPr>
            <w:tcW w:type="pct" w:w="16%"/>
            <w:shd w:fill="F2F6FA" w:val="clear"/>
            <w:tcMar>
              <w:top w:type="dxa" w:w="70"/>
              <w:left w:type="dxa" w:w="100"/>
              <w:bottom w:type="dxa" w:w="70"/>
              <w:right w:type="dxa" w:w="100"/>
            </w:tcMar>
          </w:tcPr>
          <w:p>
            <w:pPr>
              <w:jc w:val="center"/>
            </w:pPr>
            <w:r>
              <w:rPr>
                <w:sz w:val="20"/>
                <w:szCs w:val="20"/>
              </w:rPr>
              <w:t xml:space="preserve">0,882</w:t>
            </w:r>
          </w:p>
        </w:tc>
        <w:tc>
          <w:tcPr>
            <w:tcW w:type="pct" w:w="18%"/>
            <w:shd w:fill="F2F6FA" w:val="clear"/>
            <w:tcMar>
              <w:top w:type="dxa" w:w="70"/>
              <w:left w:type="dxa" w:w="100"/>
              <w:bottom w:type="dxa" w:w="70"/>
              <w:right w:type="dxa" w:w="100"/>
            </w:tcMar>
          </w:tcPr>
          <w:p>
            <w:pPr>
              <w:jc w:val="center"/>
            </w:pPr>
            <w:r>
              <w:rPr>
                <w:sz w:val="20"/>
                <w:szCs w:val="20"/>
              </w:rPr>
              <w:t xml:space="preserve">23,91</w:t>
            </w:r>
          </w:p>
        </w:tc>
        <w:tc>
          <w:tcPr>
            <w:tcW w:type="pct" w:w="20%"/>
            <w:shd w:fill="F2F6FA" w:val="clear"/>
            <w:tcMar>
              <w:top w:type="dxa" w:w="70"/>
              <w:left w:type="dxa" w:w="100"/>
              <w:bottom w:type="dxa" w:w="70"/>
              <w:right w:type="dxa" w:w="100"/>
            </w:tcMar>
          </w:tcPr>
          <w:p>
            <w:pPr>
              <w:jc w:val="center"/>
            </w:pPr>
            <w:r>
              <w:rPr>
                <w:sz w:val="20"/>
                <w:szCs w:val="20"/>
              </w:rPr>
              <w:t xml:space="preserve">1,01e-06</w:t>
            </w:r>
          </w:p>
        </w:tc>
        <w:tc>
          <w:tcPr>
            <w:tcW w:type="pct" w:w="16%"/>
            <w:shd w:fill="F2F6FA" w:val="clear"/>
            <w:tcMar>
              <w:top w:type="dxa" w:w="70"/>
              <w:left w:type="dxa" w:w="100"/>
              <w:bottom w:type="dxa" w:w="70"/>
              <w:right w:type="dxa" w:w="100"/>
            </w:tcMar>
          </w:tcPr>
          <w:p>
            <w:pPr>
              <w:jc w:val="center"/>
            </w:pPr>
            <w:r>
              <w:rPr>
                <w:sz w:val="20"/>
                <w:szCs w:val="20"/>
              </w:rPr>
              <w:t xml:space="preserve">0,0028</w:t>
            </w:r>
          </w:p>
        </w:tc>
      </w:tr>
      <w:tr>
        <w:tc>
          <w:tcPr>
            <w:tcW w:type="pct" w:w="30%"/>
            <w:shd w:fill="FFFFFF" w:val="clear"/>
            <w:tcMar>
              <w:top w:type="dxa" w:w="70"/>
              <w:left w:type="dxa" w:w="100"/>
              <w:bottom w:type="dxa" w:w="70"/>
              <w:right w:type="dxa" w:w="100"/>
            </w:tcMar>
          </w:tcPr>
          <w:p>
            <w:pPr>
              <w:jc w:val="left"/>
            </w:pPr>
            <w:r>
              <w:rPr>
                <w:sz w:val="20"/>
                <w:szCs w:val="20"/>
              </w:rPr>
              <w:t xml:space="preserve">Traffic_Signal (đèn tín hiệu)</w:t>
            </w:r>
          </w:p>
        </w:tc>
        <w:tc>
          <w:tcPr>
            <w:tcW w:type="pct" w:w="16%"/>
            <w:shd w:fill="FFFFFF" w:val="clear"/>
            <w:tcMar>
              <w:top w:type="dxa" w:w="70"/>
              <w:left w:type="dxa" w:w="100"/>
              <w:bottom w:type="dxa" w:w="70"/>
              <w:right w:type="dxa" w:w="100"/>
            </w:tcMar>
          </w:tcPr>
          <w:p>
            <w:pPr>
              <w:jc w:val="center"/>
            </w:pPr>
            <w:r>
              <w:rPr>
                <w:sz w:val="20"/>
                <w:szCs w:val="20"/>
              </w:rPr>
              <w:t xml:space="preserve">0,574</w:t>
            </w:r>
          </w:p>
        </w:tc>
        <w:tc>
          <w:tcPr>
            <w:tcW w:type="pct" w:w="18%"/>
            <w:shd w:fill="FFFFFF" w:val="clear"/>
            <w:tcMar>
              <w:top w:type="dxa" w:w="70"/>
              <w:left w:type="dxa" w:w="100"/>
              <w:bottom w:type="dxa" w:w="70"/>
              <w:right w:type="dxa" w:w="100"/>
            </w:tcMar>
          </w:tcPr>
          <w:p>
            <w:pPr>
              <w:jc w:val="center"/>
            </w:pPr>
            <w:r>
              <w:rPr>
                <w:sz w:val="20"/>
                <w:szCs w:val="20"/>
              </w:rPr>
              <w:t xml:space="preserve">4.097,03</w:t>
            </w:r>
          </w:p>
        </w:tc>
        <w:tc>
          <w:tcPr>
            <w:tcW w:type="pct" w:w="20%"/>
            <w:shd w:fill="FFFFFF" w:val="clear"/>
            <w:tcMar>
              <w:top w:type="dxa" w:w="70"/>
              <w:left w:type="dxa" w:w="100"/>
              <w:bottom w:type="dxa" w:w="70"/>
              <w:right w:type="dxa" w:w="100"/>
            </w:tcMar>
          </w:tcPr>
          <w:p>
            <w:pPr>
              <w:jc w:val="center"/>
            </w:pPr>
            <w:r>
              <w:rPr>
                <w:sz w:val="20"/>
                <w:szCs w:val="20"/>
              </w:rPr>
              <w:t xml:space="preserve">≈ 0</w:t>
            </w:r>
          </w:p>
        </w:tc>
        <w:tc>
          <w:tcPr>
            <w:tcW w:type="pct" w:w="16%"/>
            <w:shd w:fill="FFFFFF" w:val="clear"/>
            <w:tcMar>
              <w:top w:type="dxa" w:w="70"/>
              <w:left w:type="dxa" w:w="100"/>
              <w:bottom w:type="dxa" w:w="70"/>
              <w:right w:type="dxa" w:w="100"/>
            </w:tcMar>
          </w:tcPr>
          <w:p>
            <w:pPr>
              <w:jc w:val="center"/>
            </w:pPr>
            <w:r>
              <w:rPr>
                <w:sz w:val="20"/>
                <w:szCs w:val="20"/>
              </w:rPr>
              <w:t xml:space="preserve">0,0371</w:t>
            </w:r>
          </w:p>
        </w:tc>
      </w:tr>
      <w:tr>
        <w:tc>
          <w:tcPr>
            <w:tcW w:type="pct" w:w="30%"/>
            <w:shd w:fill="F2F6FA" w:val="clear"/>
            <w:tcMar>
              <w:top w:type="dxa" w:w="70"/>
              <w:left w:type="dxa" w:w="100"/>
              <w:bottom w:type="dxa" w:w="70"/>
              <w:right w:type="dxa" w:w="100"/>
            </w:tcMar>
          </w:tcPr>
          <w:p>
            <w:pPr>
              <w:jc w:val="left"/>
            </w:pPr>
            <w:r>
              <w:rPr>
                <w:sz w:val="20"/>
                <w:szCs w:val="20"/>
              </w:rPr>
              <w:t xml:space="preserve">Stop (biển báo dừng)</w:t>
            </w:r>
          </w:p>
        </w:tc>
        <w:tc>
          <w:tcPr>
            <w:tcW w:type="pct" w:w="16%"/>
            <w:shd w:fill="F2F6FA" w:val="clear"/>
            <w:tcMar>
              <w:top w:type="dxa" w:w="70"/>
              <w:left w:type="dxa" w:w="100"/>
              <w:bottom w:type="dxa" w:w="70"/>
              <w:right w:type="dxa" w:w="100"/>
            </w:tcMar>
          </w:tcPr>
          <w:p>
            <w:pPr>
              <w:jc w:val="center"/>
            </w:pPr>
            <w:r>
              <w:rPr>
                <w:sz w:val="20"/>
                <w:szCs w:val="20"/>
              </w:rPr>
              <w:t xml:space="preserve">0,396</w:t>
            </w:r>
          </w:p>
        </w:tc>
        <w:tc>
          <w:tcPr>
            <w:tcW w:type="pct" w:w="18%"/>
            <w:shd w:fill="F2F6FA" w:val="clear"/>
            <w:tcMar>
              <w:top w:type="dxa" w:w="70"/>
              <w:left w:type="dxa" w:w="100"/>
              <w:bottom w:type="dxa" w:w="70"/>
              <w:right w:type="dxa" w:w="100"/>
            </w:tcMar>
          </w:tcPr>
          <w:p>
            <w:pPr>
              <w:jc w:val="center"/>
            </w:pPr>
            <w:r>
              <w:rPr>
                <w:sz w:val="20"/>
                <w:szCs w:val="20"/>
              </w:rPr>
              <w:t xml:space="preserve">2.488,92</w:t>
            </w:r>
          </w:p>
        </w:tc>
        <w:tc>
          <w:tcPr>
            <w:tcW w:type="pct" w:w="20%"/>
            <w:shd w:fill="F2F6FA" w:val="clear"/>
            <w:tcMar>
              <w:top w:type="dxa" w:w="70"/>
              <w:left w:type="dxa" w:w="100"/>
              <w:bottom w:type="dxa" w:w="70"/>
              <w:right w:type="dxa" w:w="100"/>
            </w:tcMar>
          </w:tcPr>
          <w:p>
            <w:pPr>
              <w:jc w:val="center"/>
            </w:pPr>
            <w:r>
              <w:rPr>
                <w:sz w:val="20"/>
                <w:szCs w:val="20"/>
              </w:rPr>
              <w:t xml:space="preserve">≈ 0</w:t>
            </w:r>
          </w:p>
        </w:tc>
        <w:tc>
          <w:tcPr>
            <w:tcW w:type="pct" w:w="16%"/>
            <w:shd w:fill="F2F6FA" w:val="clear"/>
            <w:tcMar>
              <w:top w:type="dxa" w:w="70"/>
              <w:left w:type="dxa" w:w="100"/>
              <w:bottom w:type="dxa" w:w="70"/>
              <w:right w:type="dxa" w:w="100"/>
            </w:tcMar>
          </w:tcPr>
          <w:p>
            <w:pPr>
              <w:jc w:val="center"/>
            </w:pPr>
            <w:r>
              <w:rPr>
                <w:sz w:val="20"/>
                <w:szCs w:val="20"/>
              </w:rPr>
              <w:t xml:space="preserve">0,0289</w:t>
            </w:r>
          </w:p>
        </w:tc>
      </w:tr>
      <w:tr>
        <w:tc>
          <w:tcPr>
            <w:tcW w:type="pct" w:w="30%"/>
            <w:shd w:fill="FFFFFF" w:val="clear"/>
            <w:tcMar>
              <w:top w:type="dxa" w:w="70"/>
              <w:left w:type="dxa" w:w="100"/>
              <w:bottom w:type="dxa" w:w="70"/>
              <w:right w:type="dxa" w:w="100"/>
            </w:tcMar>
          </w:tcPr>
          <w:p>
            <w:pPr>
              <w:jc w:val="left"/>
            </w:pPr>
            <w:r>
              <w:rPr>
                <w:sz w:val="20"/>
                <w:szCs w:val="20"/>
              </w:rPr>
              <w:t xml:space="preserve">Amenity (tiện ích ven đường)</w:t>
            </w:r>
          </w:p>
        </w:tc>
        <w:tc>
          <w:tcPr>
            <w:tcW w:type="pct" w:w="16%"/>
            <w:shd w:fill="FFFFFF" w:val="clear"/>
            <w:tcMar>
              <w:top w:type="dxa" w:w="70"/>
              <w:left w:type="dxa" w:w="100"/>
              <w:bottom w:type="dxa" w:w="70"/>
              <w:right w:type="dxa" w:w="100"/>
            </w:tcMar>
          </w:tcPr>
          <w:p>
            <w:pPr>
              <w:jc w:val="center"/>
            </w:pPr>
            <w:r>
              <w:rPr>
                <w:sz w:val="20"/>
                <w:szCs w:val="20"/>
              </w:rPr>
              <w:t xml:space="preserve">0,350</w:t>
            </w:r>
          </w:p>
        </w:tc>
        <w:tc>
          <w:tcPr>
            <w:tcW w:type="pct" w:w="18%"/>
            <w:shd w:fill="FFFFFF" w:val="clear"/>
            <w:tcMar>
              <w:top w:type="dxa" w:w="70"/>
              <w:left w:type="dxa" w:w="100"/>
              <w:bottom w:type="dxa" w:w="70"/>
              <w:right w:type="dxa" w:w="100"/>
            </w:tcMar>
          </w:tcPr>
          <w:p>
            <w:pPr>
              <w:jc w:val="center"/>
            </w:pPr>
            <w:r>
              <w:rPr>
                <w:sz w:val="20"/>
                <w:szCs w:val="20"/>
              </w:rPr>
              <w:t xml:space="preserve">1.261,03</w:t>
            </w:r>
          </w:p>
        </w:tc>
        <w:tc>
          <w:tcPr>
            <w:tcW w:type="pct" w:w="20%"/>
            <w:shd w:fill="FFFFFF" w:val="clear"/>
            <w:tcMar>
              <w:top w:type="dxa" w:w="70"/>
              <w:left w:type="dxa" w:w="100"/>
              <w:bottom w:type="dxa" w:w="70"/>
              <w:right w:type="dxa" w:w="100"/>
            </w:tcMar>
          </w:tcPr>
          <w:p>
            <w:pPr>
              <w:jc w:val="center"/>
            </w:pPr>
            <w:r>
              <w:rPr>
                <w:sz w:val="20"/>
                <w:szCs w:val="20"/>
              </w:rPr>
              <w:t xml:space="preserve">3,33e-276</w:t>
            </w:r>
          </w:p>
        </w:tc>
        <w:tc>
          <w:tcPr>
            <w:tcW w:type="pct" w:w="16%"/>
            <w:shd w:fill="FFFFFF" w:val="clear"/>
            <w:tcMar>
              <w:top w:type="dxa" w:w="70"/>
              <w:left w:type="dxa" w:w="100"/>
              <w:bottom w:type="dxa" w:w="70"/>
              <w:right w:type="dxa" w:w="100"/>
            </w:tcMar>
          </w:tcPr>
          <w:p>
            <w:pPr>
              <w:jc w:val="center"/>
            </w:pPr>
            <w:r>
              <w:rPr>
                <w:sz w:val="20"/>
                <w:szCs w:val="20"/>
              </w:rPr>
              <w:t xml:space="preserve">0,0206</w:t>
            </w:r>
          </w:p>
        </w:tc>
      </w:tr>
      <w:tr>
        <w:tc>
          <w:tcPr>
            <w:tcW w:type="pct" w:w="30%"/>
            <w:shd w:fill="F2F6FA" w:val="clear"/>
            <w:tcMar>
              <w:top w:type="dxa" w:w="70"/>
              <w:left w:type="dxa" w:w="100"/>
              <w:bottom w:type="dxa" w:w="70"/>
              <w:right w:type="dxa" w:w="100"/>
            </w:tcMar>
          </w:tcPr>
          <w:p>
            <w:pPr>
              <w:jc w:val="left"/>
            </w:pPr>
            <w:r>
              <w:rPr>
                <w:sz w:val="20"/>
                <w:szCs w:val="20"/>
              </w:rPr>
              <w:t xml:space="preserve">Crossing (điểm băng qua đường)</w:t>
            </w:r>
          </w:p>
        </w:tc>
        <w:tc>
          <w:tcPr>
            <w:tcW w:type="pct" w:w="16%"/>
            <w:shd w:fill="F2F6FA" w:val="clear"/>
            <w:tcMar>
              <w:top w:type="dxa" w:w="70"/>
              <w:left w:type="dxa" w:w="100"/>
              <w:bottom w:type="dxa" w:w="70"/>
              <w:right w:type="dxa" w:w="100"/>
            </w:tcMar>
          </w:tcPr>
          <w:p>
            <w:pPr>
              <w:jc w:val="center"/>
            </w:pPr>
            <w:r>
              <w:rPr>
                <w:sz w:val="20"/>
                <w:szCs w:val="20"/>
              </w:rPr>
              <w:t xml:space="preserve">0,316</w:t>
            </w:r>
          </w:p>
        </w:tc>
        <w:tc>
          <w:tcPr>
            <w:tcW w:type="pct" w:w="18%"/>
            <w:shd w:fill="F2F6FA" w:val="clear"/>
            <w:tcMar>
              <w:top w:type="dxa" w:w="70"/>
              <w:left w:type="dxa" w:w="100"/>
              <w:bottom w:type="dxa" w:w="70"/>
              <w:right w:type="dxa" w:w="100"/>
            </w:tcMar>
          </w:tcPr>
          <w:p>
            <w:pPr>
              <w:jc w:val="center"/>
            </w:pPr>
            <w:r>
              <w:rPr>
                <w:sz w:val="20"/>
                <w:szCs w:val="20"/>
              </w:rPr>
              <w:t xml:space="preserve">11.893,68</w:t>
            </w:r>
          </w:p>
        </w:tc>
        <w:tc>
          <w:tcPr>
            <w:tcW w:type="pct" w:w="20%"/>
            <w:shd w:fill="F2F6FA" w:val="clear"/>
            <w:tcMar>
              <w:top w:type="dxa" w:w="70"/>
              <w:left w:type="dxa" w:w="100"/>
              <w:bottom w:type="dxa" w:w="70"/>
              <w:right w:type="dxa" w:w="100"/>
            </w:tcMar>
          </w:tcPr>
          <w:p>
            <w:pPr>
              <w:jc w:val="center"/>
            </w:pPr>
            <w:r>
              <w:rPr>
                <w:sz w:val="20"/>
                <w:szCs w:val="20"/>
              </w:rPr>
              <w:t xml:space="preserve">≈ 0</w:t>
            </w:r>
          </w:p>
        </w:tc>
        <w:tc>
          <w:tcPr>
            <w:tcW w:type="pct" w:w="16%"/>
            <w:shd w:fill="F2F6FA" w:val="clear"/>
            <w:tcMar>
              <w:top w:type="dxa" w:w="70"/>
              <w:left w:type="dxa" w:w="100"/>
              <w:bottom w:type="dxa" w:w="70"/>
              <w:right w:type="dxa" w:w="100"/>
            </w:tcMar>
          </w:tcPr>
          <w:p>
            <w:pPr>
              <w:jc w:val="center"/>
            </w:pPr>
            <w:r>
              <w:rPr>
                <w:sz w:val="20"/>
                <w:szCs w:val="20"/>
              </w:rPr>
              <w:t xml:space="preserve">0,0633</w:t>
            </w:r>
          </w:p>
        </w:tc>
      </w:tr>
    </w:tbl>
    <w:p>
      <w:pPr>
        <w:pStyle w:val="Heading3"/>
        <w:spacing w:after="100" w:before="200"/>
      </w:pPr>
      <w:r>
        <w:rPr>
          <w:b/>
          <w:bCs/>
          <w:color w:val="C00000"/>
          <w:sz w:val="23"/>
          <w:szCs w:val="23"/>
        </w:rPr>
        <w:t xml:space="preserve">Ý nghĩa thực tiễn</w:t>
      </w:r>
    </w:p>
    <w:p>
      <w:pPr>
        <w:spacing w:after="150" w:line="300"/>
      </w:pPr>
      <w:r>
        <w:rPr>
          <w:sz w:val="22"/>
          <w:szCs w:val="22"/>
        </w:rPr>
        <w:t xml:space="preserve">Junction (nút giao) là hạ tầng duy nhất làm tăng nguy cơ tai nạn nghiêm trọng (OR = 1,22) — dễ hiểu vì đây là nơi tập trung nhiều điểm giao cắt luồng phương tiện (conflict points), một va chạm nhỏ ở tốc độ cao dễ kéo theo va chạm liên hoàn.</w:t>
      </w:r>
    </w:p>
    <w:p>
      <w:pPr>
        <w:spacing w:after="150" w:line="300"/>
      </w:pPr>
      <w:r>
        <w:rPr>
          <w:sz w:val="22"/>
          <w:szCs w:val="22"/>
        </w:rPr>
        <w:t xml:space="preserve">Năm loại hạ tầng còn lại đều có tác dụng bảo vệ (OR nhỏ hơn 1), mạnh nhất là Crossing (OR = 0,32) và Stop (OR = 0,40). Đáng chú ý, Traffic_Signal (đèn tín hiệu) tuy vẫn có tác dụng bảo vệ (OR = 0,57) nhưng yếu hơn hẳn Crossing và Stop, và trong nhóm tai nạn nghiêm trọng nhất (Severity = 4) lại thường xuất hiện cùng với Crossing — cho thấy hiệu quả thực tế của đèn tín hiệu tại các điểm giao cắt có thể chưa tương xứng với vai trò kiểm soát giao thông của nó.</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Kết luận</w:t>
            </w:r>
          </w:p>
          <w:p>
            <w:pPr>
              <w:spacing w:after="40"/>
            </w:pPr>
            <w:r>
              <w:rPr>
                <w:sz w:val="21"/>
                <w:szCs w:val="21"/>
              </w:rPr>
              <w:t xml:space="preserve">• Ưu tiên rà soát và cải tạo các nút giao (Junction) trước tiên, vì đây là yếu tố hạ tầng duy nhất làm tăng nguy cơ nghiêm trọng.</w:t>
            </w:r>
          </w:p>
          <w:p>
            <w:pPr>
              <w:spacing w:after="40"/>
            </w:pPr>
            <w:r>
              <w:rPr>
                <w:sz w:val="21"/>
                <w:szCs w:val="21"/>
              </w:rPr>
              <w:t xml:space="preserve">• Đánh giá lại hiệu quả vận hành thực tế của đèn tín hiệu (thời gian đèn, khả năng quan sát, mức độ tuân thủ) tại các điểm Crossing, vì mức bảo vệ hiện tại thấp hơn kỳ vọng so với các biện pháp kiểm soát khác.</w:t>
            </w:r>
          </w:p>
        </w:tc>
      </w:tr>
    </w:tbl>
    <w:p>
      <w:pPr>
        <w:pStyle w:val="Heading1"/>
        <w:spacing w:after="200" w:before="400"/>
      </w:pPr>
      <w:r>
        <w:rPr>
          <w:b/>
          <w:bCs/>
          <w:color w:val="1F4E79"/>
          <w:sz w:val="30"/>
          <w:szCs w:val="30"/>
        </w:rPr>
        <w:t xml:space="preserve">8. Câu hỏi 7 — Top điểm đen cần ưu tiên can thiệp trước mùa mưa bão</w:t>
      </w:r>
    </w:p>
    <w:p>
      <w:pPr>
        <w:pStyle w:val="Heading3"/>
        <w:spacing w:after="100" w:before="200"/>
      </w:pPr>
      <w:r>
        <w:rPr>
          <w:b/>
          <w:bCs/>
          <w:color w:val="C00000"/>
          <w:sz w:val="23"/>
          <w:szCs w:val="23"/>
        </w:rPr>
        <w:t xml:space="preserve">Cách làm</w:t>
      </w:r>
    </w:p>
    <w:p>
      <w:pPr>
        <w:spacing w:after="150" w:line="300"/>
      </w:pPr>
      <w:r>
        <w:rPr>
          <w:sz w:val="22"/>
          <w:szCs w:val="22"/>
        </w:rPr>
        <w:t xml:space="preserve">Đây là bước tổng hợp toàn bộ phân tích trước đó thành một chỉ số duy nhất gọi là Điểm ưu tiên (Priority Score), giúp xếp hạng khu vực nào cần được khảo sát và can thiệp trước. Điểm ưu tiên được tính từ 3 yếu tố:</w:t>
      </w:r>
    </w:p>
    <w:p>
      <w:pPr>
        <w:pStyle w:val="ListParagraph"/>
        <w:numPr>
          <w:ilvl w:val="0"/>
          <w:numId w:val="2"/>
        </w:numPr>
        <w:spacing w:after="90" w:line="290"/>
      </w:pPr>
      <w:r>
        <w:rPr>
          <w:sz w:val="22"/>
          <w:szCs w:val="22"/>
        </w:rPr>
        <w:t xml:space="preserve">Khối lượng tai nạn (Total_Accidents) — được biến đổi logarit (log) để tránh các thành phố cực lớn như Chicago lấn át hoàn toàn kết quả.</w:t>
      </w:r>
    </w:p>
    <w:p>
      <w:pPr>
        <w:pStyle w:val="ListParagraph"/>
        <w:numPr>
          <w:ilvl w:val="0"/>
          <w:numId w:val="2"/>
        </w:numPr>
        <w:spacing w:after="90" w:line="290"/>
      </w:pPr>
      <w:r>
        <w:rPr>
          <w:sz w:val="22"/>
          <w:szCs w:val="22"/>
        </w:rPr>
        <w:t xml:space="preserve">Tỷ lệ tai nạn nghiêm trọng, hiệu chỉnh bằng công thức Wilson Score thay vì tỷ lệ phần trăm thông thường.</w:t>
      </w:r>
    </w:p>
    <w:p>
      <w:pPr>
        <w:pStyle w:val="ListParagraph"/>
        <w:numPr>
          <w:ilvl w:val="0"/>
          <w:numId w:val="2"/>
        </w:numPr>
        <w:spacing w:after="90" w:line="290"/>
      </w:pPr>
      <w:r>
        <w:rPr>
          <w:sz w:val="22"/>
          <w:szCs w:val="22"/>
        </w:rPr>
        <w:t xml:space="preserve">Tỷ lệ tai nạn liên quan đến thời tiết xấu (Weather_Related_Rate_%) — phù hợp với mục tiêu "ưu tiên trước mùa mưa bão".</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Vì sao dùng Wilson Score thay vì tỷ lệ % thông thường?</w:t>
            </w:r>
          </w:p>
          <w:p>
            <w:pPr>
              <w:spacing w:after="40"/>
            </w:pPr>
            <w:r>
              <w:rPr>
                <w:sz w:val="21"/>
                <w:szCs w:val="21"/>
              </w:rPr>
              <w:t xml:space="preserve">• Một thị trấn nhỏ chỉ có 5 vụ tai nạn mà 4 vụ nghiêm trọng sẽ cho tỷ lệ 80% — nhưng con số này không đáng tin vì mẫu quá nhỏ, dễ do may rủi.</w:t>
            </w:r>
          </w:p>
          <w:p>
            <w:pPr>
              <w:spacing w:after="40"/>
            </w:pPr>
            <w:r>
              <w:rPr>
                <w:sz w:val="21"/>
                <w:szCs w:val="21"/>
              </w:rPr>
              <w:t xml:space="preserve">• Công thức Wilson Score tính toán "cận dưới đáng tin cậy" của tỷ lệ thật, giúp hạ bớt các tỷ lệ ảo do mẫu nhỏ, cho kết quả công bằng hơn khi so sánh khu vực lớn với khu vực nhỏ.</w:t>
            </w:r>
          </w:p>
        </w:tc>
      </w:tr>
    </w:tbl>
    <w:p>
      <w:pPr>
        <w:spacing w:after="150" w:line="300"/>
      </w:pPr>
      <w:r>
        <w:rPr>
          <w:sz w:val="22"/>
          <w:szCs w:val="22"/>
        </w:rPr>
        <w:t xml:space="preserve">Ba yếu tố trên được chuẩn hóa về cùng thang đo (0–1) rồi cộng theo trọng số: khối lượng 30%, tỷ lệ nghiêm trọng 40% (trọng số cao nhất), tỷ lệ liên quan thời tiết 30%. Chỉ những khu vực có từ 30 vụ tai nạn trở lên mới được đưa vào xếp hạng, để đảm bảo đủ dữ liệu tin cậy.</w:t>
      </w:r>
    </w:p>
    <w:p>
      <w:pPr>
        <w:pStyle w:val="Heading3"/>
        <w:spacing w:after="100" w:before="200"/>
      </w:pPr>
      <w:r>
        <w:rPr>
          <w:b/>
          <w:bCs/>
          <w:color w:val="C00000"/>
          <w:sz w:val="23"/>
          <w:szCs w:val="23"/>
        </w:rPr>
        <w:t xml:space="preserve">Kết quả — Top các điểm đen ưu tiên cao nhất</w:t>
      </w:r>
    </w:p>
    <w:tbl>
      <w:tblPr>
        <w:tblW w:type="pct" w:w="100%"/>
        <w:tblBorders>
          <w:top w:val="single" w:color="BFBFBF" w:sz="2"/>
          <w:left w:val="single" w:color="BFBFBF" w:sz="2"/>
          <w:bottom w:val="single" w:color="BFBFBF" w:sz="2"/>
          <w:right w:val="single" w:color="BFBFBF" w:sz="2"/>
          <w:insideH w:val="single" w:color="D9D9D9" w:sz="2"/>
          <w:insideV w:val="single" w:color="D9D9D9" w:sz="2"/>
        </w:tblBorders>
      </w:tblPr>
      <w:tblGrid>
        <w:gridCol w:w="100"/>
        <w:gridCol w:w="100"/>
        <w:gridCol w:w="100"/>
        <w:gridCol w:w="100"/>
        <w:gridCol w:w="100"/>
      </w:tblGrid>
      <w:tr>
        <w:trPr>
          <w:tblHeader/>
        </w:trPr>
        <w:tc>
          <w:tcPr>
            <w:tcW w:type="pct" w:w="34%"/>
            <w:shd w:fill="1F4E79" w:val="clear"/>
            <w:tcMar>
              <w:top w:type="dxa" w:w="80"/>
              <w:left w:type="dxa" w:w="100"/>
              <w:bottom w:type="dxa" w:w="80"/>
              <w:right w:type="dxa" w:w="100"/>
            </w:tcMar>
          </w:tcPr>
          <w:p>
            <w:pPr>
              <w:jc w:val="center"/>
            </w:pPr>
            <w:r>
              <w:rPr>
                <w:b/>
                <w:bCs/>
                <w:color w:val="FFFFFF"/>
                <w:sz w:val="20"/>
                <w:szCs w:val="20"/>
              </w:rPr>
              <w:t xml:space="preserve">Khu vực</w:t>
            </w:r>
          </w:p>
        </w:tc>
        <w:tc>
          <w:tcPr>
            <w:tcW w:type="pct" w:w="14%"/>
            <w:shd w:fill="1F4E79" w:val="clear"/>
            <w:tcMar>
              <w:top w:type="dxa" w:w="80"/>
              <w:left w:type="dxa" w:w="100"/>
              <w:bottom w:type="dxa" w:w="80"/>
              <w:right w:type="dxa" w:w="100"/>
            </w:tcMar>
          </w:tcPr>
          <w:p>
            <w:pPr>
              <w:jc w:val="center"/>
            </w:pPr>
            <w:r>
              <w:rPr>
                <w:b/>
                <w:bCs/>
                <w:color w:val="FFFFFF"/>
                <w:sz w:val="20"/>
                <w:szCs w:val="20"/>
              </w:rPr>
              <w:t xml:space="preserve">Tổng số vụ</w:t>
            </w:r>
          </w:p>
        </w:tc>
        <w:tc>
          <w:tcPr>
            <w:tcW w:type="pct" w:w="20%"/>
            <w:shd w:fill="1F4E79" w:val="clear"/>
            <w:tcMar>
              <w:top w:type="dxa" w:w="80"/>
              <w:left w:type="dxa" w:w="100"/>
              <w:bottom w:type="dxa" w:w="80"/>
              <w:right w:type="dxa" w:w="100"/>
            </w:tcMar>
          </w:tcPr>
          <w:p>
            <w:pPr>
              <w:jc w:val="center"/>
            </w:pPr>
            <w:r>
              <w:rPr>
                <w:b/>
                <w:bCs/>
                <w:color w:val="FFFFFF"/>
                <w:sz w:val="20"/>
                <w:szCs w:val="20"/>
              </w:rPr>
              <w:t xml:space="preserve">Tỷ lệ nghiêm trọng (%)</w:t>
            </w:r>
          </w:p>
        </w:tc>
        <w:tc>
          <w:tcPr>
            <w:tcW w:type="pct" w:w="16%"/>
            <w:shd w:fill="1F4E79" w:val="clear"/>
            <w:tcMar>
              <w:top w:type="dxa" w:w="80"/>
              <w:left w:type="dxa" w:w="100"/>
              <w:bottom w:type="dxa" w:w="80"/>
              <w:right w:type="dxa" w:w="100"/>
            </w:tcMar>
          </w:tcPr>
          <w:p>
            <w:pPr>
              <w:jc w:val="center"/>
            </w:pPr>
            <w:r>
              <w:rPr>
                <w:b/>
                <w:bCs/>
                <w:color w:val="FFFFFF"/>
                <w:sz w:val="20"/>
                <w:szCs w:val="20"/>
              </w:rPr>
              <w:t xml:space="preserve">Wilson Score (%)</w:t>
            </w:r>
          </w:p>
        </w:tc>
        <w:tc>
          <w:tcPr>
            <w:tcW w:type="pct" w:w="16%"/>
            <w:shd w:fill="1F4E79" w:val="clear"/>
            <w:tcMar>
              <w:top w:type="dxa" w:w="80"/>
              <w:left w:type="dxa" w:w="100"/>
              <w:bottom w:type="dxa" w:w="80"/>
              <w:right w:type="dxa" w:w="100"/>
            </w:tcMar>
          </w:tcPr>
          <w:p>
            <w:pPr>
              <w:jc w:val="center"/>
            </w:pPr>
            <w:r>
              <w:rPr>
                <w:b/>
                <w:bCs/>
                <w:color w:val="FFFFFF"/>
                <w:sz w:val="20"/>
                <w:szCs w:val="20"/>
              </w:rPr>
              <w:t xml:space="preserve">Điểm ưu tiên</w:t>
            </w:r>
          </w:p>
        </w:tc>
      </w:tr>
      <w:tr>
        <w:tc>
          <w:tcPr>
            <w:tcW w:type="pct" w:w="34%"/>
            <w:shd w:fill="FFFFFF" w:val="clear"/>
            <w:tcMar>
              <w:top w:type="dxa" w:w="70"/>
              <w:left w:type="dxa" w:w="100"/>
              <w:bottom w:type="dxa" w:w="70"/>
              <w:right w:type="dxa" w:w="100"/>
            </w:tcMar>
          </w:tcPr>
          <w:p>
            <w:pPr>
              <w:jc w:val="left"/>
            </w:pPr>
            <w:r>
              <w:rPr>
                <w:sz w:val="20"/>
                <w:szCs w:val="20"/>
              </w:rPr>
              <w:t xml:space="preserve">Springfield, Sangamon, IL</w:t>
            </w:r>
          </w:p>
        </w:tc>
        <w:tc>
          <w:tcPr>
            <w:tcW w:type="pct" w:w="14%"/>
            <w:shd w:fill="FFFFFF" w:val="clear"/>
            <w:tcMar>
              <w:top w:type="dxa" w:w="70"/>
              <w:left w:type="dxa" w:w="100"/>
              <w:bottom w:type="dxa" w:w="70"/>
              <w:right w:type="dxa" w:w="100"/>
            </w:tcMar>
          </w:tcPr>
          <w:p>
            <w:pPr>
              <w:jc w:val="center"/>
            </w:pPr>
            <w:r>
              <w:rPr>
                <w:sz w:val="20"/>
                <w:szCs w:val="20"/>
              </w:rPr>
              <w:t xml:space="preserve">120</w:t>
            </w:r>
          </w:p>
        </w:tc>
        <w:tc>
          <w:tcPr>
            <w:tcW w:type="pct" w:w="20%"/>
            <w:shd w:fill="FFFFFF" w:val="clear"/>
            <w:tcMar>
              <w:top w:type="dxa" w:w="70"/>
              <w:left w:type="dxa" w:w="100"/>
              <w:bottom w:type="dxa" w:w="70"/>
              <w:right w:type="dxa" w:w="100"/>
            </w:tcMar>
          </w:tcPr>
          <w:p>
            <w:pPr>
              <w:jc w:val="center"/>
            </w:pPr>
            <w:r>
              <w:rPr>
                <w:sz w:val="20"/>
                <w:szCs w:val="20"/>
              </w:rPr>
              <w:t xml:space="preserve">94,17</w:t>
            </w:r>
          </w:p>
        </w:tc>
        <w:tc>
          <w:tcPr>
            <w:tcW w:type="pct" w:w="16%"/>
            <w:shd w:fill="FFFFFF" w:val="clear"/>
            <w:tcMar>
              <w:top w:type="dxa" w:w="70"/>
              <w:left w:type="dxa" w:w="100"/>
              <w:bottom w:type="dxa" w:w="70"/>
              <w:right w:type="dxa" w:w="100"/>
            </w:tcMar>
          </w:tcPr>
          <w:p>
            <w:pPr>
              <w:jc w:val="center"/>
            </w:pPr>
            <w:r>
              <w:rPr>
                <w:sz w:val="20"/>
                <w:szCs w:val="20"/>
              </w:rPr>
              <w:t xml:space="preserve">88,45</w:t>
            </w:r>
          </w:p>
        </w:tc>
        <w:tc>
          <w:tcPr>
            <w:tcW w:type="pct" w:w="16%"/>
            <w:shd w:fill="FFFFFF" w:val="clear"/>
            <w:tcMar>
              <w:top w:type="dxa" w:w="70"/>
              <w:left w:type="dxa" w:w="100"/>
              <w:bottom w:type="dxa" w:w="70"/>
              <w:right w:type="dxa" w:w="100"/>
            </w:tcMar>
          </w:tcPr>
          <w:p>
            <w:pPr>
              <w:jc w:val="center"/>
            </w:pPr>
            <w:r>
              <w:rPr>
                <w:sz w:val="20"/>
                <w:szCs w:val="20"/>
              </w:rPr>
              <w:t xml:space="preserve">0,523</w:t>
            </w:r>
          </w:p>
        </w:tc>
      </w:tr>
      <w:tr>
        <w:tc>
          <w:tcPr>
            <w:tcW w:type="pct" w:w="34%"/>
            <w:shd w:fill="F2F6FA" w:val="clear"/>
            <w:tcMar>
              <w:top w:type="dxa" w:w="70"/>
              <w:left w:type="dxa" w:w="100"/>
              <w:bottom w:type="dxa" w:w="70"/>
              <w:right w:type="dxa" w:w="100"/>
            </w:tcMar>
          </w:tcPr>
          <w:p>
            <w:pPr>
              <w:jc w:val="left"/>
            </w:pPr>
            <w:r>
              <w:rPr>
                <w:sz w:val="20"/>
                <w:szCs w:val="20"/>
              </w:rPr>
              <w:t xml:space="preserve">Lincoln, Logan, IL</w:t>
            </w:r>
          </w:p>
        </w:tc>
        <w:tc>
          <w:tcPr>
            <w:tcW w:type="pct" w:w="14%"/>
            <w:shd w:fill="F2F6FA" w:val="clear"/>
            <w:tcMar>
              <w:top w:type="dxa" w:w="70"/>
              <w:left w:type="dxa" w:w="100"/>
              <w:bottom w:type="dxa" w:w="70"/>
              <w:right w:type="dxa" w:w="100"/>
            </w:tcMar>
          </w:tcPr>
          <w:p>
            <w:pPr>
              <w:jc w:val="center"/>
            </w:pPr>
            <w:r>
              <w:rPr>
                <w:sz w:val="20"/>
                <w:szCs w:val="20"/>
              </w:rPr>
              <w:t xml:space="preserve">41</w:t>
            </w:r>
          </w:p>
        </w:tc>
        <w:tc>
          <w:tcPr>
            <w:tcW w:type="pct" w:w="20%"/>
            <w:shd w:fill="F2F6FA" w:val="clear"/>
            <w:tcMar>
              <w:top w:type="dxa" w:w="70"/>
              <w:left w:type="dxa" w:w="100"/>
              <w:bottom w:type="dxa" w:w="70"/>
              <w:right w:type="dxa" w:w="100"/>
            </w:tcMar>
          </w:tcPr>
          <w:p>
            <w:pPr>
              <w:jc w:val="center"/>
            </w:pPr>
            <w:r>
              <w:rPr>
                <w:sz w:val="20"/>
                <w:szCs w:val="20"/>
              </w:rPr>
              <w:t xml:space="preserve">97,56</w:t>
            </w:r>
          </w:p>
        </w:tc>
        <w:tc>
          <w:tcPr>
            <w:tcW w:type="pct" w:w="16%"/>
            <w:shd w:fill="F2F6FA" w:val="clear"/>
            <w:tcMar>
              <w:top w:type="dxa" w:w="70"/>
              <w:left w:type="dxa" w:w="100"/>
              <w:bottom w:type="dxa" w:w="70"/>
              <w:right w:type="dxa" w:w="100"/>
            </w:tcMar>
          </w:tcPr>
          <w:p>
            <w:pPr>
              <w:jc w:val="center"/>
            </w:pPr>
            <w:r>
              <w:rPr>
                <w:sz w:val="20"/>
                <w:szCs w:val="20"/>
              </w:rPr>
              <w:t xml:space="preserve">87,40</w:t>
            </w:r>
          </w:p>
        </w:tc>
        <w:tc>
          <w:tcPr>
            <w:tcW w:type="pct" w:w="16%"/>
            <w:shd w:fill="F2F6FA" w:val="clear"/>
            <w:tcMar>
              <w:top w:type="dxa" w:w="70"/>
              <w:left w:type="dxa" w:w="100"/>
              <w:bottom w:type="dxa" w:w="70"/>
              <w:right w:type="dxa" w:w="100"/>
            </w:tcMar>
          </w:tcPr>
          <w:p>
            <w:pPr>
              <w:jc w:val="center"/>
            </w:pPr>
            <w:r>
              <w:rPr>
                <w:sz w:val="20"/>
                <w:szCs w:val="20"/>
              </w:rPr>
              <w:t xml:space="preserve">0,505</w:t>
            </w:r>
          </w:p>
        </w:tc>
      </w:tr>
      <w:tr>
        <w:tc>
          <w:tcPr>
            <w:tcW w:type="pct" w:w="34%"/>
            <w:shd w:fill="FFFFFF" w:val="clear"/>
            <w:tcMar>
              <w:top w:type="dxa" w:w="70"/>
              <w:left w:type="dxa" w:w="100"/>
              <w:bottom w:type="dxa" w:w="70"/>
              <w:right w:type="dxa" w:w="100"/>
            </w:tcMar>
          </w:tcPr>
          <w:p>
            <w:pPr>
              <w:jc w:val="left"/>
            </w:pPr>
            <w:r>
              <w:rPr>
                <w:sz w:val="20"/>
                <w:szCs w:val="20"/>
              </w:rPr>
              <w:t xml:space="preserve">Champaign, Champaign, IL</w:t>
            </w:r>
          </w:p>
        </w:tc>
        <w:tc>
          <w:tcPr>
            <w:tcW w:type="pct" w:w="14%"/>
            <w:shd w:fill="FFFFFF" w:val="clear"/>
            <w:tcMar>
              <w:top w:type="dxa" w:w="70"/>
              <w:left w:type="dxa" w:w="100"/>
              <w:bottom w:type="dxa" w:w="70"/>
              <w:right w:type="dxa" w:w="100"/>
            </w:tcMar>
          </w:tcPr>
          <w:p>
            <w:pPr>
              <w:jc w:val="center"/>
            </w:pPr>
            <w:r>
              <w:rPr>
                <w:sz w:val="20"/>
                <w:szCs w:val="20"/>
              </w:rPr>
              <w:t xml:space="preserve">92</w:t>
            </w:r>
          </w:p>
        </w:tc>
        <w:tc>
          <w:tcPr>
            <w:tcW w:type="pct" w:w="20%"/>
            <w:shd w:fill="FFFFFF" w:val="clear"/>
            <w:tcMar>
              <w:top w:type="dxa" w:w="70"/>
              <w:left w:type="dxa" w:w="100"/>
              <w:bottom w:type="dxa" w:w="70"/>
              <w:right w:type="dxa" w:w="100"/>
            </w:tcMar>
          </w:tcPr>
          <w:p>
            <w:pPr>
              <w:jc w:val="center"/>
            </w:pPr>
            <w:r>
              <w:rPr>
                <w:sz w:val="20"/>
                <w:szCs w:val="20"/>
              </w:rPr>
              <w:t xml:space="preserve">93,48</w:t>
            </w:r>
          </w:p>
        </w:tc>
        <w:tc>
          <w:tcPr>
            <w:tcW w:type="pct" w:w="16%"/>
            <w:shd w:fill="FFFFFF" w:val="clear"/>
            <w:tcMar>
              <w:top w:type="dxa" w:w="70"/>
              <w:left w:type="dxa" w:w="100"/>
              <w:bottom w:type="dxa" w:w="70"/>
              <w:right w:type="dxa" w:w="100"/>
            </w:tcMar>
          </w:tcPr>
          <w:p>
            <w:pPr>
              <w:jc w:val="center"/>
            </w:pPr>
            <w:r>
              <w:rPr>
                <w:sz w:val="20"/>
                <w:szCs w:val="20"/>
              </w:rPr>
              <w:t xml:space="preserve">86,49</w:t>
            </w:r>
          </w:p>
        </w:tc>
        <w:tc>
          <w:tcPr>
            <w:tcW w:type="pct" w:w="16%"/>
            <w:shd w:fill="FFFFFF" w:val="clear"/>
            <w:tcMar>
              <w:top w:type="dxa" w:w="70"/>
              <w:left w:type="dxa" w:w="100"/>
              <w:bottom w:type="dxa" w:w="70"/>
              <w:right w:type="dxa" w:w="100"/>
            </w:tcMar>
          </w:tcPr>
          <w:p>
            <w:pPr>
              <w:jc w:val="center"/>
            </w:pPr>
            <w:r>
              <w:rPr>
                <w:sz w:val="20"/>
                <w:szCs w:val="20"/>
              </w:rPr>
              <w:t xml:space="preserve">0,490</w:t>
            </w:r>
          </w:p>
        </w:tc>
      </w:tr>
      <w:tr>
        <w:tc>
          <w:tcPr>
            <w:tcW w:type="pct" w:w="34%"/>
            <w:shd w:fill="F2F6FA" w:val="clear"/>
            <w:tcMar>
              <w:top w:type="dxa" w:w="70"/>
              <w:left w:type="dxa" w:w="100"/>
              <w:bottom w:type="dxa" w:w="70"/>
              <w:right w:type="dxa" w:w="100"/>
            </w:tcMar>
          </w:tcPr>
          <w:p>
            <w:pPr>
              <w:jc w:val="left"/>
            </w:pPr>
            <w:r>
              <w:rPr>
                <w:sz w:val="20"/>
                <w:szCs w:val="20"/>
              </w:rPr>
              <w:t xml:space="preserve">Chicago, Cook, IL</w:t>
            </w:r>
          </w:p>
        </w:tc>
        <w:tc>
          <w:tcPr>
            <w:tcW w:type="pct" w:w="14%"/>
            <w:shd w:fill="F2F6FA" w:val="clear"/>
            <w:tcMar>
              <w:top w:type="dxa" w:w="70"/>
              <w:left w:type="dxa" w:w="100"/>
              <w:bottom w:type="dxa" w:w="70"/>
              <w:right w:type="dxa" w:w="100"/>
            </w:tcMar>
          </w:tcPr>
          <w:p>
            <w:pPr>
              <w:jc w:val="center"/>
            </w:pPr>
            <w:r>
              <w:rPr>
                <w:sz w:val="20"/>
                <w:szCs w:val="20"/>
              </w:rPr>
              <w:t xml:space="preserve">9.042</w:t>
            </w:r>
          </w:p>
        </w:tc>
        <w:tc>
          <w:tcPr>
            <w:tcW w:type="pct" w:w="20%"/>
            <w:shd w:fill="F2F6FA" w:val="clear"/>
            <w:tcMar>
              <w:top w:type="dxa" w:w="70"/>
              <w:left w:type="dxa" w:w="100"/>
              <w:bottom w:type="dxa" w:w="70"/>
              <w:right w:type="dxa" w:w="100"/>
            </w:tcMar>
          </w:tcPr>
          <w:p>
            <w:pPr>
              <w:jc w:val="center"/>
            </w:pPr>
            <w:r>
              <w:rPr>
                <w:sz w:val="20"/>
                <w:szCs w:val="20"/>
              </w:rPr>
              <w:t xml:space="preserve">53,20</w:t>
            </w:r>
          </w:p>
        </w:tc>
        <w:tc>
          <w:tcPr>
            <w:tcW w:type="pct" w:w="16%"/>
            <w:shd w:fill="F2F6FA" w:val="clear"/>
            <w:tcMar>
              <w:top w:type="dxa" w:w="70"/>
              <w:left w:type="dxa" w:w="100"/>
              <w:bottom w:type="dxa" w:w="70"/>
              <w:right w:type="dxa" w:w="100"/>
            </w:tcMar>
          </w:tcPr>
          <w:p>
            <w:pPr>
              <w:jc w:val="center"/>
            </w:pPr>
            <w:r>
              <w:rPr>
                <w:sz w:val="20"/>
                <w:szCs w:val="20"/>
              </w:rPr>
              <w:t xml:space="preserve">52,17</w:t>
            </w:r>
          </w:p>
        </w:tc>
        <w:tc>
          <w:tcPr>
            <w:tcW w:type="pct" w:w="16%"/>
            <w:shd w:fill="F2F6FA" w:val="clear"/>
            <w:tcMar>
              <w:top w:type="dxa" w:w="70"/>
              <w:left w:type="dxa" w:w="100"/>
              <w:bottom w:type="dxa" w:w="70"/>
              <w:right w:type="dxa" w:w="100"/>
            </w:tcMar>
          </w:tcPr>
          <w:p>
            <w:pPr>
              <w:jc w:val="center"/>
            </w:pPr>
            <w:r>
              <w:rPr>
                <w:sz w:val="20"/>
                <w:szCs w:val="20"/>
              </w:rPr>
              <w:t xml:space="preserve">0,486</w:t>
            </w:r>
          </w:p>
        </w:tc>
      </w:tr>
      <w:tr>
        <w:tc>
          <w:tcPr>
            <w:tcW w:type="pct" w:w="34%"/>
            <w:shd w:fill="FFFFFF" w:val="clear"/>
            <w:tcMar>
              <w:top w:type="dxa" w:w="70"/>
              <w:left w:type="dxa" w:w="100"/>
              <w:bottom w:type="dxa" w:w="70"/>
              <w:right w:type="dxa" w:w="100"/>
            </w:tcMar>
          </w:tcPr>
          <w:p>
            <w:pPr>
              <w:jc w:val="left"/>
            </w:pPr>
            <w:r>
              <w:rPr>
                <w:sz w:val="20"/>
                <w:szCs w:val="20"/>
              </w:rPr>
              <w:t xml:space="preserve">Urbana, Champaign, IL</w:t>
            </w:r>
          </w:p>
        </w:tc>
        <w:tc>
          <w:tcPr>
            <w:tcW w:type="pct" w:w="14%"/>
            <w:shd w:fill="FFFFFF" w:val="clear"/>
            <w:tcMar>
              <w:top w:type="dxa" w:w="70"/>
              <w:left w:type="dxa" w:w="100"/>
              <w:bottom w:type="dxa" w:w="70"/>
              <w:right w:type="dxa" w:w="100"/>
            </w:tcMar>
          </w:tcPr>
          <w:p>
            <w:pPr>
              <w:jc w:val="center"/>
            </w:pPr>
            <w:r>
              <w:rPr>
                <w:sz w:val="20"/>
                <w:szCs w:val="20"/>
              </w:rPr>
              <w:t xml:space="preserve">40</w:t>
            </w:r>
          </w:p>
        </w:tc>
        <w:tc>
          <w:tcPr>
            <w:tcW w:type="pct" w:w="20%"/>
            <w:shd w:fill="FFFFFF" w:val="clear"/>
            <w:tcMar>
              <w:top w:type="dxa" w:w="70"/>
              <w:left w:type="dxa" w:w="100"/>
              <w:bottom w:type="dxa" w:w="70"/>
              <w:right w:type="dxa" w:w="100"/>
            </w:tcMar>
          </w:tcPr>
          <w:p>
            <w:pPr>
              <w:jc w:val="center"/>
            </w:pPr>
            <w:r>
              <w:rPr>
                <w:sz w:val="20"/>
                <w:szCs w:val="20"/>
              </w:rPr>
              <w:t xml:space="preserve">95,00</w:t>
            </w:r>
          </w:p>
        </w:tc>
        <w:tc>
          <w:tcPr>
            <w:tcW w:type="pct" w:w="16%"/>
            <w:shd w:fill="FFFFFF" w:val="clear"/>
            <w:tcMar>
              <w:top w:type="dxa" w:w="70"/>
              <w:left w:type="dxa" w:w="100"/>
              <w:bottom w:type="dxa" w:w="70"/>
              <w:right w:type="dxa" w:w="100"/>
            </w:tcMar>
          </w:tcPr>
          <w:p>
            <w:pPr>
              <w:jc w:val="center"/>
            </w:pPr>
            <w:r>
              <w:rPr>
                <w:sz w:val="20"/>
                <w:szCs w:val="20"/>
              </w:rPr>
              <w:t xml:space="preserve">83,50</w:t>
            </w:r>
          </w:p>
        </w:tc>
        <w:tc>
          <w:tcPr>
            <w:tcW w:type="pct" w:w="16%"/>
            <w:shd w:fill="FFFFFF" w:val="clear"/>
            <w:tcMar>
              <w:top w:type="dxa" w:w="70"/>
              <w:left w:type="dxa" w:w="100"/>
              <w:bottom w:type="dxa" w:w="70"/>
              <w:right w:type="dxa" w:w="100"/>
            </w:tcMar>
          </w:tcPr>
          <w:p>
            <w:pPr>
              <w:jc w:val="center"/>
            </w:pPr>
            <w:r>
              <w:rPr>
                <w:sz w:val="20"/>
                <w:szCs w:val="20"/>
              </w:rPr>
              <w:t xml:space="preserve">0,472</w:t>
            </w:r>
          </w:p>
        </w:tc>
      </w:tr>
      <w:tr>
        <w:tc>
          <w:tcPr>
            <w:tcW w:type="pct" w:w="34%"/>
            <w:shd w:fill="F2F6FA" w:val="clear"/>
            <w:tcMar>
              <w:top w:type="dxa" w:w="70"/>
              <w:left w:type="dxa" w:w="100"/>
              <w:bottom w:type="dxa" w:w="70"/>
              <w:right w:type="dxa" w:w="100"/>
            </w:tcMar>
          </w:tcPr>
          <w:p>
            <w:pPr>
              <w:jc w:val="left"/>
            </w:pPr>
            <w:r>
              <w:rPr>
                <w:sz w:val="20"/>
                <w:szCs w:val="20"/>
              </w:rPr>
              <w:t xml:space="preserve">Effingham, Effingham, IL</w:t>
            </w:r>
          </w:p>
        </w:tc>
        <w:tc>
          <w:tcPr>
            <w:tcW w:type="pct" w:w="14%"/>
            <w:shd w:fill="F2F6FA" w:val="clear"/>
            <w:tcMar>
              <w:top w:type="dxa" w:w="70"/>
              <w:left w:type="dxa" w:w="100"/>
              <w:bottom w:type="dxa" w:w="70"/>
              <w:right w:type="dxa" w:w="100"/>
            </w:tcMar>
          </w:tcPr>
          <w:p>
            <w:pPr>
              <w:jc w:val="center"/>
            </w:pPr>
            <w:r>
              <w:rPr>
                <w:sz w:val="20"/>
                <w:szCs w:val="20"/>
              </w:rPr>
              <w:t xml:space="preserve">47</w:t>
            </w:r>
          </w:p>
        </w:tc>
        <w:tc>
          <w:tcPr>
            <w:tcW w:type="pct" w:w="20%"/>
            <w:shd w:fill="F2F6FA" w:val="clear"/>
            <w:tcMar>
              <w:top w:type="dxa" w:w="70"/>
              <w:left w:type="dxa" w:w="100"/>
              <w:bottom w:type="dxa" w:w="70"/>
              <w:right w:type="dxa" w:w="100"/>
            </w:tcMar>
          </w:tcPr>
          <w:p>
            <w:pPr>
              <w:jc w:val="center"/>
            </w:pPr>
            <w:r>
              <w:rPr>
                <w:sz w:val="20"/>
                <w:szCs w:val="20"/>
              </w:rPr>
              <w:t xml:space="preserve">93,62</w:t>
            </w:r>
          </w:p>
        </w:tc>
        <w:tc>
          <w:tcPr>
            <w:tcW w:type="pct" w:w="16%"/>
            <w:shd w:fill="F2F6FA" w:val="clear"/>
            <w:tcMar>
              <w:top w:type="dxa" w:w="70"/>
              <w:left w:type="dxa" w:w="100"/>
              <w:bottom w:type="dxa" w:w="70"/>
              <w:right w:type="dxa" w:w="100"/>
            </w:tcMar>
          </w:tcPr>
          <w:p>
            <w:pPr>
              <w:jc w:val="center"/>
            </w:pPr>
            <w:r>
              <w:rPr>
                <w:sz w:val="20"/>
                <w:szCs w:val="20"/>
              </w:rPr>
              <w:t xml:space="preserve">82,84</w:t>
            </w:r>
          </w:p>
        </w:tc>
        <w:tc>
          <w:tcPr>
            <w:tcW w:type="pct" w:w="16%"/>
            <w:shd w:fill="F2F6FA" w:val="clear"/>
            <w:tcMar>
              <w:top w:type="dxa" w:w="70"/>
              <w:left w:type="dxa" w:w="100"/>
              <w:bottom w:type="dxa" w:w="70"/>
              <w:right w:type="dxa" w:w="100"/>
            </w:tcMar>
          </w:tcPr>
          <w:p>
            <w:pPr>
              <w:jc w:val="center"/>
            </w:pPr>
            <w:r>
              <w:rPr>
                <w:sz w:val="20"/>
                <w:szCs w:val="20"/>
              </w:rPr>
              <w:t xml:space="preserve">0,462</w:t>
            </w:r>
          </w:p>
        </w:tc>
      </w:tr>
      <w:tr>
        <w:tc>
          <w:tcPr>
            <w:tcW w:type="pct" w:w="34%"/>
            <w:shd w:fill="FFFFFF" w:val="clear"/>
            <w:tcMar>
              <w:top w:type="dxa" w:w="70"/>
              <w:left w:type="dxa" w:w="100"/>
              <w:bottom w:type="dxa" w:w="70"/>
              <w:right w:type="dxa" w:w="100"/>
            </w:tcMar>
          </w:tcPr>
          <w:p>
            <w:pPr>
              <w:jc w:val="left"/>
            </w:pPr>
            <w:r>
              <w:rPr>
                <w:sz w:val="20"/>
                <w:szCs w:val="20"/>
              </w:rPr>
              <w:t xml:space="preserve">Louisville, Jefferson, KY</w:t>
            </w:r>
          </w:p>
        </w:tc>
        <w:tc>
          <w:tcPr>
            <w:tcW w:type="pct" w:w="14%"/>
            <w:shd w:fill="FFFFFF" w:val="clear"/>
            <w:tcMar>
              <w:top w:type="dxa" w:w="70"/>
              <w:left w:type="dxa" w:w="100"/>
              <w:bottom w:type="dxa" w:w="70"/>
              <w:right w:type="dxa" w:w="100"/>
            </w:tcMar>
          </w:tcPr>
          <w:p>
            <w:pPr>
              <w:jc w:val="center"/>
            </w:pPr>
            <w:r>
              <w:rPr>
                <w:sz w:val="20"/>
                <w:szCs w:val="20"/>
              </w:rPr>
              <w:t xml:space="preserve">2.300</w:t>
            </w:r>
          </w:p>
        </w:tc>
        <w:tc>
          <w:tcPr>
            <w:tcW w:type="pct" w:w="20%"/>
            <w:shd w:fill="FFFFFF" w:val="clear"/>
            <w:tcMar>
              <w:top w:type="dxa" w:w="70"/>
              <w:left w:type="dxa" w:w="100"/>
              <w:bottom w:type="dxa" w:w="70"/>
              <w:right w:type="dxa" w:w="100"/>
            </w:tcMar>
          </w:tcPr>
          <w:p>
            <w:pPr>
              <w:jc w:val="center"/>
            </w:pPr>
            <w:r>
              <w:rPr>
                <w:sz w:val="20"/>
                <w:szCs w:val="20"/>
              </w:rPr>
              <w:t xml:space="preserve">53,61</w:t>
            </w:r>
          </w:p>
        </w:tc>
        <w:tc>
          <w:tcPr>
            <w:tcW w:type="pct" w:w="16%"/>
            <w:shd w:fill="FFFFFF" w:val="clear"/>
            <w:tcMar>
              <w:top w:type="dxa" w:w="70"/>
              <w:left w:type="dxa" w:w="100"/>
              <w:bottom w:type="dxa" w:w="70"/>
              <w:right w:type="dxa" w:w="100"/>
            </w:tcMar>
          </w:tcPr>
          <w:p>
            <w:pPr>
              <w:jc w:val="center"/>
            </w:pPr>
            <w:r>
              <w:rPr>
                <w:sz w:val="20"/>
                <w:szCs w:val="20"/>
              </w:rPr>
              <w:t xml:space="preserve">51,57</w:t>
            </w:r>
          </w:p>
        </w:tc>
        <w:tc>
          <w:tcPr>
            <w:tcW w:type="pct" w:w="16%"/>
            <w:shd w:fill="FFFFFF" w:val="clear"/>
            <w:tcMar>
              <w:top w:type="dxa" w:w="70"/>
              <w:left w:type="dxa" w:w="100"/>
              <w:bottom w:type="dxa" w:w="70"/>
              <w:right w:type="dxa" w:w="100"/>
            </w:tcMar>
          </w:tcPr>
          <w:p>
            <w:pPr>
              <w:jc w:val="center"/>
            </w:pPr>
            <w:r>
              <w:rPr>
                <w:sz w:val="20"/>
                <w:szCs w:val="20"/>
              </w:rPr>
              <w:t xml:space="preserve">0,454</w:t>
            </w:r>
          </w:p>
        </w:tc>
      </w:tr>
      <w:tr>
        <w:tc>
          <w:tcPr>
            <w:tcW w:type="pct" w:w="34%"/>
            <w:shd w:fill="F2F6FA" w:val="clear"/>
            <w:tcMar>
              <w:top w:type="dxa" w:w="70"/>
              <w:left w:type="dxa" w:w="100"/>
              <w:bottom w:type="dxa" w:w="70"/>
              <w:right w:type="dxa" w:w="100"/>
            </w:tcMar>
          </w:tcPr>
          <w:p>
            <w:pPr>
              <w:jc w:val="left"/>
            </w:pPr>
            <w:r>
              <w:rPr>
                <w:sz w:val="20"/>
                <w:szCs w:val="20"/>
              </w:rPr>
              <w:t xml:space="preserve">Saint Louis, St. Louis County, MO</w:t>
            </w:r>
          </w:p>
        </w:tc>
        <w:tc>
          <w:tcPr>
            <w:tcW w:type="pct" w:w="14%"/>
            <w:shd w:fill="F2F6FA" w:val="clear"/>
            <w:tcMar>
              <w:top w:type="dxa" w:w="70"/>
              <w:left w:type="dxa" w:w="100"/>
              <w:bottom w:type="dxa" w:w="70"/>
              <w:right w:type="dxa" w:w="100"/>
            </w:tcMar>
          </w:tcPr>
          <w:p>
            <w:pPr>
              <w:jc w:val="center"/>
            </w:pPr>
            <w:r>
              <w:rPr>
                <w:sz w:val="20"/>
                <w:szCs w:val="20"/>
              </w:rPr>
              <w:t xml:space="preserve">2.680</w:t>
            </w:r>
          </w:p>
        </w:tc>
        <w:tc>
          <w:tcPr>
            <w:tcW w:type="pct" w:w="20%"/>
            <w:shd w:fill="F2F6FA" w:val="clear"/>
            <w:tcMar>
              <w:top w:type="dxa" w:w="70"/>
              <w:left w:type="dxa" w:w="100"/>
              <w:bottom w:type="dxa" w:w="70"/>
              <w:right w:type="dxa" w:w="100"/>
            </w:tcMar>
          </w:tcPr>
          <w:p>
            <w:pPr>
              <w:jc w:val="center"/>
            </w:pPr>
            <w:r>
              <w:rPr>
                <w:sz w:val="20"/>
                <w:szCs w:val="20"/>
              </w:rPr>
              <w:t xml:space="preserve">43,21</w:t>
            </w:r>
          </w:p>
        </w:tc>
        <w:tc>
          <w:tcPr>
            <w:tcW w:type="pct" w:w="16%"/>
            <w:shd w:fill="F2F6FA" w:val="clear"/>
            <w:tcMar>
              <w:top w:type="dxa" w:w="70"/>
              <w:left w:type="dxa" w:w="100"/>
              <w:bottom w:type="dxa" w:w="70"/>
              <w:right w:type="dxa" w:w="100"/>
            </w:tcMar>
          </w:tcPr>
          <w:p>
            <w:pPr>
              <w:jc w:val="center"/>
            </w:pPr>
            <w:r>
              <w:rPr>
                <w:sz w:val="20"/>
                <w:szCs w:val="20"/>
              </w:rPr>
              <w:t xml:space="preserve">41,34</w:t>
            </w:r>
          </w:p>
        </w:tc>
        <w:tc>
          <w:tcPr>
            <w:tcW w:type="pct" w:w="16%"/>
            <w:shd w:fill="F2F6FA" w:val="clear"/>
            <w:tcMar>
              <w:top w:type="dxa" w:w="70"/>
              <w:left w:type="dxa" w:w="100"/>
              <w:bottom w:type="dxa" w:w="70"/>
              <w:right w:type="dxa" w:w="100"/>
            </w:tcMar>
          </w:tcPr>
          <w:p>
            <w:pPr>
              <w:jc w:val="center"/>
            </w:pPr>
            <w:r>
              <w:rPr>
                <w:sz w:val="20"/>
                <w:szCs w:val="20"/>
              </w:rPr>
              <w:t xml:space="preserve">0,409</w:t>
            </w:r>
          </w:p>
        </w:tc>
      </w:tr>
      <w:tr>
        <w:tc>
          <w:tcPr>
            <w:tcW w:type="pct" w:w="34%"/>
            <w:shd w:fill="FFFFFF" w:val="clear"/>
            <w:tcMar>
              <w:top w:type="dxa" w:w="70"/>
              <w:left w:type="dxa" w:w="100"/>
              <w:bottom w:type="dxa" w:w="70"/>
              <w:right w:type="dxa" w:w="100"/>
            </w:tcMar>
          </w:tcPr>
          <w:p>
            <w:pPr>
              <w:jc w:val="left"/>
            </w:pPr>
            <w:r>
              <w:rPr>
                <w:sz w:val="20"/>
                <w:szCs w:val="20"/>
              </w:rPr>
              <w:t xml:space="preserve">Richfield, Summit, OH</w:t>
            </w:r>
          </w:p>
        </w:tc>
        <w:tc>
          <w:tcPr>
            <w:tcW w:type="pct" w:w="14%"/>
            <w:shd w:fill="FFFFFF" w:val="clear"/>
            <w:tcMar>
              <w:top w:type="dxa" w:w="70"/>
              <w:left w:type="dxa" w:w="100"/>
              <w:bottom w:type="dxa" w:w="70"/>
              <w:right w:type="dxa" w:w="100"/>
            </w:tcMar>
          </w:tcPr>
          <w:p>
            <w:pPr>
              <w:jc w:val="center"/>
            </w:pPr>
            <w:r>
              <w:rPr>
                <w:sz w:val="20"/>
                <w:szCs w:val="20"/>
              </w:rPr>
              <w:t xml:space="preserve">195</w:t>
            </w:r>
          </w:p>
        </w:tc>
        <w:tc>
          <w:tcPr>
            <w:tcW w:type="pct" w:w="20%"/>
            <w:shd w:fill="FFFFFF" w:val="clear"/>
            <w:tcMar>
              <w:top w:type="dxa" w:w="70"/>
              <w:left w:type="dxa" w:w="100"/>
              <w:bottom w:type="dxa" w:w="70"/>
              <w:right w:type="dxa" w:w="100"/>
            </w:tcMar>
          </w:tcPr>
          <w:p>
            <w:pPr>
              <w:jc w:val="center"/>
            </w:pPr>
            <w:r>
              <w:rPr>
                <w:sz w:val="20"/>
                <w:szCs w:val="20"/>
              </w:rPr>
              <w:t xml:space="preserve">52,82</w:t>
            </w:r>
          </w:p>
        </w:tc>
        <w:tc>
          <w:tcPr>
            <w:tcW w:type="pct" w:w="16%"/>
            <w:shd w:fill="FFFFFF" w:val="clear"/>
            <w:tcMar>
              <w:top w:type="dxa" w:w="70"/>
              <w:left w:type="dxa" w:w="100"/>
              <w:bottom w:type="dxa" w:w="70"/>
              <w:right w:type="dxa" w:w="100"/>
            </w:tcMar>
          </w:tcPr>
          <w:p>
            <w:pPr>
              <w:jc w:val="center"/>
            </w:pPr>
            <w:r>
              <w:rPr>
                <w:sz w:val="20"/>
                <w:szCs w:val="20"/>
              </w:rPr>
              <w:t xml:space="preserve">45,83</w:t>
            </w:r>
          </w:p>
        </w:tc>
        <w:tc>
          <w:tcPr>
            <w:tcW w:type="pct" w:w="16%"/>
            <w:shd w:fill="FFFFFF" w:val="clear"/>
            <w:tcMar>
              <w:top w:type="dxa" w:w="70"/>
              <w:left w:type="dxa" w:w="100"/>
              <w:bottom w:type="dxa" w:w="70"/>
              <w:right w:type="dxa" w:w="100"/>
            </w:tcMar>
          </w:tcPr>
          <w:p>
            <w:pPr>
              <w:jc w:val="center"/>
            </w:pPr>
            <w:r>
              <w:rPr>
                <w:sz w:val="20"/>
                <w:szCs w:val="20"/>
              </w:rPr>
              <w:t xml:space="preserve">0,408</w:t>
            </w:r>
          </w:p>
        </w:tc>
      </w:tr>
    </w:tbl>
    <w:p>
      <w:pPr>
        <w:pStyle w:val="Heading3"/>
        <w:spacing w:after="100" w:before="200"/>
      </w:pPr>
      <w:r>
        <w:rPr>
          <w:b/>
          <w:bCs/>
          <w:color w:val="C00000"/>
          <w:sz w:val="23"/>
          <w:szCs w:val="23"/>
        </w:rPr>
        <w:t xml:space="preserve">Ý nghĩa thực tiễn</w:t>
      </w:r>
    </w:p>
    <w:p>
      <w:pPr>
        <w:spacing w:after="150" w:line="300"/>
      </w:pPr>
      <w:r>
        <w:rPr>
          <w:sz w:val="22"/>
          <w:szCs w:val="22"/>
        </w:rPr>
        <w:t xml:space="preserve">Kết quả cho thấy các thị trấn nhỏ có tỷ lệ nghiêm trọng gần như tuyệt đối lại được xếp ưu tiên cao nhất — dẫn đầu là Springfield, IL (điểm ưu tiên 0,523, tỷ lệ nghiêm trọng 94,17% dù chỉ 120 vụ), theo sau là Lincoln (0,505, 97,56%) và Champaign (0,490, 93,48%). Chicago — dù có khối lượng tai nạn lớn nhất trong danh sách (9.042 vụ) — chỉ xếp thứ 4 (0,486), do tỷ lệ nghiêm trọng tương đối thấp hơn nhiều (53,20%) so với các thị trấn nhỏ.</w:t>
      </w:r>
    </w:p>
    <w:p>
      <w:pPr>
        <w:spacing w:after="150" w:line="300"/>
      </w:pPr>
      <w:r>
        <w:rPr>
          <w:sz w:val="22"/>
          <w:szCs w:val="22"/>
        </w:rPr>
        <w:t xml:space="preserve">Điều này phản ánh đúng thiết kế của Điểm ưu tiên: vì tỷ lệ nghiêm trọng được gán trọng số cao nhất (40%), nên khu vực quy mô nhỏ nhưng gần như toàn bộ tai nạn đều nặng vẫn được ưu tiên hơn khu vực khối lượng lớn nhưng tỷ lệ nghiêm trọng chỉ ở mức vừa phải. Đáng chú ý, toàn bộ nhóm điểm đen hàng đầu đều tập trung ở khu vực Illinois và các bang lân cận (Kentucky – Louisville, Ohio – Richfield, Missouri – Saint Louis) — cho thấy đây là vùng cần được ưu tiên khảo sát trước mùa mưa bão.</w:t>
      </w:r>
    </w:p>
    <w:tbl>
      <w:tblPr>
        <w:tblW w:type="pct" w:w="100%"/>
        <w:tblBorders>
          <w:top w:val="single" w:color="1F4E79" w:sz="4"/>
          <w:left w:val="single" w:color="1F4E79" w:sz="4"/>
          <w:bottom w:val="single" w:color="1F4E79" w:sz="4"/>
          <w:right w:val="single" w:color="1F4E79" w:sz="4"/>
          <w:insideH w:val="single" w:color="auto" w:sz="4"/>
          <w:insideV w:val="single" w:color="auto" w:sz="4"/>
        </w:tblBorders>
      </w:tblPr>
      <w:tblGrid>
        <w:gridCol w:w="100"/>
      </w:tblGrid>
      <w:tr>
        <w:tc>
          <w:tcPr>
            <w:shd w:fill="EAF1F8" w:val="clear"/>
            <w:tcMar>
              <w:top w:type="dxa" w:w="150"/>
              <w:left w:type="dxa" w:w="200"/>
              <w:bottom w:type="dxa" w:w="150"/>
              <w:right w:type="dxa" w:w="200"/>
            </w:tcMar>
          </w:tcPr>
          <w:p>
            <w:pPr>
              <w:spacing w:after="80"/>
            </w:pPr>
            <w:r>
              <w:rPr>
                <w:b/>
                <w:bCs/>
                <w:color w:val="1F4E79"/>
                <w:sz w:val="22"/>
                <w:szCs w:val="22"/>
              </w:rPr>
              <w:t xml:space="preserve">Lưu ý khi diễn giải</w:t>
            </w:r>
          </w:p>
          <w:p>
            <w:pPr>
              <w:spacing w:after="40"/>
            </w:pPr>
            <w:r>
              <w:rPr>
                <w:sz w:val="21"/>
                <w:szCs w:val="21"/>
              </w:rPr>
              <w:t xml:space="preserve">• Với các thị trấn có số lượng mẫu (N) nhỏ như Lincoln (41 vụ), Urbana (40 vụ), dù đã dùng Wilson Score để giảm sai lệch, tỷ lệ nghiêm trọng vẫn có thể biến động mạnh nếu chỉ vài vụ thay đổi.</w:t>
            </w:r>
          </w:p>
          <w:p>
            <w:pPr>
              <w:spacing w:after="40"/>
            </w:pPr>
            <w:r>
              <w:rPr>
                <w:sz w:val="21"/>
                <w:szCs w:val="21"/>
              </w:rPr>
              <w:t xml:space="preserve">• Nên xem đây là danh sách ưu tiên khảo sát thực địa, chứ không phải kết luận cuối cùng và tuyệt đối về mức độ nguy hiểm của từng khu vực.</w:t>
            </w:r>
          </w:p>
        </w:tc>
      </w:tr>
    </w:tbl>
    <w:p>
      <w:pPr>
        <w:pStyle w:val="Heading1"/>
        <w:spacing w:after="200" w:before="400"/>
      </w:pPr>
      <w:r>
        <w:rPr>
          <w:b/>
          <w:bCs/>
          <w:color w:val="1F4E79"/>
          <w:sz w:val="30"/>
          <w:szCs w:val="30"/>
        </w:rPr>
        <w:t xml:space="preserve">9. Tổng kết Lớp Phân tích 2</w:t>
      </w:r>
    </w:p>
    <w:p>
      <w:pPr>
        <w:spacing w:after="150" w:line="300"/>
      </w:pPr>
      <w:r>
        <w:rPr>
          <w:sz w:val="22"/>
          <w:szCs w:val="22"/>
        </w:rPr>
        <w:t xml:space="preserve">Qua 7 câu hỏi phân tích mô tả và chẩn đoán, các phát hiện chính có thể tóm tắt như sau:</w:t>
      </w:r>
    </w:p>
    <w:p>
      <w:pPr>
        <w:pStyle w:val="ListParagraph"/>
        <w:numPr>
          <w:ilvl w:val="0"/>
          <w:numId w:val="2"/>
        </w:numPr>
        <w:spacing w:after="90" w:line="290"/>
      </w:pPr>
      <w:r>
        <w:rPr>
          <w:b/>
          <w:bCs/>
          <w:sz w:val="22"/>
          <w:szCs w:val="22"/>
        </w:rPr>
        <w:t xml:space="preserve">Không gian: </w:t>
      </w:r>
      <w:r>
        <w:rPr>
          <w:sz w:val="22"/>
          <w:szCs w:val="22"/>
        </w:rPr>
        <w:t xml:space="preserve">Miami có nhiều tai nạn nhất nhưng ít nghiêm trọng nhất; Dallas và Houston có tỷ lệ nghiêm trọng cao nhất trong nhóm 10 thành phố nhiều tai nạn nhất. Ở cấp độ chi tiết hơn, các thị trấn nhỏ tại Illinois và vùng lân cận có tỷ lệ nghiêm trọng gần như tuyệt đối, cần được ưu tiên khảo sát.</w:t>
      </w:r>
    </w:p>
    <w:p>
      <w:pPr>
        <w:pStyle w:val="ListParagraph"/>
        <w:numPr>
          <w:ilvl w:val="0"/>
          <w:numId w:val="2"/>
        </w:numPr>
        <w:spacing w:after="90" w:line="290"/>
      </w:pPr>
      <w:r>
        <w:rPr>
          <w:b/>
          <w:bCs/>
          <w:sz w:val="22"/>
          <w:szCs w:val="22"/>
        </w:rPr>
        <w:t xml:space="preserve">Thời gian: </w:t>
      </w:r>
      <w:r>
        <w:rPr>
          <w:sz w:val="22"/>
          <w:szCs w:val="22"/>
        </w:rPr>
        <w:t xml:space="preserve">Khung giờ 15h–18h (đặc biệt 16h) là thời điểm nguy hiểm nhất trong ngày; Thứ Sáu là ngày có nhiều tai nạn nhất trong tuần; tháng 11–12 và tháng 4 là các tháng cao điểm trong năm.</w:t>
      </w:r>
    </w:p>
    <w:p>
      <w:pPr>
        <w:pStyle w:val="ListParagraph"/>
        <w:numPr>
          <w:ilvl w:val="0"/>
          <w:numId w:val="2"/>
        </w:numPr>
        <w:spacing w:after="90" w:line="290"/>
      </w:pPr>
      <w:r>
        <w:rPr>
          <w:b/>
          <w:bCs/>
          <w:sz w:val="22"/>
          <w:szCs w:val="22"/>
        </w:rPr>
        <w:t xml:space="preserve">Nguyên nhân: </w:t>
      </w:r>
      <w:r>
        <w:rPr>
          <w:sz w:val="22"/>
          <w:szCs w:val="22"/>
        </w:rPr>
        <w:t xml:space="preserve">Thời tiết có liên quan đến mức độ nghiêm trọng về mặt thống kê nhưng ảnh hưởng thực tế khá yếu; ngược lại, hạ tầng nút giao (Junction) là yếu tố duy nhất làm tăng nguy cơ nghiêm trọng, trong khi các hạ tầng kiểm soát giao thông khác (Crossing, Stop, Traffic_Signal) đều có tác dụng bảo vệ ở các mức độ khác nhau.</w:t>
      </w:r>
    </w:p>
    <w:p>
      <w:pPr>
        <w:spacing w:after="150" w:line="300"/>
      </w:pPr>
      <w:r>
        <w:rPr>
          <w:sz w:val="22"/>
          <w:szCs w:val="22"/>
        </w:rPr>
        <w:t xml:space="preserve">Những phát hiện này là căn cứ định lượng quan trọng để đề xuất các giải pháp cụ thể ở lớp phân tích tiếp theo (Prescriptive Analysis) — ví dụ ưu tiên cải tạo hạ tầng tại các nút giao nguy hiểm, tăng cường tuần tra vào khung giờ 15h–18h và ngày Thứ Sáu, cũng như triển khai khảo sát thực địa tại nhóm điểm đen ưu tiên trước mùa mưa bão.</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2026-09-18T12:53:10.980Z</dcterms:created>
  <dcterms:modified xsi:type="dcterms:W3CDTF">2026-09-18T12:53:10.990Z</dcterms:modified>
</cp:coreProperties>
</file>

<file path=docProps/custom.xml><?xml version="1.0" encoding="utf-8"?>
<Properties xmlns="http://schemas.openxmlformats.org/officeDocument/2006/custom-properties" xmlns:vt="http://schemas.openxmlformats.org/officeDocument/2006/docPropsVTypes"/>
</file>