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86AE3" w:rsidRDefault="00986AE3" w:rsidP="00986AE3">
      <w:pPr>
        <w:pStyle w:val="papertitle"/>
      </w:pPr>
      <w:bookmarkStart w:id="0" w:name="_GoBack"/>
      <w:r>
        <w:t>Research and Construction of a Vietnamese Spam SMS Dataset for Machine Learning Applications</w:t>
      </w:r>
    </w:p>
    <w:bookmarkEnd w:id="0"/>
    <w:p w:rsidR="00986AE3" w:rsidRDefault="00986AE3" w:rsidP="00986AE3">
      <w:pPr>
        <w:pStyle w:val="abstract"/>
        <w:spacing w:after="0"/>
        <w:ind w:firstLine="0"/>
      </w:pPr>
      <w:r w:rsidRPr="00386492">
        <w:rPr>
          <w:b/>
          <w:highlight w:val="yellow"/>
        </w:rPr>
        <w:t>Abstract.</w:t>
      </w:r>
      <w:r w:rsidRPr="00386492">
        <w:rPr>
          <w:highlight w:val="yellow"/>
        </w:rPr>
        <w:t xml:space="preserve"> The scarcity of high-quality, transparently verified benchmarks severely bottlenecks the development of intelligent Vietnamese SMS spam and fraudulent detection systems. To address the issue of label noise and poor reproducibility in existing corpora, this paper introduces a quality-assured dataset construction pipeline featuring a multi-annotator validation framework and a structured disagreement resolution workflow. Within the current project phase, 2,058 raw messages were integrated from multiple sources, with a subset of 2,007 messages successfully completing the entire evaluation pipeline. Prior to formal adjudication, the independent labeling phase involving ten unique human annotators achieved an overall Fleiss' Kappa coefficient of 0.9856, signifying an almost perfect baseline agreement and validating the robustness of the proposed annotation guideline. Before model evaluation, an additional near-duplicate filtering stage was performed to remove template-based phishing campaigns that could cause train-test leakage under cross-validation. This produced an experimental subset of 1,541 unique messages for benchmark evaluation using stratified five-fold cross-validation.</w:t>
      </w:r>
    </w:p>
    <w:p w:rsidR="00986AE3" w:rsidRDefault="00986AE3" w:rsidP="00986AE3">
      <w:pPr>
        <w:pStyle w:val="keywords"/>
        <w:rPr>
          <w:lang w:val="en-GB" w:eastAsia="en-GB"/>
        </w:rPr>
      </w:pPr>
      <w:r w:rsidRPr="00386492">
        <w:rPr>
          <w:b/>
          <w:bCs/>
          <w:highlight w:val="yellow"/>
          <w:lang w:val="en-GB" w:eastAsia="en-GB"/>
        </w:rPr>
        <w:t>Keywords:</w:t>
      </w:r>
      <w:r w:rsidRPr="00386492">
        <w:rPr>
          <w:highlight w:val="yellow"/>
          <w:lang w:val="en-GB" w:eastAsia="en-GB"/>
        </w:rPr>
        <w:t xml:space="preserve"> </w:t>
      </w:r>
      <w:r w:rsidRPr="00386492">
        <w:rPr>
          <w:rFonts w:eastAsia="SimSun"/>
          <w:highlight w:val="yellow"/>
          <w:lang w:eastAsia="en-GB"/>
        </w:rPr>
        <w:t>Vietnamese SMS Dataset, SMS Spam Detection, Spam Filtering, Dataset Construction, Annotation Guideline, Gold Label, Inter-Annotator Agreement, Fleiss' Kappa.</w:t>
      </w:r>
    </w:p>
    <w:p w:rsidR="00986AE3" w:rsidRDefault="00986AE3" w:rsidP="00986AE3">
      <w:pPr>
        <w:pStyle w:val="heading1"/>
        <w:tabs>
          <w:tab w:val="left" w:pos="567"/>
        </w:tabs>
        <w:ind w:right="567"/>
      </w:pPr>
      <w:r>
        <w:t>Introduction</w:t>
      </w:r>
    </w:p>
    <w:p w:rsidR="00986AE3" w:rsidRDefault="00986AE3" w:rsidP="00986AE3">
      <w:pPr>
        <w:rPr>
          <w:lang w:val="en-GB" w:eastAsia="en-GB"/>
        </w:rPr>
      </w:pPr>
      <w:r>
        <w:t>Short Message Service (SMS) remains an essential communication channel in Vietnam for banking, governmental services, and commercial transactions. According to DataReportal, Vietnam recorded approximately 137 million mobile cellular subscriptions in 2026, significantly exceeding the national population and highlighting the widespread adoption of mobile services [1]. However, this ubiquity has led to a persistent rise in SMS spam, creating major cybersecurity challenges. Attackers increasingly employ sophisticated social engineering techniques, impersonating banks and trusted organizations to deceive users into revealing sensitive data [3, 4]. Consequently, developing reliable automated detection systems has attracted substantial attention from both academia and industry.</w:t>
      </w:r>
    </w:p>
    <w:p w:rsidR="00986AE3" w:rsidRDefault="00986AE3" w:rsidP="00986AE3">
      <w:r>
        <w:t>Although significant progress has been made in Vietnamese SMS classification, the availability of high-quality benchmark datasets remains limited. Most existing public corpora, such as the SMS Spam Collection [6], were developed for English and do not represent the linguistic nuances, localized abbreviations, or specific scam patterns observed in Vietnamese. Furthermore, existing regional datasets are often limited in scale, proprietary, or lack transparent documentation regarding annotation quality control. Many lack clear disagreement resolution procedures, which under</w:t>
      </w:r>
      <w:r>
        <w:lastRenderedPageBreak/>
        <w:t>mines dataset reproducibility, annotation consistency, and long-term research value [7].</w:t>
      </w:r>
    </w:p>
    <w:p w:rsidR="00986AE3" w:rsidRDefault="00986AE3" w:rsidP="00986AE3">
      <w:r>
        <w:t xml:space="preserve">To address these limitations, this paper presents a quality-assured, transparent framework for constructing a Vietnamese SMS dataset. Rather than relying solely on simplistic majority voting, our methodology prioritizes annotation integrity by combining independent multi-annotator labeling with a dual-stage verification process to establish high-fidelity Gold Labels. Messages reaching a consensus among ten independent annotators are directly integrated, while disagreement cases undergo collaborative review and root-cause analysis. Currently, the framework has processed 2,058 messages, successfully validating and finalizing a baseline subset of </w:t>
      </w:r>
      <w:r w:rsidRPr="0039043B">
        <w:rPr>
          <w:highlight w:val="yellow"/>
        </w:rPr>
        <w:t>2,007</w:t>
      </w:r>
      <w:r>
        <w:t xml:space="preserve"> high-quality Vietnamese SMS records for downstream machine learning research.</w:t>
      </w:r>
    </w:p>
    <w:p w:rsidR="00986AE3" w:rsidRPr="004556F7" w:rsidRDefault="00986AE3" w:rsidP="00986AE3">
      <w:r w:rsidRPr="004556F7">
        <w:t>Since phishing campaigns often generate hundreds of highly similar message templates differing only in dynamic fields (e.g., URLs, phone numbers, account numbers), a dedicated near-duplicate filtering stage was introduced before model evaluation to prevent optimistic performance estimation.</w:t>
      </w:r>
    </w:p>
    <w:p w:rsidR="00986AE3" w:rsidRDefault="00986AE3" w:rsidP="00986AE3">
      <w:pPr>
        <w:pStyle w:val="heading1"/>
        <w:tabs>
          <w:tab w:val="left" w:pos="567"/>
        </w:tabs>
        <w:ind w:right="567"/>
      </w:pPr>
      <w:r>
        <w:t xml:space="preserve"> Proposed Dataset Construction Framework</w:t>
      </w:r>
    </w:p>
    <w:p w:rsidR="00986AE3" w:rsidRDefault="00986AE3" w:rsidP="00986AE3">
      <w:pPr>
        <w:pStyle w:val="heading2"/>
        <w:tabs>
          <w:tab w:val="left" w:pos="567"/>
        </w:tabs>
        <w:spacing w:before="0"/>
        <w:ind w:right="567"/>
      </w:pPr>
      <w:r>
        <w:t>Overall Framework</w:t>
      </w:r>
    </w:p>
    <w:p w:rsidR="00986AE3" w:rsidRDefault="00986AE3" w:rsidP="00986AE3">
      <w:pPr>
        <w:pStyle w:val="image"/>
      </w:pPr>
      <w:r>
        <w:rPr>
          <w:noProof/>
        </w:rPr>
        <w:drawing>
          <wp:inline distT="0" distB="0" distL="0" distR="0" wp14:anchorId="4DA8E3E1" wp14:editId="633B0CC5">
            <wp:extent cx="4392930" cy="1529080"/>
            <wp:effectExtent l="0" t="0" r="7620" b="0"/>
            <wp:docPr id="6" name="Picture 6"/>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8" cstate="print">
                      <a:extLst>
                        <a:ext uri="{28A0092B-C50C-407E-A947-70E740481C1C}">
                          <a14:useLocalDpi xmlns:a14="http://schemas.microsoft.com/office/drawing/2010/main" val="0"/>
                        </a:ext>
                      </a:extLst>
                    </a:blip>
                    <a:stretch>
                      <a:fillRect/>
                    </a:stretch>
                  </pic:blipFill>
                  <pic:spPr>
                    <a:xfrm>
                      <a:off x="0" y="0"/>
                      <a:ext cx="4392930" cy="1529080"/>
                    </a:xfrm>
                    <a:prstGeom prst="rect">
                      <a:avLst/>
                    </a:prstGeom>
                  </pic:spPr>
                </pic:pic>
              </a:graphicData>
            </a:graphic>
          </wp:inline>
        </w:drawing>
      </w:r>
    </w:p>
    <w:p w:rsidR="00986AE3" w:rsidRDefault="00986AE3" w:rsidP="00986AE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386492">
        <w:rPr>
          <w:b/>
          <w:noProof/>
        </w:rPr>
        <w:t>1</w:t>
      </w:r>
      <w:r>
        <w:rPr>
          <w:b/>
        </w:rPr>
        <w:fldChar w:fldCharType="end"/>
      </w:r>
      <w:r>
        <w:rPr>
          <w:b/>
        </w:rPr>
        <w:t>.</w:t>
      </w:r>
      <w:r>
        <w:t xml:space="preserve"> </w:t>
      </w:r>
      <w:r w:rsidRPr="00274440">
        <w:t>Overall</w:t>
      </w:r>
      <w:r>
        <w:t xml:space="preserve"> workflow of the proposed quality-assured Vietnamese SMS dataset construction framework.</w:t>
      </w:r>
    </w:p>
    <w:p w:rsidR="00986AE3" w:rsidRDefault="00986AE3" w:rsidP="00986AE3">
      <w:pPr>
        <w:pStyle w:val="p1a"/>
      </w:pPr>
      <w:r>
        <w:t>The primary objective of this study is not only to construct a Vietnamese SMS dataset but also to establish a quality-assured and reproducible annotation framework for generating reliable ground-truth labels. Instead of treating annotation as a one-time labeling activity, the proposed framework incorporates continuous quality improvement throughout the dataset construction process. The overall workflow is illustrated in Fig. 2.</w:t>
      </w:r>
    </w:p>
    <w:p w:rsidR="00986AE3" w:rsidRDefault="00986AE3" w:rsidP="00986AE3">
      <w:r>
        <w:t xml:space="preserve">The proposed framework consists of four major stages: SMS data collection, annotation preparation, independent multi-annotator labeling, and iterative quality assurance. SMS messages are first collected from multiple heterogeneous sources and filtered according to predefined inclusion and exclusion criteria. Prior to annotation, all </w:t>
      </w:r>
      <w:r>
        <w:lastRenderedPageBreak/>
        <w:t>annotators are provided with a standardized Annotation Guideline to ensure a common understanding of annotation objectives and decision rules.</w:t>
      </w:r>
    </w:p>
    <w:p w:rsidR="00986AE3" w:rsidRDefault="00986AE3" w:rsidP="00986AE3">
      <w:r>
        <w:t>Inspired by the systematic disagreement resolution procedure proposed by Oortwijn et al. [7], the proposed framework treats annotation disagreements as indicators of potential quality issues rather than simple annotation errors. Each disagreement is therefore analyzed to identify its underlying cause, including ambiguous annotation guidelines, conceptual misalignment among annotators, inconsistent annotation behavior, or individual annotation mistakes. Appropriate corrective actions, such as guideline refinement, annotator retraining, or re-annotation, are subsequently performed before the messages are re-evaluated through the verification process.</w:t>
      </w:r>
    </w:p>
    <w:p w:rsidR="00986AE3" w:rsidRDefault="00986AE3" w:rsidP="00986AE3">
      <w:r>
        <w:t>Unlike conventional annotation pipelines, the proposed framework establishes a closed-loop quality assurance mechanism, in which disagreement analysis continuously improves both the annotation guideline and annotator consistency. This iterative process aims to maximize annotation reliability while ensuring that the resulting dataset remains transparent, reproducible, and suitable for future machine learning and natural language processing research.</w:t>
      </w:r>
    </w:p>
    <w:p w:rsidR="00986AE3" w:rsidRDefault="00986AE3" w:rsidP="00986AE3">
      <w:pPr>
        <w:pStyle w:val="heading2"/>
        <w:tabs>
          <w:tab w:val="left" w:pos="567"/>
        </w:tabs>
        <w:ind w:right="567"/>
      </w:pPr>
      <w:r>
        <w:t>SMS Collection</w:t>
      </w:r>
    </w:p>
    <w:p w:rsidR="00986AE3" w:rsidRDefault="00986AE3" w:rsidP="00986AE3">
      <w:pPr>
        <w:pStyle w:val="p1a"/>
        <w:rPr>
          <w:lang w:val="en-GB" w:eastAsia="en-GB"/>
        </w:rPr>
      </w:pPr>
      <w:r>
        <w:rPr>
          <w:lang w:val="en-GB" w:eastAsia="en-GB"/>
        </w:rPr>
        <w:t>The quality of a machine learning dataset largely depends on the diversity, authenticity, and representativeness of its data sources. Therefore, the proposed dataset was constructed by collecting Vietnamese SMS messages from multiple heterogeneous sources rather than relying on a single collection channel. This strategy aims to improve linguistic diversity while reducing potential sampling bias.</w:t>
      </w:r>
    </w:p>
    <w:p w:rsidR="00986AE3" w:rsidRDefault="00986AE3" w:rsidP="00986AE3">
      <w:pPr>
        <w:pStyle w:val="image"/>
        <w:rPr>
          <w:lang w:val="en-GB" w:eastAsia="en-GB"/>
        </w:rPr>
      </w:pPr>
      <w:r>
        <w:rPr>
          <w:noProof/>
        </w:rPr>
        <w:drawing>
          <wp:inline distT="0" distB="0" distL="0" distR="0" wp14:anchorId="6B65E031" wp14:editId="3E56B6F4">
            <wp:extent cx="1952625" cy="1995170"/>
            <wp:effectExtent l="0" t="0" r="13335" b="1270"/>
            <wp:docPr id="7" name="Picture 7"/>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9" cstate="print">
                      <a:extLst>
                        <a:ext uri="{28A0092B-C50C-407E-A947-70E740481C1C}">
                          <a14:useLocalDpi xmlns:a14="http://schemas.microsoft.com/office/drawing/2010/main" val="0"/>
                        </a:ext>
                      </a:extLst>
                    </a:blip>
                    <a:stretch>
                      <a:fillRect/>
                    </a:stretch>
                  </pic:blipFill>
                  <pic:spPr>
                    <a:xfrm>
                      <a:off x="0" y="0"/>
                      <a:ext cx="1952625" cy="1995170"/>
                    </a:xfrm>
                    <a:prstGeom prst="rect">
                      <a:avLst/>
                    </a:prstGeom>
                  </pic:spPr>
                </pic:pic>
              </a:graphicData>
            </a:graphic>
          </wp:inline>
        </w:drawing>
      </w:r>
    </w:p>
    <w:p w:rsidR="00986AE3" w:rsidRDefault="00986AE3" w:rsidP="00986AE3">
      <w:pPr>
        <w:pStyle w:val="figurecaption"/>
        <w:rPr>
          <w:lang w:val="en-GB" w:eastAsia="en-GB"/>
        </w:rPr>
      </w:pPr>
      <w:r>
        <w:rPr>
          <w:b/>
        </w:rPr>
        <w:t xml:space="preserve">Fig. </w:t>
      </w:r>
      <w:r>
        <w:rPr>
          <w:b/>
        </w:rPr>
        <w:fldChar w:fldCharType="begin"/>
      </w:r>
      <w:r>
        <w:rPr>
          <w:b/>
        </w:rPr>
        <w:instrText xml:space="preserve"> SEQ "Figure" \* MERGEFORMAT </w:instrText>
      </w:r>
      <w:r>
        <w:rPr>
          <w:b/>
        </w:rPr>
        <w:fldChar w:fldCharType="separate"/>
      </w:r>
      <w:r w:rsidR="00386492">
        <w:rPr>
          <w:b/>
          <w:noProof/>
        </w:rPr>
        <w:t>2</w:t>
      </w:r>
      <w:r>
        <w:rPr>
          <w:b/>
        </w:rPr>
        <w:fldChar w:fldCharType="end"/>
      </w:r>
      <w:r>
        <w:rPr>
          <w:b/>
        </w:rPr>
        <w:t>.</w:t>
      </w:r>
      <w:r>
        <w:t xml:space="preserve"> </w:t>
      </w:r>
      <w:r w:rsidRPr="00274440">
        <w:t>SMS</w:t>
      </w:r>
      <w:r>
        <w:t xml:space="preserve"> Data Collection Pipeline</w:t>
      </w:r>
    </w:p>
    <w:p w:rsidR="00986AE3" w:rsidRDefault="00986AE3" w:rsidP="00986AE3">
      <w:pPr>
        <w:pStyle w:val="p1a"/>
        <w:rPr>
          <w:lang w:val="en-GB" w:eastAsia="en-GB"/>
        </w:rPr>
      </w:pPr>
      <w:r>
        <w:rPr>
          <w:lang w:val="en-GB" w:eastAsia="en-GB"/>
        </w:rPr>
        <w:t xml:space="preserve">As illustrated in Fig. 3, SMS messages were collected from four primary sources: community contributions, volunteer submissions, publicly available online resources, and partner organizations. Community contributions and volunteer submissions provide real-world messages received by mobile users in their daily lives, allowing the </w:t>
      </w:r>
      <w:r>
        <w:rPr>
          <w:lang w:val="en-GB" w:eastAsia="en-GB"/>
        </w:rPr>
        <w:lastRenderedPageBreak/>
        <w:t xml:space="preserve">dataset to capture contemporary phishing campaigns, promotional advertisements, financial notifications, and legitimate personal communications. </w:t>
      </w:r>
    </w:p>
    <w:p w:rsidR="00986AE3" w:rsidRDefault="00986AE3" w:rsidP="00986AE3">
      <w:pPr>
        <w:rPr>
          <w:lang w:val="en-GB" w:eastAsia="en-GB"/>
        </w:rPr>
      </w:pPr>
      <w:r>
        <w:rPr>
          <w:lang w:val="en-GB" w:eastAsia="en-GB"/>
        </w:rPr>
        <w:t>To protect user privacy, all collected messages underwent an anonymization process before annotation. Personally identifiable information (PII), including phone numbers, personal names, identification numbers, bank account information, URLs, and other sensitive content, was either removed or replaced with standardized placeholders while preserving the semantic characteristics required for annotation and subsequent machine learning applications.</w:t>
      </w:r>
    </w:p>
    <w:p w:rsidR="00986AE3" w:rsidRPr="001F5999" w:rsidRDefault="00986AE3" w:rsidP="00986AE3">
      <w:pPr>
        <w:rPr>
          <w:highlight w:val="yellow"/>
        </w:rPr>
      </w:pPr>
      <w:r w:rsidRPr="00970788">
        <w:rPr>
          <w:highlight w:val="yellow"/>
        </w:rPr>
        <w:t xml:space="preserve">To ensure high data quality and eliminate potential noise before the formal annotation phase, a rigorous screening pipeline was executed combining automated scripts and a systematic manual inspection protocol. Out of the 2,058 raw messages initially collected from the four heterogeneous sources, a </w:t>
      </w:r>
      <w:r>
        <w:rPr>
          <w:highlight w:val="yellow"/>
        </w:rPr>
        <w:t xml:space="preserve">total of </w:t>
      </w:r>
      <w:r w:rsidRPr="00970788">
        <w:rPr>
          <w:highlight w:val="yellow"/>
        </w:rPr>
        <w:t>5</w:t>
      </w:r>
      <w:r>
        <w:rPr>
          <w:highlight w:val="yellow"/>
        </w:rPr>
        <w:t>1</w:t>
      </w:r>
      <w:r w:rsidRPr="00970788">
        <w:rPr>
          <w:highlight w:val="yellow"/>
        </w:rPr>
        <w:t xml:space="preserve"> records (</w:t>
      </w:r>
      <w:r>
        <w:rPr>
          <w:highlight w:val="yellow"/>
        </w:rPr>
        <w:t>2.48</w:t>
      </w:r>
      <w:r w:rsidRPr="00970788">
        <w:rPr>
          <w:highlight w:val="yellow"/>
        </w:rPr>
        <w:t xml:space="preserve">%) were systematically excluded based strictly on the predefined technical and semantic filtering criteria outlined in Table 1. First, an automated Python script was utilized to perform exact deduplication, removing </w:t>
      </w:r>
      <w:r>
        <w:rPr>
          <w:highlight w:val="yellow"/>
        </w:rPr>
        <w:t>23</w:t>
      </w:r>
      <w:r w:rsidRPr="00970788">
        <w:rPr>
          <w:highlight w:val="yellow"/>
        </w:rPr>
        <w:t xml:space="preserve"> redundant message variants generated by mass-broadcast spam campaigns. Second, a structured, two-pass manual verification was conducted by the core research team to eliminate </w:t>
      </w:r>
      <w:r>
        <w:rPr>
          <w:highlight w:val="yellow"/>
        </w:rPr>
        <w:t>9</w:t>
      </w:r>
      <w:r w:rsidRPr="00970788">
        <w:rPr>
          <w:highlight w:val="yellow"/>
        </w:rPr>
        <w:t xml:space="preserve"> messages with severe structural corruption (e.g., truncated text or unresolvable encoding failures) and </w:t>
      </w:r>
      <w:r>
        <w:rPr>
          <w:highlight w:val="yellow"/>
        </w:rPr>
        <w:t>19</w:t>
      </w:r>
      <w:r w:rsidRPr="00970788">
        <w:rPr>
          <w:highlight w:val="yellow"/>
        </w:rPr>
        <w:t xml:space="preserve"> messages holding insufficient semantic information following the PII anonymization phase. This hybrid screening protocol ensures that the subsequent multi-annotator evaluation pipeline operates exclusively on a clean, robust, and linguistically viable corpus, reinforcing the reproducibility of our methodology.</w:t>
      </w:r>
    </w:p>
    <w:tbl>
      <w:tblPr>
        <w:tblStyle w:val="TableGrid"/>
        <w:tblW w:w="0" w:type="auto"/>
        <w:tblLook w:val="04A0" w:firstRow="1" w:lastRow="0" w:firstColumn="1" w:lastColumn="0" w:noHBand="0" w:noVBand="1"/>
      </w:tblPr>
      <w:tblGrid>
        <w:gridCol w:w="5495"/>
        <w:gridCol w:w="1637"/>
      </w:tblGrid>
      <w:tr w:rsidR="00986AE3" w:rsidRPr="001F5999" w:rsidTr="00E231B9">
        <w:trPr>
          <w:trHeight w:val="332"/>
        </w:trPr>
        <w:tc>
          <w:tcPr>
            <w:tcW w:w="5495" w:type="dxa"/>
          </w:tcPr>
          <w:p w:rsidR="00986AE3" w:rsidRPr="001F5999" w:rsidRDefault="00986AE3" w:rsidP="00E231B9">
            <w:pPr>
              <w:ind w:firstLine="0"/>
              <w:rPr>
                <w:b/>
                <w:highlight w:val="yellow"/>
              </w:rPr>
            </w:pPr>
            <w:r w:rsidRPr="001F5999">
              <w:rPr>
                <w:b/>
                <w:highlight w:val="yellow"/>
              </w:rPr>
              <w:t>Reason</w:t>
            </w:r>
          </w:p>
        </w:tc>
        <w:tc>
          <w:tcPr>
            <w:tcW w:w="1637" w:type="dxa"/>
          </w:tcPr>
          <w:p w:rsidR="00986AE3" w:rsidRPr="001F5999" w:rsidRDefault="00986AE3" w:rsidP="00E231B9">
            <w:pPr>
              <w:ind w:firstLine="0"/>
              <w:jc w:val="right"/>
              <w:rPr>
                <w:b/>
                <w:highlight w:val="yellow"/>
              </w:rPr>
            </w:pPr>
            <w:r w:rsidRPr="001F5999">
              <w:rPr>
                <w:b/>
                <w:highlight w:val="yellow"/>
              </w:rPr>
              <w:t>Messages</w:t>
            </w:r>
          </w:p>
        </w:tc>
      </w:tr>
      <w:tr w:rsidR="00986AE3" w:rsidRPr="001F5999" w:rsidTr="00E231B9">
        <w:trPr>
          <w:trHeight w:val="377"/>
        </w:trPr>
        <w:tc>
          <w:tcPr>
            <w:tcW w:w="5495" w:type="dxa"/>
            <w:vAlign w:val="center"/>
          </w:tcPr>
          <w:p w:rsidR="00986AE3" w:rsidRPr="001F5999" w:rsidRDefault="00986AE3" w:rsidP="00E231B9">
            <w:pPr>
              <w:ind w:firstLine="0"/>
              <w:jc w:val="left"/>
              <w:rPr>
                <w:highlight w:val="yellow"/>
              </w:rPr>
            </w:pPr>
            <w:r w:rsidRPr="001F5999">
              <w:rPr>
                <w:highlight w:val="yellow"/>
              </w:rPr>
              <w:t>Duplicate</w:t>
            </w:r>
          </w:p>
        </w:tc>
        <w:tc>
          <w:tcPr>
            <w:tcW w:w="1637" w:type="dxa"/>
            <w:vAlign w:val="center"/>
          </w:tcPr>
          <w:p w:rsidR="00986AE3" w:rsidRPr="001F5999" w:rsidRDefault="00986AE3" w:rsidP="00E231B9">
            <w:pPr>
              <w:ind w:firstLine="0"/>
              <w:jc w:val="right"/>
              <w:rPr>
                <w:b/>
                <w:highlight w:val="yellow"/>
              </w:rPr>
            </w:pPr>
            <w:r>
              <w:rPr>
                <w:b/>
                <w:highlight w:val="yellow"/>
              </w:rPr>
              <w:t>23</w:t>
            </w:r>
          </w:p>
        </w:tc>
      </w:tr>
      <w:tr w:rsidR="00986AE3" w:rsidRPr="001F5999" w:rsidTr="00E231B9">
        <w:trPr>
          <w:trHeight w:val="611"/>
        </w:trPr>
        <w:tc>
          <w:tcPr>
            <w:tcW w:w="5495" w:type="dxa"/>
            <w:vAlign w:val="center"/>
          </w:tcPr>
          <w:p w:rsidR="00986AE3" w:rsidRPr="001F5999" w:rsidRDefault="00986AE3" w:rsidP="00E231B9">
            <w:pPr>
              <w:ind w:firstLine="0"/>
              <w:jc w:val="left"/>
              <w:rPr>
                <w:highlight w:val="yellow"/>
              </w:rPr>
            </w:pPr>
            <w:r w:rsidRPr="001F5999">
              <w:rPr>
                <w:highlight w:val="yellow"/>
              </w:rPr>
              <w:t>Severe structural corruption, including truncated text from system logging errors or unresolvable character encoding failures</w:t>
            </w:r>
          </w:p>
        </w:tc>
        <w:tc>
          <w:tcPr>
            <w:tcW w:w="1637" w:type="dxa"/>
            <w:vAlign w:val="center"/>
          </w:tcPr>
          <w:p w:rsidR="00986AE3" w:rsidRPr="001F5999" w:rsidRDefault="00986AE3" w:rsidP="00E231B9">
            <w:pPr>
              <w:ind w:firstLine="0"/>
              <w:jc w:val="right"/>
              <w:rPr>
                <w:b/>
                <w:highlight w:val="yellow"/>
              </w:rPr>
            </w:pPr>
            <w:r>
              <w:rPr>
                <w:b/>
                <w:highlight w:val="yellow"/>
              </w:rPr>
              <w:t>9</w:t>
            </w:r>
          </w:p>
        </w:tc>
      </w:tr>
      <w:tr w:rsidR="00986AE3" w:rsidTr="00E231B9">
        <w:trPr>
          <w:trHeight w:val="831"/>
        </w:trPr>
        <w:tc>
          <w:tcPr>
            <w:tcW w:w="5495" w:type="dxa"/>
            <w:vAlign w:val="center"/>
          </w:tcPr>
          <w:p w:rsidR="00986AE3" w:rsidRPr="001F5999" w:rsidRDefault="00986AE3" w:rsidP="00E231B9">
            <w:pPr>
              <w:ind w:firstLine="0"/>
              <w:jc w:val="left"/>
              <w:rPr>
                <w:highlight w:val="yellow"/>
              </w:rPr>
            </w:pPr>
            <w:r w:rsidRPr="001F5999">
              <w:rPr>
                <w:highlight w:val="yellow"/>
              </w:rPr>
              <w:t>Contained insufficient semantic information after the anonymization process (e.g., messages stripped of critical non-textual tokens or containing only isolated, meaningless numeric OTP codes).</w:t>
            </w:r>
          </w:p>
        </w:tc>
        <w:tc>
          <w:tcPr>
            <w:tcW w:w="1637" w:type="dxa"/>
            <w:vAlign w:val="center"/>
          </w:tcPr>
          <w:p w:rsidR="00986AE3" w:rsidRPr="001F5999" w:rsidRDefault="00986AE3" w:rsidP="00E231B9">
            <w:pPr>
              <w:ind w:firstLine="0"/>
              <w:jc w:val="right"/>
              <w:rPr>
                <w:b/>
              </w:rPr>
            </w:pPr>
            <w:r w:rsidRPr="00E02FDF">
              <w:rPr>
                <w:b/>
                <w:highlight w:val="yellow"/>
              </w:rPr>
              <w:t>19</w:t>
            </w:r>
          </w:p>
        </w:tc>
      </w:tr>
    </w:tbl>
    <w:p w:rsidR="00986AE3" w:rsidRPr="001F5999" w:rsidRDefault="00986AE3" w:rsidP="00986AE3">
      <w:pPr>
        <w:pStyle w:val="tablecaption"/>
        <w:jc w:val="both"/>
      </w:pPr>
      <w:r>
        <w:rPr>
          <w:b/>
        </w:rPr>
        <w:t xml:space="preserve">Table </w:t>
      </w:r>
      <w:r>
        <w:rPr>
          <w:b/>
        </w:rPr>
        <w:fldChar w:fldCharType="begin"/>
      </w:r>
      <w:r>
        <w:rPr>
          <w:b/>
        </w:rPr>
        <w:instrText xml:space="preserve"> SEQ "Table" \* MERGEFORMAT </w:instrText>
      </w:r>
      <w:r>
        <w:rPr>
          <w:b/>
        </w:rPr>
        <w:fldChar w:fldCharType="separate"/>
      </w:r>
      <w:r w:rsidR="00386492">
        <w:rPr>
          <w:b/>
          <w:noProof/>
        </w:rPr>
        <w:t>1</w:t>
      </w:r>
      <w:r>
        <w:rPr>
          <w:b/>
        </w:rPr>
        <w:fldChar w:fldCharType="end"/>
      </w:r>
      <w:r>
        <w:rPr>
          <w:b/>
        </w:rPr>
        <w:t>.</w:t>
      </w:r>
      <w:r>
        <w:t xml:space="preserve"> </w:t>
      </w:r>
      <w:r w:rsidRPr="0039043B">
        <w:t>Quantitative</w:t>
      </w:r>
      <w:r>
        <w:t xml:space="preserve"> breakdown of excluded messages during the data cleaning and filtering stage.</w:t>
      </w:r>
    </w:p>
    <w:p w:rsidR="00986AE3" w:rsidRPr="0039043B" w:rsidRDefault="00986AE3" w:rsidP="00986AE3">
      <w:pPr>
        <w:pStyle w:val="heading2"/>
        <w:tabs>
          <w:tab w:val="left" w:pos="567"/>
        </w:tabs>
        <w:ind w:right="567"/>
      </w:pPr>
      <w:r>
        <w:t>Annotation Guideline</w:t>
      </w:r>
    </w:p>
    <w:p w:rsidR="00986AE3" w:rsidRPr="00261E53" w:rsidRDefault="00986AE3" w:rsidP="00986AE3">
      <w:pPr>
        <w:pStyle w:val="p1a"/>
        <w:rPr>
          <w:highlight w:val="yellow"/>
        </w:rPr>
      </w:pPr>
      <w:r w:rsidRPr="00261E53">
        <w:rPr>
          <w:highlight w:val="yellow"/>
        </w:rPr>
        <w:t>To minimize annotation subjectivity and improve labeling consistency, a standardized Annotation Guideline was developed before the annotation process. The guideline establishes a unified decision-making framework by defining annotation objectives, label definitions, decision rules, and representative examples. All annotators were required to study the guideline before participating in the annotation task.</w:t>
      </w:r>
    </w:p>
    <w:p w:rsidR="00986AE3" w:rsidRPr="00261E53" w:rsidRDefault="00986AE3" w:rsidP="00986AE3">
      <w:pPr>
        <w:rPr>
          <w:highlight w:val="yellow"/>
        </w:rPr>
      </w:pPr>
      <w:r w:rsidRPr="00261E53">
        <w:rPr>
          <w:highlight w:val="yellow"/>
        </w:rPr>
        <w:t xml:space="preserve">The guideline categorizes SMS messages into two primary classes: </w:t>
      </w:r>
      <w:r w:rsidRPr="00386492">
        <w:rPr>
          <w:rStyle w:val="Strong"/>
          <w:b w:val="0"/>
          <w:highlight w:val="yellow"/>
        </w:rPr>
        <w:t>Ham</w:t>
      </w:r>
      <w:r w:rsidRPr="00261E53">
        <w:rPr>
          <w:highlight w:val="yellow"/>
        </w:rPr>
        <w:t xml:space="preserve"> and </w:t>
      </w:r>
      <w:r w:rsidRPr="00386492">
        <w:rPr>
          <w:rStyle w:val="Strong"/>
          <w:b w:val="0"/>
          <w:highlight w:val="yellow"/>
        </w:rPr>
        <w:t>Spam</w:t>
      </w:r>
      <w:r w:rsidRPr="00386492">
        <w:rPr>
          <w:b/>
          <w:highlight w:val="yellow"/>
        </w:rPr>
        <w:t xml:space="preserve">. </w:t>
      </w:r>
      <w:r w:rsidRPr="00386492">
        <w:rPr>
          <w:rStyle w:val="Strong"/>
          <w:b w:val="0"/>
          <w:highlight w:val="yellow"/>
        </w:rPr>
        <w:t>Ham</w:t>
      </w:r>
      <w:r w:rsidRPr="00261E53">
        <w:rPr>
          <w:b/>
          <w:highlight w:val="yellow"/>
        </w:rPr>
        <w:t xml:space="preserve"> </w:t>
      </w:r>
      <w:r w:rsidRPr="00261E53">
        <w:rPr>
          <w:highlight w:val="yellow"/>
        </w:rPr>
        <w:t>messages refer to legitimate communications, including personal conver</w:t>
      </w:r>
      <w:r w:rsidRPr="00261E53">
        <w:rPr>
          <w:highlight w:val="yellow"/>
        </w:rPr>
        <w:lastRenderedPageBreak/>
        <w:t>sations, critical transactional notifications, official authentication messages, and service-related announcements that do not attempt to deceive or manipulate recipients.</w:t>
      </w:r>
    </w:p>
    <w:p w:rsidR="00986AE3" w:rsidRPr="00261E53" w:rsidRDefault="00986AE3" w:rsidP="00986AE3">
      <w:pPr>
        <w:rPr>
          <w:highlight w:val="yellow"/>
        </w:rPr>
      </w:pPr>
      <w:r w:rsidRPr="00386492">
        <w:rPr>
          <w:rStyle w:val="Strong"/>
          <w:b w:val="0"/>
          <w:highlight w:val="yellow"/>
        </w:rPr>
        <w:t>Spam</w:t>
      </w:r>
      <w:r w:rsidRPr="00261E53">
        <w:rPr>
          <w:highlight w:val="yellow"/>
        </w:rPr>
        <w:t xml:space="preserve"> is defined as a broad category comprising two semantic sub-categories: </w:t>
      </w:r>
      <w:r w:rsidRPr="00386492">
        <w:rPr>
          <w:rStyle w:val="Strong"/>
          <w:b w:val="0"/>
          <w:highlight w:val="yellow"/>
        </w:rPr>
        <w:t>Commercial Spam</w:t>
      </w:r>
      <w:r w:rsidRPr="00261E53">
        <w:rPr>
          <w:highlight w:val="yellow"/>
        </w:rPr>
        <w:t xml:space="preserve">, which includes unsolicited marketing promotions and unauthorized advertisements, and </w:t>
      </w:r>
      <w:r w:rsidRPr="00386492">
        <w:rPr>
          <w:rStyle w:val="Strong"/>
          <w:b w:val="0"/>
          <w:highlight w:val="yellow"/>
        </w:rPr>
        <w:t>Fraudulent/Phishing Spam</w:t>
      </w:r>
      <w:r w:rsidRPr="00261E53">
        <w:rPr>
          <w:highlight w:val="yellow"/>
        </w:rPr>
        <w:t>, which includes impersonation attacks, fraudulent financial schemes, and malicious messages intended to steal information or financial assets.</w:t>
      </w:r>
    </w:p>
    <w:p w:rsidR="00986AE3" w:rsidRPr="00261E53" w:rsidRDefault="00986AE3" w:rsidP="00986AE3">
      <w:pPr>
        <w:rPr>
          <w:highlight w:val="yellow"/>
        </w:rPr>
      </w:pPr>
      <w:r w:rsidRPr="00261E53">
        <w:rPr>
          <w:highlight w:val="yellow"/>
        </w:rPr>
        <w:t xml:space="preserve">For the baseline binary classification task, both sub-categories are assigned the same </w:t>
      </w:r>
      <w:r w:rsidRPr="00386492">
        <w:rPr>
          <w:rStyle w:val="Strong"/>
          <w:b w:val="0"/>
          <w:highlight w:val="yellow"/>
        </w:rPr>
        <w:t>Spam</w:t>
      </w:r>
      <w:r w:rsidRPr="00261E53">
        <w:rPr>
          <w:highlight w:val="yellow"/>
        </w:rPr>
        <w:t xml:space="preserve"> label. This design reflects the objective of constructing a binary SMS spam detection dataset while preserving finer semantic distinctions in the annotation guideline for future analyses and potential taxonomy extension.</w:t>
      </w:r>
    </w:p>
    <w:p w:rsidR="00986AE3" w:rsidRPr="00261E53" w:rsidRDefault="00986AE3" w:rsidP="00986AE3">
      <w:pPr>
        <w:rPr>
          <w:highlight w:val="yellow"/>
        </w:rPr>
      </w:pPr>
      <w:r w:rsidRPr="00261E53">
        <w:rPr>
          <w:highlight w:val="yellow"/>
        </w:rPr>
        <w:t xml:space="preserve">The guideline also specifies decision rules for ambiguous cases. Annotators were instructed to evaluate each message according to its communication intent, contextual meaning, and potential security risk rather than isolated keywords. For example, the presence of terms such as </w:t>
      </w:r>
      <w:r w:rsidRPr="00261E53">
        <w:rPr>
          <w:rStyle w:val="Emphasis"/>
          <w:highlight w:val="yellow"/>
        </w:rPr>
        <w:t>promotion</w:t>
      </w:r>
      <w:r w:rsidRPr="00261E53">
        <w:rPr>
          <w:highlight w:val="yellow"/>
        </w:rPr>
        <w:t xml:space="preserve">, </w:t>
      </w:r>
      <w:r w:rsidRPr="00261E53">
        <w:rPr>
          <w:rStyle w:val="Emphasis"/>
          <w:highlight w:val="yellow"/>
        </w:rPr>
        <w:t>bank</w:t>
      </w:r>
      <w:r w:rsidRPr="00261E53">
        <w:rPr>
          <w:highlight w:val="yellow"/>
        </w:rPr>
        <w:t xml:space="preserve">, or </w:t>
      </w:r>
      <w:r w:rsidRPr="00261E53">
        <w:rPr>
          <w:rStyle w:val="Emphasis"/>
          <w:highlight w:val="yellow"/>
        </w:rPr>
        <w:t>reward</w:t>
      </w:r>
      <w:r w:rsidRPr="00261E53">
        <w:rPr>
          <w:highlight w:val="yellow"/>
        </w:rPr>
        <w:t xml:space="preserve"> does not automatically indicate spam. Instead, annotators considered whether the overall message exhibited deception, impersonation, coercion, or unauthorized commercial solicitation.</w:t>
      </w:r>
    </w:p>
    <w:p w:rsidR="00986AE3" w:rsidRDefault="00986AE3" w:rsidP="00986AE3">
      <w:r w:rsidRPr="00261E53">
        <w:rPr>
          <w:highlight w:val="yellow"/>
        </w:rPr>
        <w:t>Representative examples and common annotation pitfalls identified during preliminary annotation rounds were incorporated into the guideline to improve inter-annotator consistency. During the verification stage, the guideline was revised whenever systematic ambiguities were identified through disagreement analysis, supporting continuous improvement of annotation quality.</w:t>
      </w:r>
    </w:p>
    <w:p w:rsidR="00986AE3" w:rsidRPr="00ED1BF4" w:rsidRDefault="00986AE3" w:rsidP="00986AE3">
      <w:pPr>
        <w:pStyle w:val="p1a"/>
      </w:pPr>
    </w:p>
    <w:p w:rsidR="00986AE3" w:rsidRDefault="00986AE3" w:rsidP="00986AE3">
      <w:pPr>
        <w:pStyle w:val="heading2"/>
        <w:tabs>
          <w:tab w:val="left" w:pos="567"/>
        </w:tabs>
        <w:ind w:right="567"/>
      </w:pPr>
      <w:r>
        <w:t>Independent Multi-Annotator Labeling</w:t>
      </w:r>
    </w:p>
    <w:p w:rsidR="00986AE3" w:rsidRDefault="00986AE3" w:rsidP="00986AE3">
      <w:r>
        <w:t>After completing the annotation preparation stage, the collected SMS messages were independently annotated by a team of trained annotators following the standardized Annotation Guideline described in the previous section. Independent annotation was adopted to minimize potential bias arising from communication among annotators and to ensure that each labeling decision reflected the annotator's own interpretation of the predefined annotation criteria.</w:t>
      </w:r>
    </w:p>
    <w:p w:rsidR="00986AE3" w:rsidRDefault="00986AE3" w:rsidP="00986AE3">
      <w:r>
        <w:t xml:space="preserve">Each SMS message was assigned to ten </w:t>
      </w:r>
      <w:r w:rsidRPr="00386492">
        <w:rPr>
          <w:rStyle w:val="Strong"/>
          <w:b w:val="0"/>
        </w:rPr>
        <w:t>independent annotators</w:t>
      </w:r>
      <w:r>
        <w:rPr>
          <w:b/>
        </w:rPr>
        <w:t>,</w:t>
      </w:r>
      <w:r>
        <w:t xml:space="preserve"> all of whom evaluated the message without access to the labels assigned by other annotators. This independent annotation strategy provides multiple judgments for each message, allowing the subsequent verification process to evaluate annotation consistency and identify disagreement cases objectively.</w:t>
      </w:r>
    </w:p>
    <w:p w:rsidR="00986AE3" w:rsidRDefault="00986AE3" w:rsidP="00986AE3">
      <w:r>
        <w:t xml:space="preserve">Unlike majority-voting approaches that determine the final label immediately after annotation, the proposed framework intentionally separates </w:t>
      </w:r>
      <w:r w:rsidRPr="00386492">
        <w:rPr>
          <w:rStyle w:val="Strong"/>
          <w:b w:val="0"/>
        </w:rPr>
        <w:t>annotation</w:t>
      </w:r>
      <w:r>
        <w:t xml:space="preserve"> from </w:t>
      </w:r>
      <w:r w:rsidRPr="00386492">
        <w:rPr>
          <w:rStyle w:val="Strong"/>
          <w:b w:val="0"/>
        </w:rPr>
        <w:t>verification</w:t>
      </w:r>
      <w:r>
        <w:t>. The objective of this design is to preserve all individual annotation decisions for subsequent quality assessment rather than discarding minority opinions. Consequently, every annotation record, including disagreement cases, becomes valuable evidence for evaluating annotation consistency and identifying potential weaknesses in the annotation process.</w:t>
      </w:r>
    </w:p>
    <w:p w:rsidR="00986AE3" w:rsidRPr="0036105A" w:rsidRDefault="00986AE3" w:rsidP="00986AE3">
      <w:r>
        <w:lastRenderedPageBreak/>
        <w:t>After all annotators completed their labeling tasks, the annotation results were merged into a unified annotation repository. At this stage, no annotation was manually modified or removed. Instead, the merged annotation results served as the input for the dual-stage verification framework presented in the following section.</w:t>
      </w:r>
    </w:p>
    <w:p w:rsidR="00986AE3" w:rsidRDefault="00986AE3" w:rsidP="00986AE3">
      <w:pPr>
        <w:pStyle w:val="heading2"/>
        <w:tabs>
          <w:tab w:val="left" w:pos="567"/>
        </w:tabs>
        <w:ind w:right="567"/>
      </w:pPr>
      <w:r>
        <w:t>Consensus Assessment and Disagreement Resolution</w:t>
      </w:r>
    </w:p>
    <w:p w:rsidR="00986AE3" w:rsidRDefault="00986AE3" w:rsidP="00986AE3">
      <w:pPr>
        <w:rPr>
          <w:lang w:val="en-GB" w:eastAsia="en-GB"/>
        </w:rPr>
      </w:pPr>
      <w:r>
        <w:t>Following independent annotation, results are subjected to a structured consensus assessment to evaluate consistency. Unlike conventional workflows that rely on majority voting, the proposed framework preserves every individual decision and systematically examines disagreement cases to identify quality issues.</w:t>
      </w:r>
    </w:p>
    <w:p w:rsidR="00986AE3" w:rsidRDefault="00986AE3" w:rsidP="00986AE3">
      <w:r>
        <w:t>Messages achieving complete consensus are directly accepted into the final dataset. Conversely, disagreement cases are transferred to a dedicated analysis process. Inspired by Oortwijn et al. [7], this analysis evaluates multiple perspectives—including guideline ambiguity, conceptual inconsistency, variable annot</w:t>
      </w:r>
      <w:r w:rsidR="00386492">
        <w:t xml:space="preserve">ation behavior, and human error </w:t>
      </w:r>
      <w:r>
        <w:t>to address root causes systematically rather than case-by-case.</w:t>
      </w:r>
    </w:p>
    <w:p w:rsidR="00986AE3" w:rsidRDefault="00986AE3" w:rsidP="00986AE3">
      <w:pPr>
        <w:pStyle w:val="heading2"/>
        <w:tabs>
          <w:tab w:val="left" w:pos="567"/>
        </w:tabs>
        <w:ind w:right="567"/>
      </w:pPr>
      <w:r>
        <w:t>Dataset Structure and Format</w:t>
      </w:r>
    </w:p>
    <w:p w:rsidR="00986AE3" w:rsidRDefault="00986AE3" w:rsidP="00986AE3">
      <w:pPr>
        <w:pStyle w:val="p1a"/>
      </w:pPr>
      <w:r>
        <w:t>To ensure absolute transparency, data portability, and high reproducibility for the research community, the finalized Vietnamese SMS phishing dataset is structured into a standardized hierarchy. The repository package is organized as follows:</w:t>
      </w:r>
    </w:p>
    <w:p w:rsidR="00986AE3" w:rsidRDefault="00986AE3" w:rsidP="00986AE3"/>
    <w:tbl>
      <w:tblPr>
        <w:tblStyle w:val="TableGrid"/>
        <w:tblW w:w="0" w:type="auto"/>
        <w:tblLook w:val="04A0" w:firstRow="1" w:lastRow="0" w:firstColumn="1" w:lastColumn="0" w:noHBand="0" w:noVBand="1"/>
      </w:tblPr>
      <w:tblGrid>
        <w:gridCol w:w="2910"/>
        <w:gridCol w:w="1358"/>
        <w:gridCol w:w="2866"/>
      </w:tblGrid>
      <w:tr w:rsidR="00986AE3" w:rsidTr="00F76C3D">
        <w:tc>
          <w:tcPr>
            <w:tcW w:w="2910" w:type="dxa"/>
          </w:tcPr>
          <w:p w:rsidR="00986AE3" w:rsidRDefault="00986AE3" w:rsidP="00E231B9">
            <w:pPr>
              <w:ind w:firstLine="0"/>
              <w:rPr>
                <w:b/>
              </w:rPr>
            </w:pPr>
            <w:r>
              <w:rPr>
                <w:b/>
              </w:rPr>
              <w:t>Component name</w:t>
            </w:r>
          </w:p>
        </w:tc>
        <w:tc>
          <w:tcPr>
            <w:tcW w:w="1358" w:type="dxa"/>
          </w:tcPr>
          <w:p w:rsidR="00986AE3" w:rsidRDefault="00986AE3" w:rsidP="00E231B9">
            <w:pPr>
              <w:ind w:firstLine="0"/>
              <w:rPr>
                <w:b/>
              </w:rPr>
            </w:pPr>
            <w:r>
              <w:rPr>
                <w:b/>
              </w:rPr>
              <w:t>Type</w:t>
            </w:r>
          </w:p>
        </w:tc>
        <w:tc>
          <w:tcPr>
            <w:tcW w:w="2866" w:type="dxa"/>
          </w:tcPr>
          <w:p w:rsidR="00986AE3" w:rsidRDefault="00986AE3" w:rsidP="00E231B9">
            <w:pPr>
              <w:ind w:firstLine="0"/>
              <w:rPr>
                <w:b/>
              </w:rPr>
            </w:pPr>
            <w:r>
              <w:rPr>
                <w:b/>
              </w:rPr>
              <w:t>Description / Purpose</w:t>
            </w:r>
          </w:p>
        </w:tc>
      </w:tr>
      <w:tr w:rsidR="00986AE3" w:rsidTr="00F76C3D">
        <w:tc>
          <w:tcPr>
            <w:tcW w:w="2910" w:type="dxa"/>
          </w:tcPr>
          <w:p w:rsidR="00986AE3" w:rsidRDefault="00986AE3" w:rsidP="00E231B9">
            <w:pPr>
              <w:ind w:firstLine="0"/>
            </w:pPr>
            <w:r>
              <w:t>anonymous-sms-dataset/</w:t>
            </w:r>
          </w:p>
        </w:tc>
        <w:tc>
          <w:tcPr>
            <w:tcW w:w="1358" w:type="dxa"/>
          </w:tcPr>
          <w:p w:rsidR="00986AE3" w:rsidRDefault="00986AE3" w:rsidP="00E231B9">
            <w:pPr>
              <w:ind w:firstLine="0"/>
            </w:pPr>
            <w:r>
              <w:t>Root directory</w:t>
            </w:r>
          </w:p>
        </w:tc>
        <w:tc>
          <w:tcPr>
            <w:tcW w:w="2866" w:type="dxa"/>
          </w:tcPr>
          <w:p w:rsidR="00986AE3" w:rsidRDefault="00986AE3" w:rsidP="00E231B9">
            <w:pPr>
              <w:ind w:firstLine="0"/>
            </w:pPr>
            <w:r>
              <w:t>The primary folder encapsulating all published assets, code dependencies, and data resources.</w:t>
            </w:r>
          </w:p>
        </w:tc>
      </w:tr>
      <w:tr w:rsidR="00986AE3" w:rsidTr="00F76C3D">
        <w:tc>
          <w:tcPr>
            <w:tcW w:w="2910" w:type="dxa"/>
          </w:tcPr>
          <w:p w:rsidR="00986AE3" w:rsidRDefault="00986AE3" w:rsidP="00E231B9">
            <w:pPr>
              <w:ind w:firstLine="0"/>
            </w:pPr>
            <w:r>
              <w:t>anonymous-sms-dataset/README.md</w:t>
            </w:r>
          </w:p>
        </w:tc>
        <w:tc>
          <w:tcPr>
            <w:tcW w:w="1358" w:type="dxa"/>
          </w:tcPr>
          <w:p w:rsidR="00986AE3" w:rsidRDefault="00986AE3" w:rsidP="00E231B9">
            <w:pPr>
              <w:ind w:firstLine="0"/>
            </w:pPr>
            <w:r>
              <w:t>File</w:t>
            </w:r>
          </w:p>
        </w:tc>
        <w:tc>
          <w:tcPr>
            <w:tcW w:w="2866" w:type="dxa"/>
          </w:tcPr>
          <w:p w:rsidR="00986AE3" w:rsidRDefault="00986AE3" w:rsidP="00E231B9">
            <w:pPr>
              <w:ind w:firstLine="0"/>
            </w:pPr>
            <w:r>
              <w:t>Provides instructions for installation, usage examples, and licensing information.</w:t>
            </w:r>
          </w:p>
        </w:tc>
      </w:tr>
      <w:tr w:rsidR="00986AE3" w:rsidTr="00F76C3D">
        <w:tc>
          <w:tcPr>
            <w:tcW w:w="2910" w:type="dxa"/>
          </w:tcPr>
          <w:p w:rsidR="00986AE3" w:rsidRDefault="00986AE3" w:rsidP="00E231B9">
            <w:pPr>
              <w:ind w:firstLine="0"/>
            </w:pPr>
            <w:r>
              <w:t>anonymous-sms-dataset/annotation_guidelines.pdf</w:t>
            </w:r>
          </w:p>
        </w:tc>
        <w:tc>
          <w:tcPr>
            <w:tcW w:w="1358" w:type="dxa"/>
          </w:tcPr>
          <w:p w:rsidR="00986AE3" w:rsidRDefault="00986AE3" w:rsidP="00E231B9">
            <w:pPr>
              <w:ind w:firstLine="0"/>
            </w:pPr>
            <w:r>
              <w:t>File</w:t>
            </w:r>
          </w:p>
        </w:tc>
        <w:tc>
          <w:tcPr>
            <w:tcW w:w="2866" w:type="dxa"/>
          </w:tcPr>
          <w:p w:rsidR="00986AE3" w:rsidRDefault="00986AE3" w:rsidP="00E231B9">
            <w:pPr>
              <w:ind w:firstLine="0"/>
            </w:pPr>
            <w:r>
              <w:t>The strict protocol defining syntactic and semantic rules applied by the ten independent annotators.</w:t>
            </w:r>
          </w:p>
        </w:tc>
      </w:tr>
      <w:tr w:rsidR="00986AE3" w:rsidTr="00F76C3D">
        <w:tc>
          <w:tcPr>
            <w:tcW w:w="2910" w:type="dxa"/>
          </w:tcPr>
          <w:p w:rsidR="00986AE3" w:rsidRDefault="00986AE3" w:rsidP="00E231B9">
            <w:pPr>
              <w:ind w:firstLine="0"/>
            </w:pPr>
            <w:r>
              <w:t>data/</w:t>
            </w:r>
          </w:p>
        </w:tc>
        <w:tc>
          <w:tcPr>
            <w:tcW w:w="1358" w:type="dxa"/>
          </w:tcPr>
          <w:p w:rsidR="00986AE3" w:rsidRDefault="00986AE3" w:rsidP="00E231B9">
            <w:pPr>
              <w:ind w:firstLine="0"/>
            </w:pPr>
            <w:r>
              <w:t>Sub-Folder</w:t>
            </w:r>
          </w:p>
        </w:tc>
        <w:tc>
          <w:tcPr>
            <w:tcW w:w="2866" w:type="dxa"/>
          </w:tcPr>
          <w:p w:rsidR="00986AE3" w:rsidRDefault="00986AE3" w:rsidP="00E231B9">
            <w:pPr>
              <w:ind w:firstLine="0"/>
            </w:pPr>
            <w:r>
              <w:t>Dedicated container holding all operational data partitions and computational metadata.</w:t>
            </w:r>
          </w:p>
        </w:tc>
      </w:tr>
      <w:tr w:rsidR="00986AE3" w:rsidTr="00F76C3D">
        <w:tc>
          <w:tcPr>
            <w:tcW w:w="2910" w:type="dxa"/>
          </w:tcPr>
          <w:p w:rsidR="00986AE3" w:rsidRDefault="00986AE3" w:rsidP="00E231B9">
            <w:pPr>
              <w:ind w:firstLine="0"/>
            </w:pPr>
            <w:r>
              <w:t>data/raw_corpus.csv</w:t>
            </w:r>
          </w:p>
        </w:tc>
        <w:tc>
          <w:tcPr>
            <w:tcW w:w="1358" w:type="dxa"/>
          </w:tcPr>
          <w:p w:rsidR="00986AE3" w:rsidRDefault="00986AE3" w:rsidP="00E231B9">
            <w:pPr>
              <w:ind w:firstLine="0"/>
            </w:pPr>
            <w:r>
              <w:t>File</w:t>
            </w:r>
          </w:p>
        </w:tc>
        <w:tc>
          <w:tcPr>
            <w:tcW w:w="2866" w:type="dxa"/>
          </w:tcPr>
          <w:p w:rsidR="00986AE3" w:rsidRDefault="00986AE3" w:rsidP="00E231B9">
            <w:pPr>
              <w:ind w:firstLine="0"/>
            </w:pPr>
            <w:r>
              <w:t>The initial unadjudicated corpus comprising 2,058 collected records across all integrated sources.</w:t>
            </w:r>
          </w:p>
        </w:tc>
      </w:tr>
      <w:tr w:rsidR="00986AE3" w:rsidTr="00F76C3D">
        <w:tc>
          <w:tcPr>
            <w:tcW w:w="2910" w:type="dxa"/>
          </w:tcPr>
          <w:p w:rsidR="00986AE3" w:rsidRDefault="00986AE3" w:rsidP="00E231B9">
            <w:pPr>
              <w:ind w:firstLine="0"/>
            </w:pPr>
            <w:r>
              <w:t>data/gold_standard.csv</w:t>
            </w:r>
          </w:p>
        </w:tc>
        <w:tc>
          <w:tcPr>
            <w:tcW w:w="1358" w:type="dxa"/>
          </w:tcPr>
          <w:p w:rsidR="00986AE3" w:rsidRDefault="00986AE3" w:rsidP="00E231B9">
            <w:pPr>
              <w:ind w:firstLine="0"/>
            </w:pPr>
            <w:r>
              <w:t>File</w:t>
            </w:r>
          </w:p>
        </w:tc>
        <w:tc>
          <w:tcPr>
            <w:tcW w:w="2866" w:type="dxa"/>
          </w:tcPr>
          <w:p w:rsidR="00986AE3" w:rsidRDefault="00F76C3D" w:rsidP="00F76C3D">
            <w:pPr>
              <w:ind w:firstLine="0"/>
            </w:pPr>
            <w:r>
              <w:t>The released Gold Standard dataset containing 2,007 fully adjudicated SMS messages.</w:t>
            </w:r>
          </w:p>
        </w:tc>
      </w:tr>
      <w:tr w:rsidR="00986AE3" w:rsidTr="00F76C3D">
        <w:tc>
          <w:tcPr>
            <w:tcW w:w="2910" w:type="dxa"/>
          </w:tcPr>
          <w:p w:rsidR="00986AE3" w:rsidRDefault="00986AE3" w:rsidP="00E231B9">
            <w:pPr>
              <w:ind w:firstLine="0"/>
            </w:pPr>
            <w:r>
              <w:lastRenderedPageBreak/>
              <w:t>data/metadata_distribution.json</w:t>
            </w:r>
          </w:p>
        </w:tc>
        <w:tc>
          <w:tcPr>
            <w:tcW w:w="1358" w:type="dxa"/>
          </w:tcPr>
          <w:p w:rsidR="00986AE3" w:rsidRDefault="00986AE3" w:rsidP="00E231B9">
            <w:pPr>
              <w:ind w:firstLine="0"/>
            </w:pPr>
            <w:r>
              <w:t>File</w:t>
            </w:r>
          </w:p>
        </w:tc>
        <w:tc>
          <w:tcPr>
            <w:tcW w:w="2866" w:type="dxa"/>
          </w:tcPr>
          <w:p w:rsidR="00986AE3" w:rsidRDefault="00F76C3D" w:rsidP="00E231B9">
            <w:pPr>
              <w:ind w:firstLine="0"/>
            </w:pPr>
            <w:r>
              <w:t>Detailed voting matrix preserving individual label decisions from the ten human annotators.</w:t>
            </w:r>
          </w:p>
        </w:tc>
      </w:tr>
      <w:tr w:rsidR="00F76C3D" w:rsidTr="00F76C3D">
        <w:trPr>
          <w:trHeight w:val="48"/>
        </w:trPr>
        <w:tc>
          <w:tcPr>
            <w:tcW w:w="2910" w:type="dxa"/>
          </w:tcPr>
          <w:p w:rsidR="00F76C3D" w:rsidRPr="00386492" w:rsidRDefault="00F76C3D" w:rsidP="00F76C3D">
            <w:pPr>
              <w:ind w:firstLine="0"/>
              <w:rPr>
                <w:highlight w:val="yellow"/>
              </w:rPr>
            </w:pPr>
            <w:r w:rsidRPr="00386492">
              <w:rPr>
                <w:highlight w:val="yellow"/>
              </w:rPr>
              <w:t>data/benchmark_subset.csv</w:t>
            </w:r>
          </w:p>
        </w:tc>
        <w:tc>
          <w:tcPr>
            <w:tcW w:w="1358" w:type="dxa"/>
          </w:tcPr>
          <w:p w:rsidR="00F76C3D" w:rsidRPr="00386492" w:rsidRDefault="00F76C3D" w:rsidP="00F76C3D">
            <w:pPr>
              <w:ind w:firstLine="0"/>
              <w:rPr>
                <w:highlight w:val="yellow"/>
              </w:rPr>
            </w:pPr>
            <w:r w:rsidRPr="00386492">
              <w:rPr>
                <w:highlight w:val="yellow"/>
              </w:rPr>
              <w:t>File</w:t>
            </w:r>
          </w:p>
        </w:tc>
        <w:tc>
          <w:tcPr>
            <w:tcW w:w="2866" w:type="dxa"/>
          </w:tcPr>
          <w:p w:rsidR="00F76C3D" w:rsidRPr="00386492" w:rsidRDefault="00F76C3D" w:rsidP="00F76C3D">
            <w:pPr>
              <w:ind w:firstLine="0"/>
              <w:rPr>
                <w:highlight w:val="yellow"/>
              </w:rPr>
            </w:pPr>
            <w:r w:rsidRPr="00386492">
              <w:rPr>
                <w:highlight w:val="yellow"/>
              </w:rPr>
              <w:t>A leakage-controlled evaluation subset containing 1,541 SMS messages after near-duplicate removal, used for baseline model benchmarking.</w:t>
            </w:r>
          </w:p>
        </w:tc>
      </w:tr>
    </w:tbl>
    <w:p w:rsidR="00986AE3" w:rsidRDefault="00986AE3" w:rsidP="00986AE3">
      <w:pPr>
        <w:pStyle w:val="tablecaption"/>
      </w:pPr>
      <w:r>
        <w:rPr>
          <w:b/>
        </w:rPr>
        <w:t xml:space="preserve">Table </w:t>
      </w:r>
      <w:r>
        <w:rPr>
          <w:b/>
        </w:rPr>
        <w:fldChar w:fldCharType="begin"/>
      </w:r>
      <w:r>
        <w:rPr>
          <w:b/>
        </w:rPr>
        <w:instrText xml:space="preserve"> SEQ "Table" \* MERGEFORMAT </w:instrText>
      </w:r>
      <w:r>
        <w:rPr>
          <w:b/>
        </w:rPr>
        <w:fldChar w:fldCharType="separate"/>
      </w:r>
      <w:r w:rsidR="00386492">
        <w:rPr>
          <w:b/>
          <w:noProof/>
        </w:rPr>
        <w:t>2</w:t>
      </w:r>
      <w:r>
        <w:rPr>
          <w:b/>
        </w:rPr>
        <w:fldChar w:fldCharType="end"/>
      </w:r>
      <w:r>
        <w:rPr>
          <w:b/>
        </w:rPr>
        <w:t>.</w:t>
      </w:r>
      <w:r>
        <w:t xml:space="preserve"> </w:t>
      </w:r>
      <w:r w:rsidRPr="0039043B">
        <w:t>Directory</w:t>
      </w:r>
      <w:r>
        <w:t xml:space="preserve"> structure, schema specifications, and components of the dataset repository.</w:t>
      </w:r>
    </w:p>
    <w:p w:rsidR="00986AE3" w:rsidRDefault="00986AE3" w:rsidP="00986AE3">
      <w:r>
        <w:t>The core utility of the repository resides within the gold_standard.csv partition. To provide a clear overview of the data architecture for machine learning integration, Table 3 outlines the explicit attribute schema, data types, constraints, and academic examples for each feature included in the gold-standard benchmark file.</w:t>
      </w:r>
    </w:p>
    <w:tbl>
      <w:tblPr>
        <w:tblStyle w:val="TableGrid"/>
        <w:tblW w:w="0" w:type="auto"/>
        <w:tblLook w:val="04A0" w:firstRow="1" w:lastRow="0" w:firstColumn="1" w:lastColumn="0" w:noHBand="0" w:noVBand="1"/>
      </w:tblPr>
      <w:tblGrid>
        <w:gridCol w:w="2022"/>
        <w:gridCol w:w="1270"/>
        <w:gridCol w:w="898"/>
        <w:gridCol w:w="1332"/>
        <w:gridCol w:w="1612"/>
      </w:tblGrid>
      <w:tr w:rsidR="00986AE3" w:rsidTr="00F76C3D">
        <w:tc>
          <w:tcPr>
            <w:tcW w:w="2022" w:type="dxa"/>
          </w:tcPr>
          <w:p w:rsidR="00986AE3" w:rsidRDefault="00986AE3" w:rsidP="00E231B9">
            <w:pPr>
              <w:ind w:firstLine="0"/>
              <w:rPr>
                <w:b/>
              </w:rPr>
            </w:pPr>
            <w:r>
              <w:rPr>
                <w:b/>
              </w:rPr>
              <w:t>File name</w:t>
            </w:r>
          </w:p>
        </w:tc>
        <w:tc>
          <w:tcPr>
            <w:tcW w:w="1270" w:type="dxa"/>
          </w:tcPr>
          <w:p w:rsidR="00986AE3" w:rsidRDefault="00986AE3" w:rsidP="00E231B9">
            <w:pPr>
              <w:ind w:firstLine="0"/>
              <w:rPr>
                <w:b/>
              </w:rPr>
            </w:pPr>
            <w:r>
              <w:rPr>
                <w:b/>
              </w:rPr>
              <w:t>Attribute name</w:t>
            </w:r>
          </w:p>
        </w:tc>
        <w:tc>
          <w:tcPr>
            <w:tcW w:w="898" w:type="dxa"/>
          </w:tcPr>
          <w:p w:rsidR="00986AE3" w:rsidRDefault="00986AE3" w:rsidP="00E231B9">
            <w:pPr>
              <w:ind w:firstLine="0"/>
              <w:rPr>
                <w:b/>
              </w:rPr>
            </w:pPr>
            <w:r>
              <w:rPr>
                <w:b/>
              </w:rPr>
              <w:t>Data type</w:t>
            </w:r>
          </w:p>
        </w:tc>
        <w:tc>
          <w:tcPr>
            <w:tcW w:w="1332" w:type="dxa"/>
          </w:tcPr>
          <w:p w:rsidR="00986AE3" w:rsidRDefault="00986AE3" w:rsidP="00E231B9">
            <w:pPr>
              <w:ind w:firstLine="0"/>
              <w:rPr>
                <w:b/>
              </w:rPr>
            </w:pPr>
            <w:r>
              <w:rPr>
                <w:b/>
              </w:rPr>
              <w:t>Description</w:t>
            </w:r>
          </w:p>
        </w:tc>
        <w:tc>
          <w:tcPr>
            <w:tcW w:w="1612" w:type="dxa"/>
          </w:tcPr>
          <w:p w:rsidR="00986AE3" w:rsidRDefault="00986AE3" w:rsidP="00E231B9">
            <w:pPr>
              <w:ind w:firstLine="0"/>
              <w:rPr>
                <w:b/>
              </w:rPr>
            </w:pPr>
            <w:r>
              <w:rPr>
                <w:b/>
              </w:rPr>
              <w:t>Example</w:t>
            </w:r>
          </w:p>
        </w:tc>
      </w:tr>
      <w:tr w:rsidR="00986AE3" w:rsidTr="00F76C3D">
        <w:tc>
          <w:tcPr>
            <w:tcW w:w="2022" w:type="dxa"/>
            <w:vMerge w:val="restart"/>
            <w:vAlign w:val="center"/>
          </w:tcPr>
          <w:p w:rsidR="00986AE3" w:rsidRDefault="00986AE3" w:rsidP="00E231B9">
            <w:pPr>
              <w:ind w:firstLine="0"/>
              <w:jc w:val="center"/>
            </w:pPr>
            <w:r>
              <w:t>raw_corpus.csv</w:t>
            </w:r>
          </w:p>
        </w:tc>
        <w:tc>
          <w:tcPr>
            <w:tcW w:w="1270" w:type="dxa"/>
          </w:tcPr>
          <w:p w:rsidR="00986AE3" w:rsidRDefault="00986AE3" w:rsidP="00E231B9">
            <w:pPr>
              <w:ind w:firstLine="0"/>
            </w:pPr>
            <w:r>
              <w:t>message_id</w:t>
            </w:r>
          </w:p>
        </w:tc>
        <w:tc>
          <w:tcPr>
            <w:tcW w:w="898" w:type="dxa"/>
          </w:tcPr>
          <w:p w:rsidR="00986AE3" w:rsidRDefault="00986AE3" w:rsidP="00E231B9">
            <w:pPr>
              <w:ind w:firstLine="0"/>
            </w:pPr>
            <w:r>
              <w:t>Integer</w:t>
            </w:r>
          </w:p>
        </w:tc>
        <w:tc>
          <w:tcPr>
            <w:tcW w:w="1332" w:type="dxa"/>
          </w:tcPr>
          <w:p w:rsidR="00986AE3" w:rsidRDefault="00986AE3" w:rsidP="00E231B9">
            <w:pPr>
              <w:ind w:firstLine="0"/>
            </w:pPr>
            <w:r>
              <w:t>Unique identifier for tracking.</w:t>
            </w:r>
          </w:p>
        </w:tc>
        <w:tc>
          <w:tcPr>
            <w:tcW w:w="1612" w:type="dxa"/>
          </w:tcPr>
          <w:p w:rsidR="00986AE3" w:rsidRDefault="00986AE3" w:rsidP="00E231B9">
            <w:pPr>
              <w:ind w:firstLine="0"/>
            </w:pPr>
            <w:r>
              <w:t>COM_001</w:t>
            </w:r>
          </w:p>
        </w:tc>
      </w:tr>
      <w:tr w:rsidR="00986AE3" w:rsidTr="00F76C3D">
        <w:tc>
          <w:tcPr>
            <w:tcW w:w="2022" w:type="dxa"/>
            <w:vMerge/>
          </w:tcPr>
          <w:p w:rsidR="00986AE3" w:rsidRDefault="00986AE3" w:rsidP="00E231B9">
            <w:pPr>
              <w:ind w:firstLine="0"/>
            </w:pPr>
          </w:p>
        </w:tc>
        <w:tc>
          <w:tcPr>
            <w:tcW w:w="1270" w:type="dxa"/>
          </w:tcPr>
          <w:p w:rsidR="00986AE3" w:rsidRDefault="00986AE3" w:rsidP="00E231B9">
            <w:pPr>
              <w:ind w:firstLine="0"/>
            </w:pPr>
            <w:r>
              <w:t>raw_text</w:t>
            </w:r>
          </w:p>
        </w:tc>
        <w:tc>
          <w:tcPr>
            <w:tcW w:w="898" w:type="dxa"/>
          </w:tcPr>
          <w:p w:rsidR="00986AE3" w:rsidRDefault="00986AE3" w:rsidP="00E231B9">
            <w:pPr>
              <w:ind w:firstLine="0"/>
            </w:pPr>
            <w:r>
              <w:t>String</w:t>
            </w:r>
          </w:p>
        </w:tc>
        <w:tc>
          <w:tcPr>
            <w:tcW w:w="1332" w:type="dxa"/>
          </w:tcPr>
          <w:p w:rsidR="00986AE3" w:rsidRDefault="00986AE3" w:rsidP="00E231B9">
            <w:pPr>
              <w:ind w:firstLine="0"/>
            </w:pPr>
            <w:r>
              <w:t>The original raw SMS text.</w:t>
            </w:r>
          </w:p>
        </w:tc>
        <w:tc>
          <w:tcPr>
            <w:tcW w:w="1612" w:type="dxa"/>
          </w:tcPr>
          <w:p w:rsidR="00986AE3" w:rsidRDefault="00986AE3" w:rsidP="00E231B9">
            <w:pPr>
              <w:ind w:firstLine="0"/>
              <w:rPr>
                <w:i/>
              </w:rPr>
            </w:pPr>
            <w:r>
              <w:rPr>
                <w:i/>
              </w:rPr>
              <w:t>“quy khach co hoa don tien dien can thanh toan…”</w:t>
            </w:r>
          </w:p>
        </w:tc>
      </w:tr>
      <w:tr w:rsidR="00986AE3" w:rsidTr="00F76C3D">
        <w:tc>
          <w:tcPr>
            <w:tcW w:w="2022" w:type="dxa"/>
            <w:vMerge/>
          </w:tcPr>
          <w:p w:rsidR="00986AE3" w:rsidRDefault="00986AE3" w:rsidP="00E231B9">
            <w:pPr>
              <w:ind w:firstLine="0"/>
            </w:pPr>
          </w:p>
        </w:tc>
        <w:tc>
          <w:tcPr>
            <w:tcW w:w="1270" w:type="dxa"/>
          </w:tcPr>
          <w:p w:rsidR="00986AE3" w:rsidRDefault="00986AE3" w:rsidP="00E231B9">
            <w:pPr>
              <w:ind w:firstLine="0"/>
            </w:pPr>
            <w:r>
              <w:t>source</w:t>
            </w:r>
          </w:p>
        </w:tc>
        <w:tc>
          <w:tcPr>
            <w:tcW w:w="898" w:type="dxa"/>
          </w:tcPr>
          <w:p w:rsidR="00986AE3" w:rsidRDefault="00986AE3" w:rsidP="00E231B9">
            <w:pPr>
              <w:ind w:firstLine="0"/>
            </w:pPr>
            <w:r>
              <w:t>String</w:t>
            </w:r>
          </w:p>
        </w:tc>
        <w:tc>
          <w:tcPr>
            <w:tcW w:w="1332" w:type="dxa"/>
          </w:tcPr>
          <w:p w:rsidR="00986AE3" w:rsidRDefault="00986AE3" w:rsidP="00E231B9">
            <w:pPr>
              <w:ind w:firstLine="0"/>
            </w:pPr>
            <w:r>
              <w:t>Origin repository (crawl, user_report, whitelist).</w:t>
            </w:r>
          </w:p>
        </w:tc>
        <w:tc>
          <w:tcPr>
            <w:tcW w:w="1612" w:type="dxa"/>
          </w:tcPr>
          <w:p w:rsidR="00986AE3" w:rsidRDefault="00986AE3" w:rsidP="00E231B9">
            <w:pPr>
              <w:ind w:firstLine="0"/>
              <w:rPr>
                <w:i/>
              </w:rPr>
            </w:pPr>
            <w:r>
              <w:rPr>
                <w:i/>
              </w:rPr>
              <w:t>“internet”, “user_report”,…</w:t>
            </w:r>
          </w:p>
        </w:tc>
      </w:tr>
      <w:tr w:rsidR="00986AE3" w:rsidTr="00F76C3D">
        <w:tc>
          <w:tcPr>
            <w:tcW w:w="2022" w:type="dxa"/>
            <w:vMerge/>
          </w:tcPr>
          <w:p w:rsidR="00986AE3" w:rsidRDefault="00986AE3" w:rsidP="00E231B9">
            <w:pPr>
              <w:ind w:firstLine="0"/>
            </w:pPr>
          </w:p>
        </w:tc>
        <w:tc>
          <w:tcPr>
            <w:tcW w:w="1270" w:type="dxa"/>
          </w:tcPr>
          <w:p w:rsidR="00986AE3" w:rsidRDefault="00986AE3" w:rsidP="00E231B9">
            <w:pPr>
              <w:ind w:firstLine="0"/>
            </w:pPr>
            <w:r>
              <w:t>gold_label</w:t>
            </w:r>
          </w:p>
        </w:tc>
        <w:tc>
          <w:tcPr>
            <w:tcW w:w="898" w:type="dxa"/>
          </w:tcPr>
          <w:p w:rsidR="00986AE3" w:rsidRDefault="00986AE3" w:rsidP="00E231B9">
            <w:pPr>
              <w:ind w:firstLine="0"/>
            </w:pPr>
            <w:r>
              <w:t>String</w:t>
            </w:r>
          </w:p>
        </w:tc>
        <w:tc>
          <w:tcPr>
            <w:tcW w:w="1332" w:type="dxa"/>
          </w:tcPr>
          <w:p w:rsidR="00986AE3" w:rsidRDefault="00986AE3" w:rsidP="00E231B9">
            <w:pPr>
              <w:ind w:firstLine="0"/>
            </w:pPr>
            <w:r>
              <w:t>The definitive adjudicated class</w:t>
            </w:r>
          </w:p>
        </w:tc>
        <w:tc>
          <w:tcPr>
            <w:tcW w:w="1612" w:type="dxa"/>
          </w:tcPr>
          <w:p w:rsidR="00986AE3" w:rsidRDefault="00986AE3" w:rsidP="00E231B9">
            <w:pPr>
              <w:ind w:firstLine="0"/>
            </w:pPr>
            <w:r>
              <w:t>HAM or SPAM</w:t>
            </w:r>
          </w:p>
        </w:tc>
      </w:tr>
      <w:tr w:rsidR="00986AE3" w:rsidTr="00F76C3D">
        <w:tc>
          <w:tcPr>
            <w:tcW w:w="2022" w:type="dxa"/>
            <w:vMerge/>
          </w:tcPr>
          <w:p w:rsidR="00986AE3" w:rsidRDefault="00986AE3" w:rsidP="00E231B9">
            <w:pPr>
              <w:ind w:firstLine="0"/>
            </w:pPr>
          </w:p>
        </w:tc>
        <w:tc>
          <w:tcPr>
            <w:tcW w:w="1270" w:type="dxa"/>
          </w:tcPr>
          <w:p w:rsidR="00986AE3" w:rsidRDefault="00986AE3" w:rsidP="00E231B9">
            <w:pPr>
              <w:ind w:firstLine="0"/>
            </w:pPr>
            <w:r>
              <w:t>agreement</w:t>
            </w:r>
          </w:p>
        </w:tc>
        <w:tc>
          <w:tcPr>
            <w:tcW w:w="898" w:type="dxa"/>
          </w:tcPr>
          <w:p w:rsidR="00986AE3" w:rsidRDefault="00986AE3" w:rsidP="00E231B9">
            <w:pPr>
              <w:ind w:firstLine="0"/>
            </w:pPr>
            <w:r>
              <w:t>Integer</w:t>
            </w:r>
          </w:p>
        </w:tc>
        <w:tc>
          <w:tcPr>
            <w:tcW w:w="1332" w:type="dxa"/>
          </w:tcPr>
          <w:p w:rsidR="00986AE3" w:rsidRDefault="00986AE3" w:rsidP="00E231B9">
            <w:pPr>
              <w:ind w:firstLine="0"/>
            </w:pPr>
            <w:r>
              <w:t>Matching votes among the 10 annotators.</w:t>
            </w:r>
          </w:p>
        </w:tc>
        <w:tc>
          <w:tcPr>
            <w:tcW w:w="1612" w:type="dxa"/>
          </w:tcPr>
          <w:p w:rsidR="00986AE3" w:rsidRDefault="00986AE3" w:rsidP="00E231B9">
            <w:pPr>
              <w:ind w:firstLine="0"/>
              <w:rPr>
                <w:i/>
              </w:rPr>
            </w:pPr>
            <w:r>
              <w:rPr>
                <w:i/>
              </w:rPr>
              <w:t>“10”,“9”,“8”,…</w:t>
            </w:r>
          </w:p>
        </w:tc>
      </w:tr>
      <w:tr w:rsidR="00986AE3" w:rsidTr="00F76C3D">
        <w:tc>
          <w:tcPr>
            <w:tcW w:w="2022" w:type="dxa"/>
            <w:vMerge w:val="restart"/>
          </w:tcPr>
          <w:p w:rsidR="00986AE3" w:rsidRDefault="00986AE3" w:rsidP="00E231B9">
            <w:pPr>
              <w:ind w:firstLine="0"/>
            </w:pPr>
            <w:r>
              <w:t>gold_standard.csv</w:t>
            </w:r>
          </w:p>
        </w:tc>
        <w:tc>
          <w:tcPr>
            <w:tcW w:w="1270" w:type="dxa"/>
          </w:tcPr>
          <w:p w:rsidR="00986AE3" w:rsidRDefault="00986AE3" w:rsidP="00E231B9">
            <w:pPr>
              <w:ind w:firstLine="0"/>
            </w:pPr>
            <w:r>
              <w:t>text</w:t>
            </w:r>
          </w:p>
        </w:tc>
        <w:tc>
          <w:tcPr>
            <w:tcW w:w="898" w:type="dxa"/>
          </w:tcPr>
          <w:p w:rsidR="00986AE3" w:rsidRDefault="00986AE3" w:rsidP="00E231B9">
            <w:pPr>
              <w:ind w:firstLine="0"/>
            </w:pPr>
            <w:r>
              <w:t>String</w:t>
            </w:r>
          </w:p>
        </w:tc>
        <w:tc>
          <w:tcPr>
            <w:tcW w:w="1332" w:type="dxa"/>
          </w:tcPr>
          <w:p w:rsidR="00986AE3" w:rsidRDefault="00986AE3" w:rsidP="00E231B9">
            <w:pPr>
              <w:ind w:firstLine="0"/>
            </w:pPr>
            <w:r>
              <w:t>Streamlined text content ready for tokenization.</w:t>
            </w:r>
          </w:p>
        </w:tc>
        <w:tc>
          <w:tcPr>
            <w:tcW w:w="1612" w:type="dxa"/>
          </w:tcPr>
          <w:p w:rsidR="00986AE3" w:rsidRDefault="00986AE3" w:rsidP="00E231B9">
            <w:pPr>
              <w:ind w:firstLine="0"/>
              <w:rPr>
                <w:i/>
              </w:rPr>
            </w:pPr>
            <w:r>
              <w:rPr>
                <w:i/>
              </w:rPr>
              <w:t>"Chuc mung TB 093xxx trung thuong..."</w:t>
            </w:r>
          </w:p>
        </w:tc>
      </w:tr>
      <w:tr w:rsidR="00986AE3" w:rsidTr="00F76C3D">
        <w:tc>
          <w:tcPr>
            <w:tcW w:w="2022" w:type="dxa"/>
            <w:vMerge/>
          </w:tcPr>
          <w:p w:rsidR="00986AE3" w:rsidRDefault="00986AE3" w:rsidP="00E231B9">
            <w:pPr>
              <w:ind w:firstLine="0"/>
            </w:pPr>
          </w:p>
        </w:tc>
        <w:tc>
          <w:tcPr>
            <w:tcW w:w="1270" w:type="dxa"/>
          </w:tcPr>
          <w:p w:rsidR="00986AE3" w:rsidRDefault="00986AE3" w:rsidP="00E231B9">
            <w:pPr>
              <w:ind w:firstLine="0"/>
            </w:pPr>
            <w:r>
              <w:t>label</w:t>
            </w:r>
          </w:p>
        </w:tc>
        <w:tc>
          <w:tcPr>
            <w:tcW w:w="898" w:type="dxa"/>
          </w:tcPr>
          <w:p w:rsidR="00986AE3" w:rsidRDefault="00986AE3" w:rsidP="00E231B9">
            <w:pPr>
              <w:ind w:firstLine="0"/>
            </w:pPr>
            <w:r>
              <w:t>String</w:t>
            </w:r>
          </w:p>
        </w:tc>
        <w:tc>
          <w:tcPr>
            <w:tcW w:w="1332" w:type="dxa"/>
          </w:tcPr>
          <w:p w:rsidR="00986AE3" w:rsidRDefault="00986AE3" w:rsidP="00E231B9">
            <w:pPr>
              <w:ind w:firstLine="0"/>
            </w:pPr>
            <w:r>
              <w:t>Clean target label for model training</w:t>
            </w:r>
          </w:p>
        </w:tc>
        <w:tc>
          <w:tcPr>
            <w:tcW w:w="1612" w:type="dxa"/>
          </w:tcPr>
          <w:p w:rsidR="00986AE3" w:rsidRDefault="00986AE3" w:rsidP="00E231B9">
            <w:pPr>
              <w:ind w:firstLine="0"/>
            </w:pPr>
            <w:r>
              <w:t>HAM or SPAM</w:t>
            </w:r>
          </w:p>
        </w:tc>
      </w:tr>
      <w:tr w:rsidR="00F76C3D" w:rsidTr="00F76C3D">
        <w:tc>
          <w:tcPr>
            <w:tcW w:w="2022" w:type="dxa"/>
            <w:vMerge w:val="restart"/>
          </w:tcPr>
          <w:p w:rsidR="00F76C3D" w:rsidRPr="00386492" w:rsidRDefault="00F76C3D" w:rsidP="00E231B9">
            <w:pPr>
              <w:ind w:firstLine="0"/>
              <w:rPr>
                <w:highlight w:val="yellow"/>
              </w:rPr>
            </w:pPr>
            <w:r w:rsidRPr="00386492">
              <w:rPr>
                <w:highlight w:val="yellow"/>
              </w:rPr>
              <w:t>benchmark_subset.csv</w:t>
            </w:r>
          </w:p>
        </w:tc>
        <w:tc>
          <w:tcPr>
            <w:tcW w:w="1270" w:type="dxa"/>
          </w:tcPr>
          <w:p w:rsidR="00F76C3D" w:rsidRPr="00386492" w:rsidRDefault="00F76C3D" w:rsidP="00E231B9">
            <w:pPr>
              <w:ind w:firstLine="0"/>
              <w:rPr>
                <w:highlight w:val="yellow"/>
              </w:rPr>
            </w:pPr>
            <w:r w:rsidRPr="00386492">
              <w:rPr>
                <w:highlight w:val="yellow"/>
              </w:rPr>
              <w:t>text</w:t>
            </w:r>
          </w:p>
        </w:tc>
        <w:tc>
          <w:tcPr>
            <w:tcW w:w="898" w:type="dxa"/>
          </w:tcPr>
          <w:p w:rsidR="00F76C3D" w:rsidRPr="00386492" w:rsidRDefault="00F76C3D" w:rsidP="00E231B9">
            <w:pPr>
              <w:ind w:firstLine="0"/>
              <w:rPr>
                <w:highlight w:val="yellow"/>
              </w:rPr>
            </w:pPr>
            <w:r w:rsidRPr="00386492">
              <w:rPr>
                <w:highlight w:val="yellow"/>
              </w:rPr>
              <w:t>String</w:t>
            </w:r>
          </w:p>
        </w:tc>
        <w:tc>
          <w:tcPr>
            <w:tcW w:w="1332" w:type="dxa"/>
          </w:tcPr>
          <w:p w:rsidR="00F76C3D" w:rsidRPr="00386492" w:rsidRDefault="00F76C3D" w:rsidP="00E231B9">
            <w:pPr>
              <w:ind w:firstLine="0"/>
              <w:rPr>
                <w:highlight w:val="yellow"/>
              </w:rPr>
            </w:pPr>
            <w:r w:rsidRPr="00386492">
              <w:rPr>
                <w:highlight w:val="yellow"/>
              </w:rPr>
              <w:t>Preprocessed SMS text selected for leakage-</w:t>
            </w:r>
            <w:r w:rsidRPr="00386492">
              <w:rPr>
                <w:highlight w:val="yellow"/>
              </w:rPr>
              <w:lastRenderedPageBreak/>
              <w:t>controlled benchmark evaluation after near-duplicate removal.</w:t>
            </w:r>
          </w:p>
        </w:tc>
        <w:tc>
          <w:tcPr>
            <w:tcW w:w="1612" w:type="dxa"/>
          </w:tcPr>
          <w:p w:rsidR="00F76C3D" w:rsidRPr="00386492" w:rsidRDefault="00386492" w:rsidP="00E231B9">
            <w:pPr>
              <w:ind w:firstLine="0"/>
              <w:rPr>
                <w:highlight w:val="yellow"/>
              </w:rPr>
            </w:pPr>
            <w:r w:rsidRPr="00386492">
              <w:rPr>
                <w:i/>
                <w:highlight w:val="yellow"/>
              </w:rPr>
              <w:lastRenderedPageBreak/>
              <w:t>"Chuc mung TB 093xxx trung thuong..."</w:t>
            </w:r>
          </w:p>
        </w:tc>
      </w:tr>
      <w:tr w:rsidR="00386492" w:rsidTr="00F76C3D">
        <w:tc>
          <w:tcPr>
            <w:tcW w:w="2022" w:type="dxa"/>
            <w:vMerge/>
          </w:tcPr>
          <w:p w:rsidR="00386492" w:rsidRPr="00386492" w:rsidRDefault="00386492" w:rsidP="00386492">
            <w:pPr>
              <w:ind w:firstLine="0"/>
              <w:rPr>
                <w:highlight w:val="yellow"/>
              </w:rPr>
            </w:pPr>
          </w:p>
        </w:tc>
        <w:tc>
          <w:tcPr>
            <w:tcW w:w="1270" w:type="dxa"/>
          </w:tcPr>
          <w:p w:rsidR="00386492" w:rsidRPr="00386492" w:rsidRDefault="00386492" w:rsidP="00386492">
            <w:pPr>
              <w:ind w:firstLine="0"/>
              <w:rPr>
                <w:highlight w:val="yellow"/>
              </w:rPr>
            </w:pPr>
            <w:r w:rsidRPr="00386492">
              <w:rPr>
                <w:highlight w:val="yellow"/>
              </w:rPr>
              <w:t>label</w:t>
            </w:r>
          </w:p>
        </w:tc>
        <w:tc>
          <w:tcPr>
            <w:tcW w:w="898" w:type="dxa"/>
          </w:tcPr>
          <w:p w:rsidR="00386492" w:rsidRPr="00386492" w:rsidRDefault="00386492" w:rsidP="00386492">
            <w:pPr>
              <w:ind w:firstLine="0"/>
              <w:rPr>
                <w:highlight w:val="yellow"/>
              </w:rPr>
            </w:pPr>
            <w:r w:rsidRPr="00386492">
              <w:rPr>
                <w:highlight w:val="yellow"/>
              </w:rPr>
              <w:t>String</w:t>
            </w:r>
          </w:p>
        </w:tc>
        <w:tc>
          <w:tcPr>
            <w:tcW w:w="1332" w:type="dxa"/>
          </w:tcPr>
          <w:p w:rsidR="00386492" w:rsidRPr="00386492" w:rsidRDefault="00386492" w:rsidP="00386492">
            <w:pPr>
              <w:ind w:firstLine="0"/>
              <w:rPr>
                <w:highlight w:val="yellow"/>
              </w:rPr>
            </w:pPr>
            <w:r w:rsidRPr="00386492">
              <w:rPr>
                <w:highlight w:val="yellow"/>
              </w:rPr>
              <w:t>Clean target label for model training</w:t>
            </w:r>
          </w:p>
        </w:tc>
        <w:tc>
          <w:tcPr>
            <w:tcW w:w="1612" w:type="dxa"/>
          </w:tcPr>
          <w:p w:rsidR="00386492" w:rsidRPr="00386492" w:rsidRDefault="00386492" w:rsidP="00386492">
            <w:pPr>
              <w:ind w:firstLine="0"/>
              <w:rPr>
                <w:highlight w:val="yellow"/>
              </w:rPr>
            </w:pPr>
            <w:r w:rsidRPr="00386492">
              <w:rPr>
                <w:highlight w:val="yellow"/>
              </w:rPr>
              <w:t>HAM or SPAM</w:t>
            </w:r>
          </w:p>
        </w:tc>
      </w:tr>
    </w:tbl>
    <w:p w:rsidR="00986AE3" w:rsidRDefault="00986AE3" w:rsidP="00986AE3">
      <w:pPr>
        <w:pStyle w:val="tablecaption"/>
        <w:jc w:val="both"/>
        <w:rPr>
          <w:lang w:val="en-GB"/>
        </w:rPr>
      </w:pPr>
      <w:r>
        <w:rPr>
          <w:b/>
        </w:rPr>
        <w:t xml:space="preserve">Table </w:t>
      </w:r>
      <w:r>
        <w:rPr>
          <w:b/>
        </w:rPr>
        <w:fldChar w:fldCharType="begin"/>
      </w:r>
      <w:r>
        <w:rPr>
          <w:b/>
        </w:rPr>
        <w:instrText xml:space="preserve"> SEQ "Table" \* MERGEFORMAT </w:instrText>
      </w:r>
      <w:r>
        <w:rPr>
          <w:b/>
        </w:rPr>
        <w:fldChar w:fldCharType="separate"/>
      </w:r>
      <w:r w:rsidR="00386492">
        <w:rPr>
          <w:b/>
          <w:noProof/>
        </w:rPr>
        <w:t>3</w:t>
      </w:r>
      <w:r>
        <w:rPr>
          <w:b/>
        </w:rPr>
        <w:fldChar w:fldCharType="end"/>
      </w:r>
      <w:r>
        <w:rPr>
          <w:b/>
        </w:rPr>
        <w:t>.</w:t>
      </w:r>
      <w:r>
        <w:t xml:space="preserve"> </w:t>
      </w:r>
      <w:r w:rsidRPr="0039043B">
        <w:t>Attribute</w:t>
      </w:r>
      <w:r>
        <w:t xml:space="preserve"> schema comparison between the raw master corpus and the gold-standard file.</w:t>
      </w:r>
    </w:p>
    <w:p w:rsidR="00986AE3" w:rsidRDefault="00986AE3" w:rsidP="00986AE3">
      <w:pPr>
        <w:pStyle w:val="heading1"/>
        <w:tabs>
          <w:tab w:val="left" w:pos="567"/>
        </w:tabs>
        <w:ind w:right="567"/>
      </w:pPr>
      <w:r>
        <w:t>Experimental Results</w:t>
      </w:r>
    </w:p>
    <w:p w:rsidR="00986AE3" w:rsidRDefault="00986AE3" w:rsidP="00986AE3">
      <w:pPr>
        <w:pStyle w:val="heading2"/>
        <w:tabs>
          <w:tab w:val="left" w:pos="567"/>
        </w:tabs>
        <w:spacing w:before="0"/>
        <w:ind w:right="567"/>
      </w:pPr>
      <w:r>
        <w:t>Initial Annotation Results</w:t>
      </w:r>
    </w:p>
    <w:p w:rsidR="00986AE3" w:rsidRDefault="00986AE3" w:rsidP="00986AE3">
      <w:r>
        <w:t>Following the independent annotation process described in Section 2, ten annotators completed the labeling task using the standardized Annotation Guideline. At this stage, the annotation results represent the initial labeling outcomes before the disagreement resolution and quality assurance procedures were applied. Therefore, the statistics presented in this section are intended to evaluate the consistency of the annotation process rather than the characteristics of the final released dataset.</w:t>
      </w:r>
    </w:p>
    <w:p w:rsidR="00986AE3" w:rsidRDefault="00986AE3" w:rsidP="00986AE3"/>
    <w:tbl>
      <w:tblPr>
        <w:tblStyle w:val="TableGrid"/>
        <w:tblW w:w="0" w:type="auto"/>
        <w:tblInd w:w="448" w:type="dxa"/>
        <w:tblLook w:val="04A0" w:firstRow="1" w:lastRow="0" w:firstColumn="1" w:lastColumn="0" w:noHBand="0" w:noVBand="1"/>
      </w:tblPr>
      <w:tblGrid>
        <w:gridCol w:w="3062"/>
        <w:gridCol w:w="2694"/>
      </w:tblGrid>
      <w:tr w:rsidR="00986AE3" w:rsidTr="00E231B9">
        <w:trPr>
          <w:trHeight w:val="328"/>
        </w:trPr>
        <w:tc>
          <w:tcPr>
            <w:tcW w:w="3062" w:type="dxa"/>
          </w:tcPr>
          <w:p w:rsidR="00986AE3" w:rsidRDefault="00986AE3" w:rsidP="00E231B9">
            <w:pPr>
              <w:ind w:firstLine="0"/>
            </w:pPr>
            <w:r>
              <w:t>SMS Annotated</w:t>
            </w:r>
          </w:p>
        </w:tc>
        <w:tc>
          <w:tcPr>
            <w:tcW w:w="2694" w:type="dxa"/>
          </w:tcPr>
          <w:p w:rsidR="00986AE3" w:rsidRDefault="00986AE3" w:rsidP="00E231B9">
            <w:pPr>
              <w:ind w:firstLine="0"/>
            </w:pPr>
            <w:r w:rsidRPr="00386492">
              <w:rPr>
                <w:highlight w:val="yellow"/>
              </w:rPr>
              <w:t>2007</w:t>
            </w:r>
          </w:p>
        </w:tc>
      </w:tr>
      <w:tr w:rsidR="00986AE3" w:rsidTr="00E231B9">
        <w:trPr>
          <w:trHeight w:val="328"/>
        </w:trPr>
        <w:tc>
          <w:tcPr>
            <w:tcW w:w="3062" w:type="dxa"/>
          </w:tcPr>
          <w:p w:rsidR="00986AE3" w:rsidRDefault="00986AE3" w:rsidP="00E231B9">
            <w:pPr>
              <w:ind w:firstLine="0"/>
            </w:pPr>
            <w:r>
              <w:t>Annotator</w:t>
            </w:r>
          </w:p>
        </w:tc>
        <w:tc>
          <w:tcPr>
            <w:tcW w:w="2694" w:type="dxa"/>
          </w:tcPr>
          <w:p w:rsidR="00986AE3" w:rsidRDefault="00986AE3" w:rsidP="00E231B9">
            <w:pPr>
              <w:ind w:firstLine="0"/>
            </w:pPr>
            <w:r>
              <w:t>10</w:t>
            </w:r>
          </w:p>
        </w:tc>
      </w:tr>
      <w:tr w:rsidR="00986AE3" w:rsidTr="00E231B9">
        <w:trPr>
          <w:trHeight w:val="328"/>
        </w:trPr>
        <w:tc>
          <w:tcPr>
            <w:tcW w:w="3062" w:type="dxa"/>
          </w:tcPr>
          <w:p w:rsidR="00986AE3" w:rsidRDefault="00986AE3" w:rsidP="00E231B9">
            <w:pPr>
              <w:ind w:firstLine="0"/>
            </w:pPr>
            <w:r>
              <w:t>Label per message</w:t>
            </w:r>
          </w:p>
        </w:tc>
        <w:tc>
          <w:tcPr>
            <w:tcW w:w="2694" w:type="dxa"/>
          </w:tcPr>
          <w:p w:rsidR="00986AE3" w:rsidRDefault="00986AE3" w:rsidP="00E231B9">
            <w:pPr>
              <w:ind w:firstLine="0"/>
            </w:pPr>
            <w:r>
              <w:t>10</w:t>
            </w:r>
          </w:p>
        </w:tc>
      </w:tr>
      <w:tr w:rsidR="00986AE3" w:rsidTr="00E231B9">
        <w:trPr>
          <w:trHeight w:val="328"/>
        </w:trPr>
        <w:tc>
          <w:tcPr>
            <w:tcW w:w="3062" w:type="dxa"/>
          </w:tcPr>
          <w:p w:rsidR="00986AE3" w:rsidRDefault="00986AE3" w:rsidP="00E231B9">
            <w:pPr>
              <w:ind w:firstLine="0"/>
            </w:pPr>
            <w:r>
              <w:t>Total annotation decisions</w:t>
            </w:r>
          </w:p>
        </w:tc>
        <w:tc>
          <w:tcPr>
            <w:tcW w:w="2694" w:type="dxa"/>
          </w:tcPr>
          <w:p w:rsidR="00986AE3" w:rsidRPr="00386492" w:rsidRDefault="00986AE3" w:rsidP="00E231B9">
            <w:pPr>
              <w:ind w:firstLine="0"/>
              <w:rPr>
                <w:highlight w:val="yellow"/>
              </w:rPr>
            </w:pPr>
            <w:r w:rsidRPr="00386492">
              <w:rPr>
                <w:highlight w:val="yellow"/>
              </w:rPr>
              <w:t>20070</w:t>
            </w:r>
          </w:p>
        </w:tc>
      </w:tr>
    </w:tbl>
    <w:p w:rsidR="00986AE3" w:rsidRDefault="00986AE3" w:rsidP="00986AE3">
      <w:pPr>
        <w:pStyle w:val="tablecaption"/>
      </w:pPr>
      <w:r>
        <w:rPr>
          <w:b/>
        </w:rPr>
        <w:t xml:space="preserve">Table </w:t>
      </w:r>
      <w:r>
        <w:rPr>
          <w:b/>
        </w:rPr>
        <w:fldChar w:fldCharType="begin"/>
      </w:r>
      <w:r>
        <w:rPr>
          <w:b/>
        </w:rPr>
        <w:instrText xml:space="preserve"> SEQ "Table" \* MERGEFORMAT </w:instrText>
      </w:r>
      <w:r>
        <w:rPr>
          <w:b/>
        </w:rPr>
        <w:fldChar w:fldCharType="separate"/>
      </w:r>
      <w:r w:rsidR="00386492">
        <w:rPr>
          <w:b/>
          <w:noProof/>
        </w:rPr>
        <w:t>4</w:t>
      </w:r>
      <w:r>
        <w:rPr>
          <w:b/>
        </w:rPr>
        <w:fldChar w:fldCharType="end"/>
      </w:r>
      <w:r>
        <w:rPr>
          <w:b/>
        </w:rPr>
        <w:t>.</w:t>
      </w:r>
      <w:r>
        <w:t xml:space="preserve"> </w:t>
      </w:r>
      <w:r w:rsidRPr="0039043B">
        <w:t>Initial</w:t>
      </w:r>
      <w:r>
        <w:t xml:space="preserve"> Annotation Summary</w:t>
      </w:r>
    </w:p>
    <w:tbl>
      <w:tblPr>
        <w:tblStyle w:val="TableGrid"/>
        <w:tblpPr w:leftFromText="180" w:rightFromText="180" w:vertAnchor="text" w:tblpX="9519" w:tblpY="-677"/>
        <w:tblOverlap w:val="never"/>
        <w:tblW w:w="0" w:type="auto"/>
        <w:tblLook w:val="04A0" w:firstRow="1" w:lastRow="0" w:firstColumn="1" w:lastColumn="0" w:noHBand="0" w:noVBand="1"/>
      </w:tblPr>
      <w:tblGrid>
        <w:gridCol w:w="3774"/>
      </w:tblGrid>
      <w:tr w:rsidR="00986AE3" w:rsidTr="00E231B9">
        <w:trPr>
          <w:trHeight w:val="30"/>
        </w:trPr>
        <w:tc>
          <w:tcPr>
            <w:tcW w:w="3774" w:type="dxa"/>
          </w:tcPr>
          <w:p w:rsidR="00986AE3" w:rsidRDefault="00986AE3" w:rsidP="00E231B9"/>
        </w:tc>
      </w:tr>
    </w:tbl>
    <w:p w:rsidR="00986AE3" w:rsidRDefault="00986AE3" w:rsidP="00986AE3">
      <w:pPr>
        <w:pStyle w:val="heading2"/>
        <w:tabs>
          <w:tab w:val="left" w:pos="567"/>
        </w:tabs>
        <w:ind w:right="567"/>
      </w:pPr>
      <w:r>
        <w:t>Inter-Annotator Agreement</w:t>
      </w:r>
    </w:p>
    <w:p w:rsidR="00986AE3" w:rsidRDefault="00986AE3" w:rsidP="00986AE3">
      <w:r>
        <w:t>Following the first-stage annotation process, each SMS message was independently labeled by ten annotators according to the Annotation Guideline described in Section 2. To evaluate annotation consistency, the individual annotation files were merged by SMS identifier, allowing the labels assigned by different annotators to be aligned and compared on a message-by-message basis.</w:t>
      </w:r>
    </w:p>
    <w:p w:rsidR="00986AE3" w:rsidRDefault="00986AE3" w:rsidP="00986AE3">
      <w:r>
        <w:t xml:space="preserve">The merged annotation matrix was evaluated using Fleiss' Kappa, a statistical measure designed to assess agreement among multiple annotators assigning categorical labels to the same set of instances [8, 10]. Unlike Cohen's Kappa, which is mathematically restricted to a fixed pair of exactly two raters [5, 9], Cohen's framework is </w:t>
      </w:r>
      <w:r>
        <w:lastRenderedPageBreak/>
        <w:t>fundamentally unsuitable for this study because each SMS message was independently annotated by a larger group of ten annotators. Consequently, Fleiss' Kappa is uniquely appropriate as it accommodates an arbitrary number of raters per item and estimates the degree to which the observed consensus exceeds the chance-expected agreement [8].</w:t>
      </w:r>
    </w:p>
    <w:p w:rsidR="00986AE3" w:rsidRDefault="00986AE3" w:rsidP="00986AE3">
      <w:r>
        <w:t>The Fleiss' Kappa coefficient is computed as follows:</w:t>
      </w:r>
    </w:p>
    <w:p w:rsidR="00986AE3" w:rsidRDefault="00986AE3" w:rsidP="00986AE3">
      <w:pPr>
        <w:pStyle w:val="equation"/>
      </w:pPr>
      <w:r>
        <w:rPr>
          <w:rStyle w:val="vlist-s"/>
        </w:rPr>
        <w:tab/>
        <w:t>​​</w:t>
      </w:r>
      <m:oMath>
        <m:r>
          <w:rPr>
            <w:rFonts w:ascii="Cambria Math" w:hAnsi="Cambria Math"/>
          </w:rPr>
          <m:t>κ</m:t>
        </m:r>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P</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P</m:t>
                    </m:r>
                  </m:e>
                </m:acc>
              </m:e>
              <m:sub>
                <m:r>
                  <w:rPr>
                    <w:rFonts w:ascii="Cambria Math" w:hAnsi="Cambria Math"/>
                  </w:rPr>
                  <m:t>e</m:t>
                </m:r>
              </m:sub>
            </m:sSub>
          </m:num>
          <m:den>
            <m:r>
              <m:rPr>
                <m:sty m:val="p"/>
              </m:rPr>
              <w:rPr>
                <w:rFonts w:ascii="Cambria Math" w:hAnsi="Cambria Math"/>
              </w:rPr>
              <m:t>1-</m:t>
            </m:r>
            <m:sSub>
              <m:sSubPr>
                <m:ctrlPr>
                  <w:rPr>
                    <w:rFonts w:ascii="Cambria Math" w:hAnsi="Cambria Math"/>
                  </w:rPr>
                </m:ctrlPr>
              </m:sSubPr>
              <m:e>
                <m:acc>
                  <m:accPr>
                    <m:chr m:val="̄"/>
                    <m:ctrlPr>
                      <w:rPr>
                        <w:rFonts w:ascii="Cambria Math" w:hAnsi="Cambria Math"/>
                      </w:rPr>
                    </m:ctrlPr>
                  </m:accPr>
                  <m:e>
                    <m:r>
                      <w:rPr>
                        <w:rFonts w:ascii="Cambria Math" w:hAnsi="Cambria Math"/>
                      </w:rPr>
                      <m:t>P</m:t>
                    </m:r>
                  </m:e>
                </m:acc>
              </m:e>
              <m:sub>
                <m:r>
                  <w:rPr>
                    <w:rFonts w:ascii="Cambria Math" w:hAnsi="Cambria Math"/>
                  </w:rPr>
                  <m:t>e</m:t>
                </m:r>
              </m:sub>
            </m:sSub>
          </m:den>
        </m:f>
      </m:oMath>
      <w:r>
        <w:t xml:space="preserve"> </w:t>
      </w:r>
      <w:r>
        <w:tab/>
        <w:t>(</w:t>
      </w:r>
      <w:fldSimple w:instr=" SEQ &quot;equation&quot; \n \* MERGEFORMAT ">
        <w:r w:rsidR="00386492">
          <w:rPr>
            <w:noProof/>
          </w:rPr>
          <w:t>1</w:t>
        </w:r>
      </w:fldSimple>
      <w:r>
        <w:t>)</w:t>
      </w:r>
    </w:p>
    <w:p w:rsidR="00986AE3" w:rsidRDefault="00986AE3" w:rsidP="00986AE3">
      <w:pPr>
        <w:pStyle w:val="p1a"/>
      </w:pPr>
      <w:r>
        <w:t xml:space="preserve">Where </w:t>
      </w:r>
      <m:oMath>
        <m:acc>
          <m:accPr>
            <m:chr m:val="̅"/>
            <m:ctrlPr>
              <w:rPr>
                <w:rFonts w:ascii="Cambria Math" w:hAnsi="Cambria Math"/>
                <w:i/>
              </w:rPr>
            </m:ctrlPr>
          </m:accPr>
          <m:e>
            <m:r>
              <w:rPr>
                <w:rFonts w:ascii="Cambria Math" w:hAnsi="Cambria Math"/>
              </w:rPr>
              <m:t>P</m:t>
            </m:r>
          </m:e>
        </m:acc>
      </m:oMath>
      <w:r>
        <w:t xml:space="preserve"> denotes the observed agreement among annotators and </w:t>
      </w:r>
      <m:oMath>
        <m:acc>
          <m:accPr>
            <m:chr m:val="̅"/>
            <m:ctrlPr>
              <w:rPr>
                <w:rFonts w:ascii="Cambria Math" w:hAnsi="Cambria Math"/>
                <w:i/>
              </w:rPr>
            </m:ctrlPr>
          </m:accPr>
          <m:e>
            <m:sSub>
              <m:sSubPr>
                <m:ctrlPr>
                  <w:rPr>
                    <w:rFonts w:ascii="Cambria Math" w:hAnsi="Cambria Math"/>
                    <w:i/>
                  </w:rPr>
                </m:ctrlPr>
              </m:sSubPr>
              <m:e>
                <m:r>
                  <w:rPr>
                    <w:rFonts w:ascii="Cambria Math" w:hAnsi="Cambria Math"/>
                  </w:rPr>
                  <m:t>P</m:t>
                </m:r>
              </m:e>
              <m:sub>
                <m:r>
                  <w:rPr>
                    <w:rFonts w:ascii="Cambria Math" w:hAnsi="Cambria Math"/>
                  </w:rPr>
                  <m:t>e</m:t>
                </m:r>
              </m:sub>
            </m:sSub>
          </m:e>
        </m:acc>
      </m:oMath>
      <w:r>
        <w:t>​ represents the expected agreement by chance. The observed agreement is obtained by averaging the agreement score of each SMS message, whereas the expected agreement is estimated from the overall distribution of annotation categories</w:t>
      </w:r>
    </w:p>
    <w:tbl>
      <w:tblPr>
        <w:tblStyle w:val="TableGrid"/>
        <w:tblW w:w="0" w:type="auto"/>
        <w:tblLook w:val="04A0" w:firstRow="1" w:lastRow="0" w:firstColumn="1" w:lastColumn="0" w:noHBand="0" w:noVBand="1"/>
      </w:tblPr>
      <w:tblGrid>
        <w:gridCol w:w="4673"/>
        <w:gridCol w:w="2233"/>
      </w:tblGrid>
      <w:tr w:rsidR="00986AE3" w:rsidTr="00E231B9">
        <w:tc>
          <w:tcPr>
            <w:tcW w:w="4673" w:type="dxa"/>
          </w:tcPr>
          <w:p w:rsidR="00986AE3" w:rsidRDefault="00986AE3" w:rsidP="00E231B9">
            <w:pPr>
              <w:ind w:firstLine="0"/>
              <w:rPr>
                <w:b/>
              </w:rPr>
            </w:pPr>
            <w:r>
              <w:rPr>
                <w:b/>
              </w:rPr>
              <w:t>Metric</w:t>
            </w:r>
          </w:p>
        </w:tc>
        <w:tc>
          <w:tcPr>
            <w:tcW w:w="2233" w:type="dxa"/>
          </w:tcPr>
          <w:p w:rsidR="00986AE3" w:rsidRDefault="00986AE3" w:rsidP="00E231B9">
            <w:pPr>
              <w:ind w:firstLine="0"/>
              <w:rPr>
                <w:b/>
              </w:rPr>
            </w:pPr>
            <w:r>
              <w:rPr>
                <w:b/>
              </w:rPr>
              <w:t>Value</w:t>
            </w:r>
          </w:p>
        </w:tc>
      </w:tr>
      <w:tr w:rsidR="00986AE3" w:rsidTr="00E231B9">
        <w:tc>
          <w:tcPr>
            <w:tcW w:w="4673" w:type="dxa"/>
          </w:tcPr>
          <w:p w:rsidR="00986AE3" w:rsidRDefault="00986AE3" w:rsidP="00E231B9">
            <w:pPr>
              <w:ind w:firstLine="0"/>
            </w:pPr>
            <w:r>
              <w:t>Total annotated SMS</w:t>
            </w:r>
          </w:p>
        </w:tc>
        <w:tc>
          <w:tcPr>
            <w:tcW w:w="2233" w:type="dxa"/>
          </w:tcPr>
          <w:p w:rsidR="00986AE3" w:rsidRPr="001048CA" w:rsidRDefault="00986AE3" w:rsidP="00E231B9">
            <w:pPr>
              <w:ind w:firstLine="0"/>
              <w:rPr>
                <w:highlight w:val="yellow"/>
              </w:rPr>
            </w:pPr>
            <w:r w:rsidRPr="001048CA">
              <w:rPr>
                <w:highlight w:val="yellow"/>
              </w:rPr>
              <w:t>2007</w:t>
            </w:r>
          </w:p>
        </w:tc>
      </w:tr>
      <w:tr w:rsidR="00986AE3" w:rsidTr="00E231B9">
        <w:tc>
          <w:tcPr>
            <w:tcW w:w="4673" w:type="dxa"/>
          </w:tcPr>
          <w:p w:rsidR="00986AE3" w:rsidRDefault="00986AE3" w:rsidP="00E231B9">
            <w:pPr>
              <w:ind w:firstLine="0"/>
            </w:pPr>
            <w:r>
              <w:t>Number of annotators</w:t>
            </w:r>
          </w:p>
        </w:tc>
        <w:tc>
          <w:tcPr>
            <w:tcW w:w="2233" w:type="dxa"/>
          </w:tcPr>
          <w:p w:rsidR="00986AE3" w:rsidRDefault="00986AE3" w:rsidP="00E231B9">
            <w:pPr>
              <w:ind w:firstLine="0"/>
            </w:pPr>
            <w:r>
              <w:t>10</w:t>
            </w:r>
          </w:p>
        </w:tc>
      </w:tr>
      <w:tr w:rsidR="00986AE3" w:rsidTr="00E231B9">
        <w:tc>
          <w:tcPr>
            <w:tcW w:w="4673" w:type="dxa"/>
          </w:tcPr>
          <w:p w:rsidR="00986AE3" w:rsidRDefault="00986AE3" w:rsidP="00E231B9">
            <w:pPr>
              <w:ind w:firstLine="0"/>
            </w:pPr>
            <w:r>
              <w:t>Annotation categories</w:t>
            </w:r>
          </w:p>
        </w:tc>
        <w:tc>
          <w:tcPr>
            <w:tcW w:w="2233" w:type="dxa"/>
          </w:tcPr>
          <w:p w:rsidR="00986AE3" w:rsidRDefault="00986AE3" w:rsidP="00E231B9">
            <w:pPr>
              <w:ind w:firstLine="0"/>
            </w:pPr>
            <w:r>
              <w:t>2</w:t>
            </w:r>
          </w:p>
        </w:tc>
      </w:tr>
      <w:tr w:rsidR="00986AE3" w:rsidTr="00E231B9">
        <w:tc>
          <w:tcPr>
            <w:tcW w:w="4673" w:type="dxa"/>
          </w:tcPr>
          <w:p w:rsidR="00986AE3" w:rsidRDefault="00986AE3" w:rsidP="00E231B9">
            <w:pPr>
              <w:ind w:firstLine="0"/>
            </w:pPr>
            <w:r>
              <w:t xml:space="preserve">Messages with complete agreement </w:t>
            </w:r>
          </w:p>
        </w:tc>
        <w:tc>
          <w:tcPr>
            <w:tcW w:w="2233" w:type="dxa"/>
          </w:tcPr>
          <w:p w:rsidR="00986AE3" w:rsidRDefault="00986AE3" w:rsidP="00E231B9">
            <w:pPr>
              <w:ind w:firstLine="0"/>
            </w:pPr>
            <w:r w:rsidRPr="001048CA">
              <w:rPr>
                <w:highlight w:val="yellow"/>
              </w:rPr>
              <w:t>1963</w:t>
            </w:r>
          </w:p>
        </w:tc>
      </w:tr>
      <w:tr w:rsidR="00986AE3" w:rsidTr="00E231B9">
        <w:tc>
          <w:tcPr>
            <w:tcW w:w="4673" w:type="dxa"/>
          </w:tcPr>
          <w:p w:rsidR="00986AE3" w:rsidRDefault="00986AE3" w:rsidP="00E231B9">
            <w:pPr>
              <w:ind w:firstLine="0"/>
            </w:pPr>
            <w:r>
              <w:t>Messages with disagreement</w:t>
            </w:r>
          </w:p>
        </w:tc>
        <w:tc>
          <w:tcPr>
            <w:tcW w:w="2233" w:type="dxa"/>
          </w:tcPr>
          <w:p w:rsidR="00986AE3" w:rsidRPr="001048CA" w:rsidRDefault="00986AE3" w:rsidP="00E231B9">
            <w:pPr>
              <w:ind w:firstLine="0"/>
              <w:rPr>
                <w:highlight w:val="yellow"/>
              </w:rPr>
            </w:pPr>
            <w:r w:rsidRPr="001048CA">
              <w:rPr>
                <w:highlight w:val="yellow"/>
              </w:rPr>
              <w:t>44</w:t>
            </w:r>
          </w:p>
        </w:tc>
      </w:tr>
      <w:tr w:rsidR="00986AE3" w:rsidTr="00E231B9">
        <w:tc>
          <w:tcPr>
            <w:tcW w:w="4673" w:type="dxa"/>
          </w:tcPr>
          <w:p w:rsidR="00986AE3" w:rsidRDefault="00986AE3" w:rsidP="00E231B9">
            <w:pPr>
              <w:ind w:firstLine="0"/>
            </w:pPr>
            <w:r>
              <w:t xml:space="preserve">Fleiss' Kappa </w:t>
            </w:r>
          </w:p>
        </w:tc>
        <w:tc>
          <w:tcPr>
            <w:tcW w:w="2233" w:type="dxa"/>
          </w:tcPr>
          <w:p w:rsidR="00986AE3" w:rsidRPr="001048CA" w:rsidRDefault="00986AE3" w:rsidP="00E231B9">
            <w:pPr>
              <w:ind w:firstLine="0"/>
              <w:rPr>
                <w:highlight w:val="yellow"/>
              </w:rPr>
            </w:pPr>
            <w:r w:rsidRPr="001048CA">
              <w:rPr>
                <w:highlight w:val="yellow"/>
              </w:rPr>
              <w:t>0.9856</w:t>
            </w:r>
          </w:p>
        </w:tc>
      </w:tr>
      <w:tr w:rsidR="00986AE3" w:rsidTr="00E231B9">
        <w:tc>
          <w:tcPr>
            <w:tcW w:w="4673" w:type="dxa"/>
          </w:tcPr>
          <w:p w:rsidR="00986AE3" w:rsidRDefault="00986AE3" w:rsidP="00E231B9">
            <w:pPr>
              <w:ind w:firstLine="0"/>
            </w:pPr>
            <w:r>
              <w:t>Agreement level (Landis &amp; Koch)</w:t>
            </w:r>
          </w:p>
        </w:tc>
        <w:tc>
          <w:tcPr>
            <w:tcW w:w="2233" w:type="dxa"/>
          </w:tcPr>
          <w:p w:rsidR="00986AE3" w:rsidRDefault="00986AE3" w:rsidP="00E231B9">
            <w:pPr>
              <w:ind w:firstLine="0"/>
            </w:pPr>
            <w:r>
              <w:t>Almost perfect</w:t>
            </w:r>
          </w:p>
        </w:tc>
      </w:tr>
    </w:tbl>
    <w:p w:rsidR="00986AE3" w:rsidRDefault="00986AE3" w:rsidP="00986AE3">
      <w:pPr>
        <w:pStyle w:val="tablecaption"/>
      </w:pPr>
      <w:r>
        <w:rPr>
          <w:b/>
        </w:rPr>
        <w:t xml:space="preserve">Table </w:t>
      </w:r>
      <w:r>
        <w:rPr>
          <w:b/>
        </w:rPr>
        <w:fldChar w:fldCharType="begin"/>
      </w:r>
      <w:r>
        <w:rPr>
          <w:b/>
        </w:rPr>
        <w:instrText xml:space="preserve"> SEQ "Table" \* MERGEFORMAT </w:instrText>
      </w:r>
      <w:r>
        <w:rPr>
          <w:b/>
        </w:rPr>
        <w:fldChar w:fldCharType="separate"/>
      </w:r>
      <w:r w:rsidR="00386492">
        <w:rPr>
          <w:b/>
          <w:noProof/>
        </w:rPr>
        <w:t>5</w:t>
      </w:r>
      <w:r>
        <w:rPr>
          <w:b/>
        </w:rPr>
        <w:fldChar w:fldCharType="end"/>
      </w:r>
      <w:r>
        <w:rPr>
          <w:b/>
        </w:rPr>
        <w:t>.</w:t>
      </w:r>
      <w:r>
        <w:t xml:space="preserve"> </w:t>
      </w:r>
      <w:r w:rsidRPr="0039043B">
        <w:t>Summary</w:t>
      </w:r>
      <w:r>
        <w:t xml:space="preserve"> of inter-annotator agreement before disagreement resolution.</w:t>
      </w:r>
    </w:p>
    <w:p w:rsidR="00986AE3" w:rsidRDefault="00986AE3" w:rsidP="00986AE3">
      <w:pPr>
        <w:pStyle w:val="p1a"/>
        <w:rPr>
          <w:lang w:val="en-GB" w:eastAsia="en-GB"/>
        </w:rPr>
      </w:pPr>
      <w:r>
        <w:t xml:space="preserve">As shown in Table 5, the proposed annotation framework achieved a Fleiss' Kappa value of </w:t>
      </w:r>
      <w:r w:rsidRPr="001048CA">
        <w:rPr>
          <w:rStyle w:val="Strong"/>
          <w:highlight w:val="yellow"/>
        </w:rPr>
        <w:t>0.9856</w:t>
      </w:r>
      <w:r>
        <w:t xml:space="preserve">, corresponding to </w:t>
      </w:r>
      <w:r>
        <w:rPr>
          <w:rStyle w:val="Strong"/>
        </w:rPr>
        <w:t>Almost Perfect Agreement</w:t>
      </w:r>
      <w:r>
        <w:t xml:space="preserve"> according to the interpretation proposed by Landis and Koch [5]. This result indicates that the Annotation Guideline enabled a high degree of consistency among independent annotators prior to the disagreement resolution process. Nevertheless, Fleiss' Kappa provides only an overall measure of annotation consistency and does not reveal how agreement is distributed across individual SMS messages.</w:t>
      </w:r>
    </w:p>
    <w:p w:rsidR="00986AE3" w:rsidRDefault="00986AE3" w:rsidP="00986AE3">
      <w:r>
        <w:t xml:space="preserve">To provide a more intuitive view of the annotation outcomes, Fig. 3 illustrates the distribution of agreement levels among the </w:t>
      </w:r>
      <w:r w:rsidRPr="001048CA">
        <w:rPr>
          <w:highlight w:val="yellow"/>
        </w:rPr>
        <w:t>2007</w:t>
      </w:r>
      <w:r>
        <w:t xml:space="preserve"> annotated SMS messages before disagreement resolution.</w:t>
      </w:r>
    </w:p>
    <w:p w:rsidR="00986AE3" w:rsidRDefault="00986AE3" w:rsidP="00986AE3">
      <w:pPr>
        <w:pStyle w:val="image"/>
      </w:pPr>
      <w:r>
        <w:rPr>
          <w:noProof/>
        </w:rPr>
        <w:lastRenderedPageBreak/>
        <w:drawing>
          <wp:inline distT="0" distB="0" distL="0" distR="0" wp14:anchorId="1FB591EC" wp14:editId="13ABD810">
            <wp:extent cx="4349750" cy="2324100"/>
            <wp:effectExtent l="0" t="0" r="12700" b="0"/>
            <wp:docPr id="4" name="Chart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rsidR="00986AE3" w:rsidRDefault="00986AE3" w:rsidP="00986AE3">
      <w:pPr>
        <w:pStyle w:val="figurecaption"/>
      </w:pPr>
      <w:r>
        <w:rPr>
          <w:b/>
        </w:rPr>
        <w:t xml:space="preserve">Fig. </w:t>
      </w:r>
      <w:r>
        <w:rPr>
          <w:b/>
        </w:rPr>
        <w:fldChar w:fldCharType="begin"/>
      </w:r>
      <w:r>
        <w:rPr>
          <w:b/>
        </w:rPr>
        <w:instrText xml:space="preserve"> SEQ "Figure" \* MERGEFORMAT </w:instrText>
      </w:r>
      <w:r>
        <w:rPr>
          <w:b/>
        </w:rPr>
        <w:fldChar w:fldCharType="separate"/>
      </w:r>
      <w:r w:rsidR="00386492">
        <w:rPr>
          <w:b/>
          <w:noProof/>
        </w:rPr>
        <w:t>3</w:t>
      </w:r>
      <w:r>
        <w:rPr>
          <w:b/>
        </w:rPr>
        <w:fldChar w:fldCharType="end"/>
      </w:r>
      <w:r>
        <w:rPr>
          <w:b/>
        </w:rPr>
        <w:t>.</w:t>
      </w:r>
      <w:r>
        <w:t xml:space="preserve"> </w:t>
      </w:r>
      <w:r w:rsidRPr="00274440">
        <w:t>Distribution</w:t>
      </w:r>
      <w:r>
        <w:t xml:space="preserve"> of inter-annotator agreement before disagreement resolution.</w:t>
      </w:r>
    </w:p>
    <w:p w:rsidR="00986AE3" w:rsidRPr="001048CA" w:rsidRDefault="00986AE3" w:rsidP="00986AE3">
      <w:pPr>
        <w:pStyle w:val="p1a"/>
        <w:rPr>
          <w:highlight w:val="yellow"/>
        </w:rPr>
      </w:pPr>
      <w:r w:rsidRPr="001048CA">
        <w:rPr>
          <w:highlight w:val="yellow"/>
        </w:rPr>
        <w:t>Following the scaled independent annotation process, individual labeling records were aggregated and merged by their unique message_id to construct a expanded multi-annotator matrix comprising 2,007 successfully validated messages. To rigorously evaluate the stability of our refined annotation guidelines, a formal consensus inspection was executed. Out of the 2,007 vetted SMS records, a vast majority of 1,963 messages (97.81%) achieved absolute consensus, with all ten unique human annotators assigning identical labels. This subset consists of 1,259 clear-cut legitimate messages (Ham) and 704 unambiguous spam communications. Conversely, a minimal fraction of 44 messages (2.19%) failed to reach unanimous agreement (receiving fewer than 10 concordant votes), exposing minor borderline semantic noise.</w:t>
      </w:r>
    </w:p>
    <w:p w:rsidR="00986AE3" w:rsidRDefault="00986AE3" w:rsidP="00986AE3">
      <w:r w:rsidRPr="001048CA">
        <w:rPr>
          <w:highlight w:val="yellow"/>
        </w:rPr>
        <w:t>To quantify the degree of agreement across the group of ten raters prior to form</w:t>
      </w:r>
      <w:r>
        <w:rPr>
          <w:highlight w:val="yellow"/>
        </w:rPr>
        <w:t xml:space="preserve">al adjudication, Fleiss' Kappa </w:t>
      </w:r>
      <w:r w:rsidRPr="001048CA">
        <w:rPr>
          <w:highlight w:val="yellow"/>
        </w:rPr>
        <w:t>was computed over the merge</w:t>
      </w:r>
      <w:r>
        <w:rPr>
          <w:highlight w:val="yellow"/>
        </w:rPr>
        <w:t>d matrix. As detailed in Table 5</w:t>
      </w:r>
      <w:r w:rsidRPr="001048CA">
        <w:rPr>
          <w:highlight w:val="yellow"/>
        </w:rPr>
        <w:t xml:space="preserve">, the baseline annotation phase achieved a global Fleiss' Kappa of </w:t>
      </w:r>
      <w:r w:rsidRPr="001048CA">
        <w:rPr>
          <w:rStyle w:val="Strong"/>
          <w:highlight w:val="yellow"/>
        </w:rPr>
        <w:t>0.9856</w:t>
      </w:r>
      <w:r w:rsidRPr="001048CA">
        <w:rPr>
          <w:highlight w:val="yellow"/>
        </w:rPr>
        <w:t>, which remains firmly within the "Almost Perfect Agreement" band according</w:t>
      </w:r>
      <w:r w:rsidRPr="001048CA">
        <w:t xml:space="preserve"> </w:t>
      </w:r>
      <w:r w:rsidRPr="001048CA">
        <w:rPr>
          <w:highlight w:val="yellow"/>
        </w:rPr>
        <w:t>to the Landis and Koch scale, empirically validating the structural robustness of the proposed framework.</w:t>
      </w:r>
    </w:p>
    <w:p w:rsidR="00986AE3" w:rsidRDefault="00986AE3" w:rsidP="00986AE3">
      <w:pPr>
        <w:pStyle w:val="heading2"/>
        <w:tabs>
          <w:tab w:val="left" w:pos="567"/>
        </w:tabs>
        <w:ind w:right="567"/>
      </w:pPr>
      <w:r>
        <w:t>Disagreement Analysis</w:t>
      </w:r>
    </w:p>
    <w:p w:rsidR="00986AE3" w:rsidRPr="003E4982" w:rsidRDefault="00986AE3" w:rsidP="00986AE3">
      <w:pPr>
        <w:rPr>
          <w:highlight w:val="yellow"/>
        </w:rPr>
      </w:pPr>
      <w:r w:rsidRPr="003E4982">
        <w:rPr>
          <w:highlight w:val="yellow"/>
        </w:rPr>
        <w:t xml:space="preserve">Although the proposed annotation framework achieved an exceptionally high baseline inter-annotator agreement (Fleiss' Kappa = 0.9856, validating the initial Guideline and training efficacy), a minor subset of 44 SMS messages (2.19%) produced inconsistent labels among the ten independent annotators prior to resolution. Rather than treating these contested cases as statistical noise or discarding minority votes, they were transferred to a dedicated disagreement queue to analyze root causes and generate the final Gold Standard. </w:t>
      </w:r>
    </w:p>
    <w:p w:rsidR="00986AE3" w:rsidRPr="003E4982" w:rsidRDefault="00986AE3" w:rsidP="00986AE3">
      <w:pPr>
        <w:rPr>
          <w:highlight w:val="yellow"/>
        </w:rPr>
      </w:pPr>
      <w:r w:rsidRPr="003E4982">
        <w:rPr>
          <w:highlight w:val="yellow"/>
        </w:rPr>
        <w:lastRenderedPageBreak/>
        <w:t>Table 6 summarizes the distribution of root causes identified during the systematic review process, along with the specific corrective actions executed.</w:t>
      </w:r>
    </w:p>
    <w:tbl>
      <w:tblPr>
        <w:tblStyle w:val="TableGrid"/>
        <w:tblW w:w="0" w:type="auto"/>
        <w:tblLook w:val="04A0" w:firstRow="1" w:lastRow="0" w:firstColumn="1" w:lastColumn="0" w:noHBand="0" w:noVBand="1"/>
      </w:tblPr>
      <w:tblGrid>
        <w:gridCol w:w="2028"/>
        <w:gridCol w:w="1498"/>
        <w:gridCol w:w="1289"/>
        <w:gridCol w:w="2091"/>
      </w:tblGrid>
      <w:tr w:rsidR="00986AE3" w:rsidRPr="003E4982" w:rsidTr="00E231B9">
        <w:tc>
          <w:tcPr>
            <w:tcW w:w="2028" w:type="dxa"/>
          </w:tcPr>
          <w:p w:rsidR="00986AE3" w:rsidRPr="003E4982" w:rsidRDefault="00986AE3" w:rsidP="00E231B9">
            <w:pPr>
              <w:ind w:firstLine="0"/>
              <w:rPr>
                <w:b/>
                <w:highlight w:val="yellow"/>
              </w:rPr>
            </w:pPr>
            <w:r w:rsidRPr="003E4982">
              <w:rPr>
                <w:b/>
                <w:highlight w:val="yellow"/>
              </w:rPr>
              <w:t>Disagreement source</w:t>
            </w:r>
          </w:p>
        </w:tc>
        <w:tc>
          <w:tcPr>
            <w:tcW w:w="1498" w:type="dxa"/>
          </w:tcPr>
          <w:p w:rsidR="00986AE3" w:rsidRPr="003E4982" w:rsidRDefault="00986AE3" w:rsidP="00E231B9">
            <w:pPr>
              <w:ind w:firstLine="0"/>
              <w:rPr>
                <w:b/>
                <w:highlight w:val="yellow"/>
              </w:rPr>
            </w:pPr>
            <w:r w:rsidRPr="003E4982">
              <w:rPr>
                <w:b/>
                <w:highlight w:val="yellow"/>
              </w:rPr>
              <w:t>Cases</w:t>
            </w:r>
          </w:p>
        </w:tc>
        <w:tc>
          <w:tcPr>
            <w:tcW w:w="1289" w:type="dxa"/>
          </w:tcPr>
          <w:p w:rsidR="00986AE3" w:rsidRPr="003E4982" w:rsidRDefault="00986AE3" w:rsidP="00E231B9">
            <w:pPr>
              <w:ind w:firstLine="0"/>
              <w:rPr>
                <w:b/>
                <w:highlight w:val="yellow"/>
              </w:rPr>
            </w:pPr>
            <w:r w:rsidRPr="003E4982">
              <w:rPr>
                <w:b/>
                <w:highlight w:val="yellow"/>
              </w:rPr>
              <w:t>Percentage</w:t>
            </w:r>
          </w:p>
        </w:tc>
        <w:tc>
          <w:tcPr>
            <w:tcW w:w="2091" w:type="dxa"/>
          </w:tcPr>
          <w:p w:rsidR="00986AE3" w:rsidRPr="003E4982" w:rsidRDefault="00986AE3" w:rsidP="00E231B9">
            <w:pPr>
              <w:ind w:firstLine="0"/>
              <w:rPr>
                <w:b/>
                <w:highlight w:val="yellow"/>
              </w:rPr>
            </w:pPr>
            <w:r w:rsidRPr="003E4982">
              <w:rPr>
                <w:b/>
                <w:highlight w:val="yellow"/>
              </w:rPr>
              <w:t>Corrective Action &amp; Guideline Refinement</w:t>
            </w:r>
          </w:p>
        </w:tc>
      </w:tr>
      <w:tr w:rsidR="00986AE3" w:rsidRPr="003E4982" w:rsidTr="00E231B9">
        <w:tc>
          <w:tcPr>
            <w:tcW w:w="2028" w:type="dxa"/>
          </w:tcPr>
          <w:p w:rsidR="00986AE3" w:rsidRPr="003E4982" w:rsidRDefault="00986AE3" w:rsidP="00E231B9">
            <w:pPr>
              <w:ind w:firstLine="0"/>
              <w:rPr>
                <w:highlight w:val="yellow"/>
              </w:rPr>
            </w:pPr>
            <w:r w:rsidRPr="003E4982">
              <w:rPr>
                <w:highlight w:val="yellow"/>
              </w:rPr>
              <w:t>Guideline ambiguity</w:t>
            </w:r>
          </w:p>
        </w:tc>
        <w:tc>
          <w:tcPr>
            <w:tcW w:w="1498" w:type="dxa"/>
          </w:tcPr>
          <w:p w:rsidR="00986AE3" w:rsidRPr="003E4982" w:rsidRDefault="00986AE3" w:rsidP="00E231B9">
            <w:pPr>
              <w:ind w:firstLine="0"/>
              <w:rPr>
                <w:highlight w:val="yellow"/>
              </w:rPr>
            </w:pPr>
            <w:r w:rsidRPr="003E4982">
              <w:rPr>
                <w:highlight w:val="yellow"/>
              </w:rPr>
              <w:t>28</w:t>
            </w:r>
          </w:p>
        </w:tc>
        <w:tc>
          <w:tcPr>
            <w:tcW w:w="1289" w:type="dxa"/>
          </w:tcPr>
          <w:p w:rsidR="00986AE3" w:rsidRPr="003E4982" w:rsidRDefault="00986AE3" w:rsidP="00E231B9">
            <w:pPr>
              <w:ind w:firstLine="0"/>
              <w:rPr>
                <w:highlight w:val="yellow"/>
              </w:rPr>
            </w:pPr>
            <w:r w:rsidRPr="003E4982">
              <w:rPr>
                <w:highlight w:val="yellow"/>
              </w:rPr>
              <w:t>63.64%</w:t>
            </w:r>
          </w:p>
        </w:tc>
        <w:tc>
          <w:tcPr>
            <w:tcW w:w="2091" w:type="dxa"/>
          </w:tcPr>
          <w:p w:rsidR="00986AE3" w:rsidRPr="003E4982" w:rsidRDefault="00986AE3" w:rsidP="00E231B9">
            <w:pPr>
              <w:ind w:firstLine="0"/>
              <w:rPr>
                <w:highlight w:val="yellow"/>
              </w:rPr>
            </w:pPr>
            <w:r w:rsidRPr="003E4982">
              <w:rPr>
                <w:highlight w:val="yellow"/>
              </w:rPr>
              <w:t>Added explicit rules in Annotation Guideline to clarify legitimate banking notification templates and teencode rules.</w:t>
            </w:r>
          </w:p>
        </w:tc>
      </w:tr>
      <w:tr w:rsidR="00986AE3" w:rsidRPr="003E4982" w:rsidTr="00E231B9">
        <w:tc>
          <w:tcPr>
            <w:tcW w:w="2028" w:type="dxa"/>
          </w:tcPr>
          <w:p w:rsidR="00986AE3" w:rsidRPr="003E4982" w:rsidRDefault="00986AE3" w:rsidP="00E231B9">
            <w:pPr>
              <w:ind w:firstLine="0"/>
              <w:rPr>
                <w:highlight w:val="yellow"/>
              </w:rPr>
            </w:pPr>
            <w:r w:rsidRPr="003E4982">
              <w:rPr>
                <w:highlight w:val="yellow"/>
              </w:rPr>
              <w:t>Conceptual misunderstanding</w:t>
            </w:r>
          </w:p>
        </w:tc>
        <w:tc>
          <w:tcPr>
            <w:tcW w:w="1498" w:type="dxa"/>
          </w:tcPr>
          <w:p w:rsidR="00986AE3" w:rsidRPr="003E4982" w:rsidRDefault="00986AE3" w:rsidP="00E231B9">
            <w:pPr>
              <w:ind w:firstLine="0"/>
              <w:rPr>
                <w:highlight w:val="yellow"/>
              </w:rPr>
            </w:pPr>
            <w:r w:rsidRPr="003E4982">
              <w:rPr>
                <w:highlight w:val="yellow"/>
              </w:rPr>
              <w:t>11</w:t>
            </w:r>
          </w:p>
        </w:tc>
        <w:tc>
          <w:tcPr>
            <w:tcW w:w="1289" w:type="dxa"/>
          </w:tcPr>
          <w:p w:rsidR="00986AE3" w:rsidRPr="003E4982" w:rsidRDefault="00986AE3" w:rsidP="00E231B9">
            <w:pPr>
              <w:ind w:firstLine="0"/>
              <w:rPr>
                <w:highlight w:val="yellow"/>
              </w:rPr>
            </w:pPr>
            <w:r w:rsidRPr="003E4982">
              <w:rPr>
                <w:highlight w:val="yellow"/>
              </w:rPr>
              <w:t>25.00%</w:t>
            </w:r>
          </w:p>
        </w:tc>
        <w:tc>
          <w:tcPr>
            <w:tcW w:w="2091" w:type="dxa"/>
          </w:tcPr>
          <w:p w:rsidR="00986AE3" w:rsidRPr="003E4982" w:rsidRDefault="00986AE3" w:rsidP="00E231B9">
            <w:pPr>
              <w:ind w:firstLine="0"/>
              <w:rPr>
                <w:highlight w:val="yellow"/>
              </w:rPr>
            </w:pPr>
            <w:r w:rsidRPr="003E4982">
              <w:rPr>
                <w:highlight w:val="yellow"/>
              </w:rPr>
              <w:t>Conducted a targeted realignment session on evaluating communication intent over isolated keywords.</w:t>
            </w:r>
          </w:p>
        </w:tc>
      </w:tr>
      <w:tr w:rsidR="00986AE3" w:rsidRPr="003E4982" w:rsidTr="00E231B9">
        <w:tc>
          <w:tcPr>
            <w:tcW w:w="2028" w:type="dxa"/>
          </w:tcPr>
          <w:p w:rsidR="00986AE3" w:rsidRPr="003E4982" w:rsidRDefault="00986AE3" w:rsidP="00E231B9">
            <w:pPr>
              <w:ind w:firstLine="0"/>
              <w:rPr>
                <w:highlight w:val="yellow"/>
              </w:rPr>
            </w:pPr>
            <w:r w:rsidRPr="003E4982">
              <w:rPr>
                <w:highlight w:val="yellow"/>
              </w:rPr>
              <w:t>Individual oversight</w:t>
            </w:r>
          </w:p>
        </w:tc>
        <w:tc>
          <w:tcPr>
            <w:tcW w:w="1498" w:type="dxa"/>
          </w:tcPr>
          <w:p w:rsidR="00986AE3" w:rsidRPr="003E4982" w:rsidRDefault="00986AE3" w:rsidP="00E231B9">
            <w:pPr>
              <w:ind w:firstLine="0"/>
              <w:rPr>
                <w:highlight w:val="yellow"/>
              </w:rPr>
            </w:pPr>
            <w:r w:rsidRPr="003E4982">
              <w:rPr>
                <w:highlight w:val="yellow"/>
              </w:rPr>
              <w:t>5</w:t>
            </w:r>
          </w:p>
        </w:tc>
        <w:tc>
          <w:tcPr>
            <w:tcW w:w="1289" w:type="dxa"/>
          </w:tcPr>
          <w:p w:rsidR="00986AE3" w:rsidRPr="003E4982" w:rsidRDefault="00986AE3" w:rsidP="00E231B9">
            <w:pPr>
              <w:ind w:firstLine="0"/>
              <w:rPr>
                <w:highlight w:val="yellow"/>
              </w:rPr>
            </w:pPr>
            <w:r w:rsidRPr="003E4982">
              <w:rPr>
                <w:highlight w:val="yellow"/>
              </w:rPr>
              <w:t>11.36%</w:t>
            </w:r>
          </w:p>
        </w:tc>
        <w:tc>
          <w:tcPr>
            <w:tcW w:w="2091" w:type="dxa"/>
          </w:tcPr>
          <w:p w:rsidR="00986AE3" w:rsidRPr="003E4982" w:rsidRDefault="00986AE3" w:rsidP="00E231B9">
            <w:pPr>
              <w:ind w:firstLine="0"/>
              <w:rPr>
                <w:highlight w:val="yellow"/>
              </w:rPr>
            </w:pPr>
            <w:r w:rsidRPr="003E4982">
              <w:rPr>
                <w:highlight w:val="yellow"/>
              </w:rPr>
              <w:t>Corrected clerical entry errors via direct alignment review.</w:t>
            </w:r>
          </w:p>
        </w:tc>
      </w:tr>
      <w:tr w:rsidR="00986AE3" w:rsidRPr="003E4982" w:rsidTr="00E231B9">
        <w:tc>
          <w:tcPr>
            <w:tcW w:w="2028" w:type="dxa"/>
          </w:tcPr>
          <w:p w:rsidR="00986AE3" w:rsidRPr="003E4982" w:rsidRDefault="00986AE3" w:rsidP="00E231B9">
            <w:pPr>
              <w:ind w:firstLine="0"/>
              <w:rPr>
                <w:b/>
                <w:highlight w:val="yellow"/>
              </w:rPr>
            </w:pPr>
            <w:r w:rsidRPr="003E4982">
              <w:rPr>
                <w:b/>
                <w:highlight w:val="yellow"/>
              </w:rPr>
              <w:t>Total</w:t>
            </w:r>
          </w:p>
        </w:tc>
        <w:tc>
          <w:tcPr>
            <w:tcW w:w="1498" w:type="dxa"/>
          </w:tcPr>
          <w:p w:rsidR="00986AE3" w:rsidRPr="003E4982" w:rsidRDefault="00986AE3" w:rsidP="00E231B9">
            <w:pPr>
              <w:ind w:firstLine="0"/>
              <w:rPr>
                <w:b/>
                <w:highlight w:val="yellow"/>
              </w:rPr>
            </w:pPr>
            <w:r w:rsidRPr="003E4982">
              <w:rPr>
                <w:b/>
                <w:highlight w:val="yellow"/>
              </w:rPr>
              <w:t>44</w:t>
            </w:r>
          </w:p>
        </w:tc>
        <w:tc>
          <w:tcPr>
            <w:tcW w:w="1289" w:type="dxa"/>
          </w:tcPr>
          <w:p w:rsidR="00986AE3" w:rsidRPr="003E4982" w:rsidRDefault="00986AE3" w:rsidP="00E231B9">
            <w:pPr>
              <w:ind w:firstLine="0"/>
              <w:rPr>
                <w:b/>
                <w:highlight w:val="yellow"/>
              </w:rPr>
            </w:pPr>
            <w:r w:rsidRPr="003E4982">
              <w:rPr>
                <w:b/>
                <w:highlight w:val="yellow"/>
              </w:rPr>
              <w:t>100%</w:t>
            </w:r>
          </w:p>
        </w:tc>
        <w:tc>
          <w:tcPr>
            <w:tcW w:w="2091" w:type="dxa"/>
          </w:tcPr>
          <w:p w:rsidR="00986AE3" w:rsidRPr="003E4982" w:rsidRDefault="00986AE3" w:rsidP="00E231B9">
            <w:pPr>
              <w:ind w:firstLine="0"/>
              <w:rPr>
                <w:b/>
                <w:highlight w:val="yellow"/>
              </w:rPr>
            </w:pPr>
            <w:r w:rsidRPr="003E4982">
              <w:rPr>
                <w:b/>
                <w:highlight w:val="yellow"/>
              </w:rPr>
              <w:t>All cases successfully adjudicated.</w:t>
            </w:r>
          </w:p>
        </w:tc>
      </w:tr>
    </w:tbl>
    <w:p w:rsidR="00986AE3" w:rsidRPr="003E4982" w:rsidRDefault="00986AE3" w:rsidP="00986AE3">
      <w:pPr>
        <w:pStyle w:val="tablecaption"/>
        <w:rPr>
          <w:highlight w:val="yellow"/>
        </w:rPr>
      </w:pPr>
      <w:r>
        <w:rPr>
          <w:b/>
          <w:highlight w:val="yellow"/>
        </w:rPr>
        <w:t xml:space="preserve">Table </w:t>
      </w:r>
      <w:r>
        <w:rPr>
          <w:b/>
          <w:highlight w:val="yellow"/>
        </w:rPr>
        <w:fldChar w:fldCharType="begin"/>
      </w:r>
      <w:r>
        <w:rPr>
          <w:b/>
          <w:highlight w:val="yellow"/>
        </w:rPr>
        <w:instrText xml:space="preserve"> SEQ "Table" \* MERGEFORMAT </w:instrText>
      </w:r>
      <w:r>
        <w:rPr>
          <w:b/>
          <w:highlight w:val="yellow"/>
        </w:rPr>
        <w:fldChar w:fldCharType="separate"/>
      </w:r>
      <w:r w:rsidR="00386492">
        <w:rPr>
          <w:b/>
          <w:noProof/>
          <w:highlight w:val="yellow"/>
        </w:rPr>
        <w:t>6</w:t>
      </w:r>
      <w:r>
        <w:rPr>
          <w:b/>
          <w:highlight w:val="yellow"/>
        </w:rPr>
        <w:fldChar w:fldCharType="end"/>
      </w:r>
      <w:r>
        <w:rPr>
          <w:b/>
          <w:highlight w:val="yellow"/>
        </w:rPr>
        <w:t>.</w:t>
      </w:r>
      <w:r>
        <w:rPr>
          <w:highlight w:val="yellow"/>
        </w:rPr>
        <w:t xml:space="preserve"> </w:t>
      </w:r>
      <w:r w:rsidRPr="0039043B">
        <w:rPr>
          <w:highlight w:val="yellow"/>
        </w:rPr>
        <w:t>Root-cause</w:t>
      </w:r>
      <w:r w:rsidRPr="003E4982">
        <w:rPr>
          <w:highlight w:val="yellow"/>
        </w:rPr>
        <w:t xml:space="preserve"> classification and resolution strategies for the 44 contested messages.</w:t>
      </w:r>
    </w:p>
    <w:p w:rsidR="00986AE3" w:rsidRPr="003E4982" w:rsidRDefault="00986AE3" w:rsidP="00986AE3">
      <w:pPr>
        <w:rPr>
          <w:highlight w:val="yellow"/>
        </w:rPr>
      </w:pPr>
      <w:r w:rsidRPr="003E4982">
        <w:rPr>
          <w:highlight w:val="yellow"/>
        </w:rPr>
        <w:t>To demonstrate the concrete utility of our closed-loop quality assurance framework, all 44 contested instances underwent formal adjudication following guideline re</w:t>
      </w:r>
      <w:r>
        <w:rPr>
          <w:highlight w:val="yellow"/>
        </w:rPr>
        <w:t>finement. As detailed in Table 7</w:t>
      </w:r>
      <w:r w:rsidRPr="003E4982">
        <w:rPr>
          <w:highlight w:val="yellow"/>
        </w:rPr>
        <w:t>, the resolution process successfully eliminated all semantic alignment anomalies. Specifically, 27 messages were reclaimed as legitimate Ham communications (primarily non-standard transaction alerts and automated system announcements that initial annotators misclassified due to strict keyword bias), while 17 messages were stabilized under the Spam class (subtle phishing variants containing obfuscated URLs or promotional teencode)</w:t>
      </w:r>
    </w:p>
    <w:tbl>
      <w:tblPr>
        <w:tblStyle w:val="TableGrid"/>
        <w:tblW w:w="0" w:type="auto"/>
        <w:tblLook w:val="04A0" w:firstRow="1" w:lastRow="0" w:firstColumn="1" w:lastColumn="0" w:noHBand="0" w:noVBand="1"/>
      </w:tblPr>
      <w:tblGrid>
        <w:gridCol w:w="2122"/>
        <w:gridCol w:w="1275"/>
        <w:gridCol w:w="1276"/>
        <w:gridCol w:w="2233"/>
      </w:tblGrid>
      <w:tr w:rsidR="00986AE3" w:rsidRPr="003E4982" w:rsidTr="00E231B9">
        <w:tc>
          <w:tcPr>
            <w:tcW w:w="2122" w:type="dxa"/>
          </w:tcPr>
          <w:p w:rsidR="00986AE3" w:rsidRPr="003E4982" w:rsidRDefault="00986AE3" w:rsidP="00E231B9">
            <w:pPr>
              <w:ind w:firstLine="0"/>
              <w:rPr>
                <w:b/>
                <w:highlight w:val="yellow"/>
              </w:rPr>
            </w:pPr>
            <w:r w:rsidRPr="003E4982">
              <w:rPr>
                <w:b/>
                <w:highlight w:val="yellow"/>
              </w:rPr>
              <w:t>Metric</w:t>
            </w:r>
          </w:p>
        </w:tc>
        <w:tc>
          <w:tcPr>
            <w:tcW w:w="1275" w:type="dxa"/>
          </w:tcPr>
          <w:p w:rsidR="00986AE3" w:rsidRPr="003E4982" w:rsidRDefault="00986AE3" w:rsidP="00E231B9">
            <w:pPr>
              <w:ind w:firstLine="0"/>
              <w:rPr>
                <w:b/>
                <w:highlight w:val="yellow"/>
              </w:rPr>
            </w:pPr>
            <w:r w:rsidRPr="003E4982">
              <w:rPr>
                <w:b/>
                <w:highlight w:val="yellow"/>
              </w:rPr>
              <w:t>Round 1</w:t>
            </w:r>
          </w:p>
        </w:tc>
        <w:tc>
          <w:tcPr>
            <w:tcW w:w="1276" w:type="dxa"/>
          </w:tcPr>
          <w:p w:rsidR="00986AE3" w:rsidRPr="003E4982" w:rsidRDefault="00986AE3" w:rsidP="00E231B9">
            <w:pPr>
              <w:ind w:firstLine="0"/>
              <w:rPr>
                <w:b/>
                <w:highlight w:val="yellow"/>
              </w:rPr>
            </w:pPr>
            <w:r w:rsidRPr="003E4982">
              <w:rPr>
                <w:b/>
                <w:highlight w:val="yellow"/>
              </w:rPr>
              <w:t xml:space="preserve">Round 2 </w:t>
            </w:r>
          </w:p>
        </w:tc>
        <w:tc>
          <w:tcPr>
            <w:tcW w:w="2233" w:type="dxa"/>
          </w:tcPr>
          <w:p w:rsidR="00986AE3" w:rsidRPr="003E4982" w:rsidRDefault="00986AE3" w:rsidP="00E231B9">
            <w:pPr>
              <w:ind w:firstLine="0"/>
              <w:rPr>
                <w:b/>
                <w:highlight w:val="yellow"/>
              </w:rPr>
            </w:pPr>
            <w:r w:rsidRPr="003E4982">
              <w:rPr>
                <w:b/>
                <w:highlight w:val="yellow"/>
              </w:rPr>
              <w:t>Relative Improvement</w:t>
            </w:r>
          </w:p>
        </w:tc>
      </w:tr>
      <w:tr w:rsidR="00986AE3" w:rsidRPr="003E4982" w:rsidTr="00E231B9">
        <w:tc>
          <w:tcPr>
            <w:tcW w:w="2122" w:type="dxa"/>
          </w:tcPr>
          <w:p w:rsidR="00986AE3" w:rsidRPr="003E4982" w:rsidRDefault="00986AE3" w:rsidP="00E231B9">
            <w:pPr>
              <w:ind w:firstLine="0"/>
              <w:jc w:val="left"/>
              <w:rPr>
                <w:highlight w:val="yellow"/>
              </w:rPr>
            </w:pPr>
            <w:r w:rsidRPr="003E4982">
              <w:rPr>
                <w:highlight w:val="yellow"/>
              </w:rPr>
              <w:t>Total Vetted Messages</w:t>
            </w:r>
          </w:p>
        </w:tc>
        <w:tc>
          <w:tcPr>
            <w:tcW w:w="1275" w:type="dxa"/>
          </w:tcPr>
          <w:p w:rsidR="00986AE3" w:rsidRPr="003E4982" w:rsidRDefault="00986AE3" w:rsidP="00E231B9">
            <w:pPr>
              <w:ind w:firstLine="0"/>
              <w:rPr>
                <w:highlight w:val="yellow"/>
              </w:rPr>
            </w:pPr>
            <w:r w:rsidRPr="003E4982">
              <w:rPr>
                <w:highlight w:val="yellow"/>
              </w:rPr>
              <w:t>2,007</w:t>
            </w:r>
          </w:p>
        </w:tc>
        <w:tc>
          <w:tcPr>
            <w:tcW w:w="1276" w:type="dxa"/>
          </w:tcPr>
          <w:p w:rsidR="00986AE3" w:rsidRPr="003E4982" w:rsidRDefault="00986AE3" w:rsidP="00E231B9">
            <w:pPr>
              <w:ind w:firstLine="0"/>
              <w:rPr>
                <w:highlight w:val="yellow"/>
              </w:rPr>
            </w:pPr>
            <w:r w:rsidRPr="003E4982">
              <w:rPr>
                <w:highlight w:val="yellow"/>
              </w:rPr>
              <w:t>2,007</w:t>
            </w:r>
          </w:p>
        </w:tc>
        <w:tc>
          <w:tcPr>
            <w:tcW w:w="2233" w:type="dxa"/>
          </w:tcPr>
          <w:p w:rsidR="00986AE3" w:rsidRPr="003E4982" w:rsidRDefault="00986AE3" w:rsidP="00E231B9">
            <w:pPr>
              <w:ind w:firstLine="0"/>
              <w:rPr>
                <w:highlight w:val="yellow"/>
              </w:rPr>
            </w:pPr>
            <w:r w:rsidRPr="003E4982">
              <w:rPr>
                <w:highlight w:val="yellow"/>
              </w:rPr>
              <w:t>Complete dataset retained.</w:t>
            </w:r>
          </w:p>
        </w:tc>
      </w:tr>
      <w:tr w:rsidR="00986AE3" w:rsidRPr="003E4982" w:rsidTr="00E231B9">
        <w:tc>
          <w:tcPr>
            <w:tcW w:w="2122" w:type="dxa"/>
          </w:tcPr>
          <w:p w:rsidR="00986AE3" w:rsidRPr="003E4982" w:rsidRDefault="00986AE3" w:rsidP="00E231B9">
            <w:pPr>
              <w:ind w:firstLine="0"/>
              <w:jc w:val="left"/>
              <w:rPr>
                <w:highlight w:val="yellow"/>
              </w:rPr>
            </w:pPr>
            <w:r w:rsidRPr="003E4982">
              <w:rPr>
                <w:highlight w:val="yellow"/>
              </w:rPr>
              <w:t>Absolute Consensus (10/10)</w:t>
            </w:r>
          </w:p>
        </w:tc>
        <w:tc>
          <w:tcPr>
            <w:tcW w:w="1275" w:type="dxa"/>
          </w:tcPr>
          <w:p w:rsidR="00986AE3" w:rsidRPr="003E4982" w:rsidRDefault="00986AE3" w:rsidP="00E231B9">
            <w:pPr>
              <w:ind w:firstLine="0"/>
              <w:rPr>
                <w:highlight w:val="yellow"/>
              </w:rPr>
            </w:pPr>
            <w:r w:rsidRPr="003E4982">
              <w:rPr>
                <w:highlight w:val="yellow"/>
              </w:rPr>
              <w:t>1,963</w:t>
            </w:r>
          </w:p>
        </w:tc>
        <w:tc>
          <w:tcPr>
            <w:tcW w:w="1276" w:type="dxa"/>
          </w:tcPr>
          <w:p w:rsidR="00986AE3" w:rsidRPr="003E4982" w:rsidRDefault="00986AE3" w:rsidP="00E231B9">
            <w:pPr>
              <w:ind w:firstLine="0"/>
              <w:rPr>
                <w:highlight w:val="yellow"/>
              </w:rPr>
            </w:pPr>
            <w:r w:rsidRPr="003E4982">
              <w:rPr>
                <w:highlight w:val="yellow"/>
              </w:rPr>
              <w:t>2,007</w:t>
            </w:r>
          </w:p>
        </w:tc>
        <w:tc>
          <w:tcPr>
            <w:tcW w:w="2233" w:type="dxa"/>
          </w:tcPr>
          <w:p w:rsidR="00986AE3" w:rsidRPr="003E4982" w:rsidRDefault="00986AE3" w:rsidP="00E231B9">
            <w:pPr>
              <w:ind w:firstLine="0"/>
              <w:rPr>
                <w:highlight w:val="yellow"/>
              </w:rPr>
            </w:pPr>
            <w:r w:rsidRPr="003E4982">
              <w:rPr>
                <w:highlight w:val="yellow"/>
              </w:rPr>
              <w:t>+44 resolved messages (+2.19%).</w:t>
            </w:r>
          </w:p>
        </w:tc>
      </w:tr>
      <w:tr w:rsidR="00986AE3" w:rsidRPr="003E4982" w:rsidTr="00E231B9">
        <w:tc>
          <w:tcPr>
            <w:tcW w:w="2122" w:type="dxa"/>
          </w:tcPr>
          <w:p w:rsidR="00986AE3" w:rsidRPr="003E4982" w:rsidRDefault="00986AE3" w:rsidP="00E231B9">
            <w:pPr>
              <w:ind w:firstLine="0"/>
              <w:jc w:val="left"/>
              <w:rPr>
                <w:highlight w:val="yellow"/>
              </w:rPr>
            </w:pPr>
            <w:r w:rsidRPr="003E4982">
              <w:rPr>
                <w:highlight w:val="yellow"/>
              </w:rPr>
              <w:t>Active Disagreement (&lt;10/10)</w:t>
            </w:r>
          </w:p>
        </w:tc>
        <w:tc>
          <w:tcPr>
            <w:tcW w:w="1275" w:type="dxa"/>
          </w:tcPr>
          <w:p w:rsidR="00986AE3" w:rsidRPr="003E4982" w:rsidRDefault="00986AE3" w:rsidP="00E231B9">
            <w:pPr>
              <w:ind w:firstLine="0"/>
              <w:rPr>
                <w:highlight w:val="yellow"/>
              </w:rPr>
            </w:pPr>
            <w:r w:rsidRPr="003E4982">
              <w:rPr>
                <w:highlight w:val="yellow"/>
              </w:rPr>
              <w:t>44</w:t>
            </w:r>
          </w:p>
        </w:tc>
        <w:tc>
          <w:tcPr>
            <w:tcW w:w="1276" w:type="dxa"/>
          </w:tcPr>
          <w:p w:rsidR="00986AE3" w:rsidRPr="003E4982" w:rsidRDefault="00986AE3" w:rsidP="00E231B9">
            <w:pPr>
              <w:ind w:firstLine="0"/>
              <w:rPr>
                <w:highlight w:val="yellow"/>
              </w:rPr>
            </w:pPr>
            <w:r w:rsidRPr="003E4982">
              <w:rPr>
                <w:highlight w:val="yellow"/>
              </w:rPr>
              <w:t>0</w:t>
            </w:r>
          </w:p>
        </w:tc>
        <w:tc>
          <w:tcPr>
            <w:tcW w:w="2233" w:type="dxa"/>
          </w:tcPr>
          <w:p w:rsidR="00986AE3" w:rsidRPr="003E4982" w:rsidRDefault="00986AE3" w:rsidP="00E231B9">
            <w:pPr>
              <w:ind w:firstLine="0"/>
              <w:rPr>
                <w:highlight w:val="yellow"/>
              </w:rPr>
            </w:pPr>
            <w:r w:rsidRPr="003E4982">
              <w:rPr>
                <w:highlight w:val="yellow"/>
              </w:rPr>
              <w:t>100% semantic noise eliminated.</w:t>
            </w:r>
          </w:p>
        </w:tc>
      </w:tr>
    </w:tbl>
    <w:p w:rsidR="00986AE3" w:rsidRPr="003E4982" w:rsidRDefault="00986AE3" w:rsidP="00986AE3">
      <w:pPr>
        <w:pStyle w:val="tablecaption"/>
        <w:jc w:val="both"/>
        <w:rPr>
          <w:highlight w:val="yellow"/>
        </w:rPr>
      </w:pPr>
      <w:r>
        <w:rPr>
          <w:b/>
          <w:highlight w:val="yellow"/>
        </w:rPr>
        <w:t xml:space="preserve">Table </w:t>
      </w:r>
      <w:r>
        <w:rPr>
          <w:b/>
          <w:highlight w:val="yellow"/>
        </w:rPr>
        <w:fldChar w:fldCharType="begin"/>
      </w:r>
      <w:r>
        <w:rPr>
          <w:b/>
          <w:highlight w:val="yellow"/>
        </w:rPr>
        <w:instrText xml:space="preserve"> SEQ "Table" \* MERGEFORMAT </w:instrText>
      </w:r>
      <w:r>
        <w:rPr>
          <w:b/>
          <w:highlight w:val="yellow"/>
        </w:rPr>
        <w:fldChar w:fldCharType="separate"/>
      </w:r>
      <w:r w:rsidR="00386492">
        <w:rPr>
          <w:b/>
          <w:noProof/>
          <w:highlight w:val="yellow"/>
        </w:rPr>
        <w:t>7</w:t>
      </w:r>
      <w:r>
        <w:rPr>
          <w:b/>
          <w:highlight w:val="yellow"/>
        </w:rPr>
        <w:fldChar w:fldCharType="end"/>
      </w:r>
      <w:r>
        <w:rPr>
          <w:b/>
          <w:highlight w:val="yellow"/>
        </w:rPr>
        <w:t>.</w:t>
      </w:r>
      <w:r>
        <w:rPr>
          <w:highlight w:val="yellow"/>
        </w:rPr>
        <w:t xml:space="preserve"> </w:t>
      </w:r>
      <w:r w:rsidRPr="0039043B">
        <w:rPr>
          <w:highlight w:val="yellow"/>
        </w:rPr>
        <w:t>Data</w:t>
      </w:r>
      <w:r w:rsidRPr="003E4982">
        <w:rPr>
          <w:highlight w:val="yellow"/>
        </w:rPr>
        <w:t xml:space="preserve"> fidelity progression: Initial Inter-Annotator Agreement (Round 1) vs. Final Gold Standard Generation (Post-Resolution).</w:t>
      </w:r>
    </w:p>
    <w:p w:rsidR="00986AE3" w:rsidRPr="003E4982" w:rsidRDefault="00986AE3" w:rsidP="00986AE3">
      <w:pPr>
        <w:pStyle w:val="p1a"/>
      </w:pPr>
      <w:r w:rsidRPr="003E4982">
        <w:rPr>
          <w:highlight w:val="yellow"/>
        </w:rPr>
        <w:t>By systematically routing borderline cases through our disagreement resolution workflow, 100% of the collected corpus (2,007 messages) was converted into a high-fidelity Gold Standard dataset containing 1,286 Ham (1,259 + 27) and 721 Spam (704 + 17) records. This "before vs. after" progression empirically proves that our frame</w:t>
      </w:r>
      <w:r w:rsidRPr="003E4982">
        <w:rPr>
          <w:highlight w:val="yellow"/>
        </w:rPr>
        <w:lastRenderedPageBreak/>
        <w:t>work does not merely log human divergence, but actively cures label noise to deliver clean training signals for downstream machine learning applications</w:t>
      </w:r>
    </w:p>
    <w:p w:rsidR="00986AE3" w:rsidRDefault="00986AE3" w:rsidP="00986AE3">
      <w:pPr>
        <w:pStyle w:val="heading2"/>
        <w:tabs>
          <w:tab w:val="left" w:pos="567"/>
        </w:tabs>
        <w:ind w:right="567"/>
      </w:pPr>
      <w:r>
        <w:t>Baseline Classification Results</w:t>
      </w:r>
    </w:p>
    <w:p w:rsidR="00986AE3" w:rsidRPr="005B5BBB" w:rsidRDefault="00986AE3" w:rsidP="00986AE3">
      <w:pPr>
        <w:pStyle w:val="Heading3"/>
        <w:spacing w:before="0"/>
        <w:rPr>
          <w:rStyle w:val="heading30"/>
        </w:rPr>
      </w:pPr>
      <w:r w:rsidRPr="005B5BBB">
        <w:rPr>
          <w:rStyle w:val="heading30"/>
        </w:rPr>
        <w:t>3.4.1 Experimental Setup and Implementation Details</w:t>
      </w:r>
    </w:p>
    <w:p w:rsidR="00986AE3" w:rsidRPr="00386492" w:rsidRDefault="00986AE3" w:rsidP="00986AE3">
      <w:pPr>
        <w:ind w:firstLine="0"/>
        <w:rPr>
          <w:highlight w:val="yellow"/>
        </w:rPr>
      </w:pPr>
      <w:r w:rsidRPr="00386492">
        <w:rPr>
          <w:highlight w:val="yellow"/>
        </w:rPr>
        <w:t xml:space="preserve">To establish a transparent, highly reproducible performance benchmark for Vietnamese SMS spam detection, </w:t>
      </w:r>
      <w:r w:rsidR="00F76C3D" w:rsidRPr="00386492">
        <w:rPr>
          <w:highlight w:val="yellow"/>
        </w:rPr>
        <w:t>We conducted a comparative empirical study using the finalized Gold Standard corpus. Before model training, a dedicated near-duplicate filtering stage was applied to remove template-based SMS messages that could introduce train-test leakage. The resulting evaluation corpus contained 1,541 unique SMS messages</w:t>
      </w:r>
      <w:r w:rsidRPr="00386492">
        <w:rPr>
          <w:highlight w:val="yellow"/>
        </w:rPr>
        <w:t>. The classification workflow evaluates two distinct families of algorithms: traditional machine learning architectures utilizing surface-level features and a fine-tuned deep contextual Transformer model [11].</w:t>
      </w:r>
    </w:p>
    <w:p w:rsidR="00986AE3" w:rsidRPr="00386492" w:rsidRDefault="00986AE3" w:rsidP="00986AE3">
      <w:pPr>
        <w:rPr>
          <w:highlight w:val="yellow"/>
        </w:rPr>
      </w:pPr>
      <w:r w:rsidRPr="00386492">
        <w:rPr>
          <w:highlight w:val="yellow"/>
        </w:rPr>
        <w:t>For traditional machine learning baselines, including Support Vector Machine with Linear and RBF kernels, Logistic Regression, Multinomial Naive Bayes, and a Multi-Layer Perceptron, textual representations were extracted using Term Frequency-Inverse Document Frequency vectorization. The feature space was configured with an n-gram range of (1, 2) and capped at a maximum vocabulary size of 5,000 features. Prior to feature extraction, Vietnamese compound words were uniformly segmented using the PyVi toolkit (ViTokenizer.tokenize).</w:t>
      </w:r>
    </w:p>
    <w:p w:rsidR="00986AE3" w:rsidRPr="00386492" w:rsidRDefault="00986AE3" w:rsidP="00986AE3">
      <w:r w:rsidRPr="00386492">
        <w:rPr>
          <w:highlight w:val="yellow"/>
        </w:rPr>
        <w:t>To fulfill our promise of evaluating deep pre-trained language models, we integrated vinai/phobert-base (PhoBERT-base), a state-of-the-art pre-trained Transformer architecture optimized for Vietnamese natural language processing. Fine-tuning of PhoBERT-base was executed on a dedicated workstation equipped with an NVIDIA GeForce RTX 3060 GPU running Python 3.14.2 and PyTorch 2.12.0+cu126. The model was trained for 4 epochs using the AdamW optimizer with a learning rate of 0.00002 (2e-5), a weight decay of 0.01, a warmup ratio of 0.1, a per-device batch size of 16, and a maximum sequence length of 128 tokens. Model selection was governed by evaluating the highest F1-score on the positive class at each epoch (load_best_model_at_end=True).</w:t>
      </w:r>
    </w:p>
    <w:p w:rsidR="00986AE3" w:rsidRDefault="00986AE3" w:rsidP="00986AE3">
      <w:pPr>
        <w:pStyle w:val="Heading3"/>
        <w:rPr>
          <w:rStyle w:val="heading30"/>
        </w:rPr>
      </w:pPr>
      <w:r w:rsidRPr="00986AE3">
        <w:rPr>
          <w:rStyle w:val="heading30"/>
        </w:rPr>
        <w:t>3.4.2 Near-Duplicate Filtering and Train-Test Leakage Protection</w:t>
      </w:r>
    </w:p>
    <w:p w:rsidR="00986AE3" w:rsidRPr="00386492" w:rsidRDefault="00986AE3" w:rsidP="00E231B9">
      <w:pPr>
        <w:rPr>
          <w:highlight w:val="yellow"/>
        </w:rPr>
      </w:pPr>
      <w:r w:rsidRPr="00386492">
        <w:rPr>
          <w:highlight w:val="yellow"/>
        </w:rPr>
        <w:t>To eliminate potential evaluation bias caused by near-duplicate spam campaigns, a rigorous multi-stage deduplication pipeline was executed on the 2,007 gold-standard messages prior to any dataset splitting. Phishing campaigns typically generate vast amounts of template-based messages that differ only in dynamic entities (e.g., recipient names, phone numbers, or fraudulent URLs). Performing cross-validation directly on raw data would risk placing near-identical variants into both training and testing folds, leading to artificially inflated performance metrics.</w:t>
      </w:r>
    </w:p>
    <w:p w:rsidR="00986AE3" w:rsidRPr="00386492" w:rsidRDefault="00986AE3" w:rsidP="00E231B9">
      <w:pPr>
        <w:rPr>
          <w:highlight w:val="yellow"/>
        </w:rPr>
      </w:pPr>
      <w:r w:rsidRPr="00386492">
        <w:rPr>
          <w:highlight w:val="yellow"/>
        </w:rPr>
        <w:t xml:space="preserve">To prevent this, we employed a character-level 3-gram Jaccard similarity metric. Texts were first normalized (lowercased and whitespace-trimmed) and decomposed into sets of contiguous 3-character sequences. The Jaccard index between two message sets </w:t>
      </w:r>
      <m:oMath>
        <m:sSub>
          <m:sSubPr>
            <m:ctrlPr>
              <w:rPr>
                <w:rFonts w:ascii="Cambria Math" w:hAnsi="Cambria Math"/>
                <w:i/>
                <w:highlight w:val="yellow"/>
              </w:rPr>
            </m:ctrlPr>
          </m:sSubPr>
          <m:e>
            <m:r>
              <w:rPr>
                <w:rFonts w:ascii="Cambria Math" w:hAnsi="Cambria Math"/>
                <w:highlight w:val="yellow"/>
              </w:rPr>
              <m:t>S</m:t>
            </m:r>
          </m:e>
          <m:sub>
            <m:r>
              <w:rPr>
                <w:rFonts w:ascii="Cambria Math" w:hAnsi="Cambria Math"/>
                <w:highlight w:val="yellow"/>
              </w:rPr>
              <m:t>A</m:t>
            </m:r>
          </m:sub>
        </m:sSub>
      </m:oMath>
      <w:r w:rsidRPr="00386492">
        <w:rPr>
          <w:highlight w:val="yellow"/>
        </w:rPr>
        <w:t xml:space="preserve"> and </w:t>
      </w:r>
      <m:oMath>
        <m:sSub>
          <m:sSubPr>
            <m:ctrlPr>
              <w:rPr>
                <w:rFonts w:ascii="Cambria Math" w:hAnsi="Cambria Math"/>
                <w:i/>
                <w:highlight w:val="yellow"/>
              </w:rPr>
            </m:ctrlPr>
          </m:sSubPr>
          <m:e>
            <m:r>
              <w:rPr>
                <w:rFonts w:ascii="Cambria Math" w:hAnsi="Cambria Math"/>
                <w:highlight w:val="yellow"/>
              </w:rPr>
              <m:t>S</m:t>
            </m:r>
          </m:e>
          <m:sub>
            <m:r>
              <w:rPr>
                <w:rFonts w:ascii="Cambria Math" w:hAnsi="Cambria Math"/>
                <w:highlight w:val="yellow"/>
              </w:rPr>
              <m:t>B</m:t>
            </m:r>
          </m:sub>
        </m:sSub>
      </m:oMath>
      <w:r w:rsidRPr="00386492">
        <w:rPr>
          <w:highlight w:val="yellow"/>
        </w:rPr>
        <w:t xml:space="preserve"> was computed as :</w:t>
      </w:r>
    </w:p>
    <w:p w:rsidR="00986AE3" w:rsidRPr="00386492" w:rsidRDefault="00E231B9" w:rsidP="00E231B9">
      <w:pPr>
        <w:pStyle w:val="equation"/>
        <w:rPr>
          <w:highlight w:val="yellow"/>
        </w:rPr>
      </w:pPr>
      <w:r w:rsidRPr="00386492">
        <w:rPr>
          <w:highlight w:val="yellow"/>
        </w:rPr>
        <w:lastRenderedPageBreak/>
        <w:tab/>
      </w:r>
      <m:oMath>
        <m:r>
          <w:rPr>
            <w:rFonts w:ascii="Cambria Math" w:hAnsi="Cambria Math"/>
            <w:highlight w:val="yellow"/>
          </w:rPr>
          <m:t>J</m:t>
        </m:r>
        <m:d>
          <m:dPr>
            <m:ctrlPr>
              <w:rPr>
                <w:rFonts w:ascii="Cambria Math" w:hAnsi="Cambria Math"/>
                <w:highlight w:val="yellow"/>
              </w:rPr>
            </m:ctrlPr>
          </m:dPr>
          <m:e>
            <m:sSub>
              <m:sSubPr>
                <m:ctrlPr>
                  <w:rPr>
                    <w:rFonts w:ascii="Cambria Math" w:hAnsi="Cambria Math"/>
                    <w:highlight w:val="yellow"/>
                  </w:rPr>
                </m:ctrlPr>
              </m:sSubPr>
              <m:e>
                <m:r>
                  <w:rPr>
                    <w:rFonts w:ascii="Cambria Math" w:hAnsi="Cambria Math"/>
                    <w:highlight w:val="yellow"/>
                  </w:rPr>
                  <m:t>S</m:t>
                </m:r>
              </m:e>
              <m:sub>
                <m:r>
                  <w:rPr>
                    <w:rFonts w:ascii="Cambria Math" w:hAnsi="Cambria Math"/>
                    <w:highlight w:val="yellow"/>
                  </w:rPr>
                  <m:t>A</m:t>
                </m:r>
              </m:sub>
            </m:sSub>
            <m:r>
              <m:rPr>
                <m:sty m:val="p"/>
              </m:rPr>
              <w:rPr>
                <w:rFonts w:ascii="Cambria Math" w:hAnsi="Cambria Math"/>
                <w:highlight w:val="yellow"/>
              </w:rPr>
              <m:t>,</m:t>
            </m:r>
            <m:sSub>
              <m:sSubPr>
                <m:ctrlPr>
                  <w:rPr>
                    <w:rFonts w:ascii="Cambria Math" w:hAnsi="Cambria Math"/>
                    <w:highlight w:val="yellow"/>
                  </w:rPr>
                </m:ctrlPr>
              </m:sSubPr>
              <m:e>
                <m:r>
                  <w:rPr>
                    <w:rFonts w:ascii="Cambria Math" w:hAnsi="Cambria Math"/>
                    <w:highlight w:val="yellow"/>
                  </w:rPr>
                  <m:t>S</m:t>
                </m:r>
              </m:e>
              <m:sub>
                <m:r>
                  <w:rPr>
                    <w:rFonts w:ascii="Cambria Math" w:hAnsi="Cambria Math"/>
                    <w:highlight w:val="yellow"/>
                  </w:rPr>
                  <m:t>B</m:t>
                </m:r>
              </m:sub>
            </m:sSub>
          </m:e>
        </m:d>
        <m:r>
          <m:rPr>
            <m:sty m:val="p"/>
          </m:rPr>
          <w:rPr>
            <w:rFonts w:ascii="Cambria Math" w:hAnsi="Cambria Math"/>
            <w:highlight w:val="yellow"/>
          </w:rPr>
          <m:t xml:space="preserve">= </m:t>
        </m:r>
        <m:f>
          <m:fPr>
            <m:ctrlPr>
              <w:rPr>
                <w:rFonts w:ascii="Cambria Math" w:hAnsi="Cambria Math"/>
                <w:highlight w:val="yellow"/>
              </w:rPr>
            </m:ctrlPr>
          </m:fPr>
          <m:num>
            <m:d>
              <m:dPr>
                <m:begChr m:val="|"/>
                <m:endChr m:val="|"/>
                <m:ctrlPr>
                  <w:rPr>
                    <w:rFonts w:ascii="Cambria Math" w:hAnsi="Cambria Math"/>
                    <w:highlight w:val="yellow"/>
                  </w:rPr>
                </m:ctrlPr>
              </m:dPr>
              <m:e>
                <m:sSub>
                  <m:sSubPr>
                    <m:ctrlPr>
                      <w:rPr>
                        <w:rFonts w:ascii="Cambria Math" w:hAnsi="Cambria Math"/>
                        <w:highlight w:val="yellow"/>
                      </w:rPr>
                    </m:ctrlPr>
                  </m:sSubPr>
                  <m:e>
                    <m:r>
                      <w:rPr>
                        <w:rFonts w:ascii="Cambria Math" w:hAnsi="Cambria Math"/>
                        <w:highlight w:val="yellow"/>
                      </w:rPr>
                      <m:t>S</m:t>
                    </m:r>
                  </m:e>
                  <m:sub>
                    <m:r>
                      <w:rPr>
                        <w:rFonts w:ascii="Cambria Math" w:hAnsi="Cambria Math"/>
                        <w:highlight w:val="yellow"/>
                      </w:rPr>
                      <m:t>A</m:t>
                    </m:r>
                  </m:sub>
                </m:sSub>
                <m:r>
                  <m:rPr>
                    <m:sty m:val="p"/>
                  </m:rPr>
                  <w:rPr>
                    <w:rFonts w:ascii="Cambria Math" w:hAnsi="Cambria Math"/>
                    <w:highlight w:val="yellow"/>
                  </w:rPr>
                  <m:t>∩</m:t>
                </m:r>
                <m:sSub>
                  <m:sSubPr>
                    <m:ctrlPr>
                      <w:rPr>
                        <w:rFonts w:ascii="Cambria Math" w:hAnsi="Cambria Math"/>
                        <w:highlight w:val="yellow"/>
                      </w:rPr>
                    </m:ctrlPr>
                  </m:sSubPr>
                  <m:e>
                    <m:r>
                      <w:rPr>
                        <w:rFonts w:ascii="Cambria Math" w:hAnsi="Cambria Math"/>
                        <w:highlight w:val="yellow"/>
                      </w:rPr>
                      <m:t>S</m:t>
                    </m:r>
                  </m:e>
                  <m:sub>
                    <m:r>
                      <w:rPr>
                        <w:rFonts w:ascii="Cambria Math" w:hAnsi="Cambria Math"/>
                        <w:highlight w:val="yellow"/>
                      </w:rPr>
                      <m:t>B</m:t>
                    </m:r>
                  </m:sub>
                </m:sSub>
              </m:e>
            </m:d>
          </m:num>
          <m:den>
            <m:d>
              <m:dPr>
                <m:begChr m:val="|"/>
                <m:endChr m:val="|"/>
                <m:ctrlPr>
                  <w:rPr>
                    <w:rFonts w:ascii="Cambria Math" w:hAnsi="Cambria Math"/>
                    <w:highlight w:val="yellow"/>
                  </w:rPr>
                </m:ctrlPr>
              </m:dPr>
              <m:e>
                <m:sSub>
                  <m:sSubPr>
                    <m:ctrlPr>
                      <w:rPr>
                        <w:rFonts w:ascii="Cambria Math" w:hAnsi="Cambria Math"/>
                        <w:highlight w:val="yellow"/>
                      </w:rPr>
                    </m:ctrlPr>
                  </m:sSubPr>
                  <m:e>
                    <m:r>
                      <w:rPr>
                        <w:rFonts w:ascii="Cambria Math" w:hAnsi="Cambria Math"/>
                        <w:highlight w:val="yellow"/>
                      </w:rPr>
                      <m:t>S</m:t>
                    </m:r>
                  </m:e>
                  <m:sub>
                    <m:r>
                      <w:rPr>
                        <w:rFonts w:ascii="Cambria Math" w:hAnsi="Cambria Math"/>
                        <w:highlight w:val="yellow"/>
                      </w:rPr>
                      <m:t>A</m:t>
                    </m:r>
                  </m:sub>
                </m:sSub>
                <m:r>
                  <m:rPr>
                    <m:sty m:val="p"/>
                  </m:rPr>
                  <w:rPr>
                    <w:rFonts w:ascii="Cambria Math" w:hAnsi="Cambria Math"/>
                    <w:highlight w:val="yellow"/>
                  </w:rPr>
                  <m:t>∪</m:t>
                </m:r>
                <m:sSub>
                  <m:sSubPr>
                    <m:ctrlPr>
                      <w:rPr>
                        <w:rFonts w:ascii="Cambria Math" w:hAnsi="Cambria Math"/>
                        <w:highlight w:val="yellow"/>
                      </w:rPr>
                    </m:ctrlPr>
                  </m:sSubPr>
                  <m:e>
                    <m:r>
                      <w:rPr>
                        <w:rFonts w:ascii="Cambria Math" w:hAnsi="Cambria Math"/>
                        <w:highlight w:val="yellow"/>
                      </w:rPr>
                      <m:t>S</m:t>
                    </m:r>
                  </m:e>
                  <m:sub>
                    <m:r>
                      <w:rPr>
                        <w:rFonts w:ascii="Cambria Math" w:hAnsi="Cambria Math"/>
                        <w:highlight w:val="yellow"/>
                      </w:rPr>
                      <m:t>B</m:t>
                    </m:r>
                  </m:sub>
                </m:sSub>
              </m:e>
            </m:d>
          </m:den>
        </m:f>
      </m:oMath>
      <w:r w:rsidR="00986AE3" w:rsidRPr="00386492">
        <w:rPr>
          <w:highlight w:val="yellow"/>
        </w:rPr>
        <w:tab/>
        <w:t>(</w:t>
      </w:r>
      <w:r w:rsidR="00986AE3" w:rsidRPr="00386492">
        <w:rPr>
          <w:highlight w:val="yellow"/>
        </w:rPr>
        <w:fldChar w:fldCharType="begin"/>
      </w:r>
      <w:r w:rsidR="00986AE3" w:rsidRPr="00386492">
        <w:rPr>
          <w:highlight w:val="yellow"/>
        </w:rPr>
        <w:instrText xml:space="preserve"> SEQ "equation" \n \* MERGEFORMAT </w:instrText>
      </w:r>
      <w:r w:rsidR="00986AE3" w:rsidRPr="00386492">
        <w:rPr>
          <w:highlight w:val="yellow"/>
        </w:rPr>
        <w:fldChar w:fldCharType="separate"/>
      </w:r>
      <w:r w:rsidR="00386492">
        <w:rPr>
          <w:noProof/>
          <w:highlight w:val="yellow"/>
        </w:rPr>
        <w:t>2</w:t>
      </w:r>
      <w:r w:rsidR="00986AE3" w:rsidRPr="00386492">
        <w:rPr>
          <w:highlight w:val="yellow"/>
        </w:rPr>
        <w:fldChar w:fldCharType="end"/>
      </w:r>
      <w:r w:rsidR="00986AE3" w:rsidRPr="00386492">
        <w:rPr>
          <w:highlight w:val="yellow"/>
        </w:rPr>
        <w:t>)</w:t>
      </w:r>
    </w:p>
    <w:p w:rsidR="00986AE3" w:rsidRPr="00386492" w:rsidRDefault="00986AE3" w:rsidP="00E231B9">
      <w:pPr>
        <w:rPr>
          <w:highlight w:val="yellow"/>
        </w:rPr>
      </w:pPr>
      <w:r w:rsidRPr="00386492">
        <w:rPr>
          <w:highlight w:val="yellow"/>
        </w:rPr>
        <w:t xml:space="preserve">Messages exhibiting a similarity threshold of </w:t>
      </w:r>
      <m:oMath>
        <m:r>
          <w:rPr>
            <w:rFonts w:ascii="Cambria Math" w:hAnsi="Cambria Math"/>
            <w:highlight w:val="yellow"/>
          </w:rPr>
          <m:t>J ≥0.85</m:t>
        </m:r>
      </m:oMath>
      <w:r w:rsidRPr="00386492">
        <w:rPr>
          <w:highlight w:val="yellow"/>
        </w:rPr>
        <w:t xml:space="preserve"> were identified as campaign variants and filtered out. This stage successfully removed 466 near-duplicate records, yielding a strictly unique benchmark corpus of 1,541 messages (878 Ham and 663 Spam). This workflow guarantees that no message pair with </w:t>
      </w:r>
      <m:oMath>
        <m:r>
          <w:rPr>
            <w:rFonts w:ascii="Cambria Math" w:hAnsi="Cambria Math"/>
            <w:highlight w:val="yellow"/>
          </w:rPr>
          <m:t xml:space="preserve">J ≥0.85 </m:t>
        </m:r>
      </m:oMath>
      <w:r w:rsidRPr="00386492">
        <w:rPr>
          <w:highlight w:val="yellow"/>
        </w:rPr>
        <w:t>spans across the training and evaluation splits of any fold.</w:t>
      </w:r>
    </w:p>
    <w:p w:rsidR="00986AE3" w:rsidRPr="00986AE3" w:rsidRDefault="00E231B9" w:rsidP="00E231B9">
      <w:r w:rsidRPr="00386492">
        <w:rPr>
          <w:highlight w:val="yellow"/>
        </w:rPr>
        <w:t>This stage successfully removed 466 near-duplicate records (408 Ham and 58 Spam variants), yielding a strictly unique benchmark corpus of 1,541 messages (878 Ham and 663 Spam</w:t>
      </w:r>
    </w:p>
    <w:p w:rsidR="00986AE3" w:rsidRPr="009B7A3D" w:rsidRDefault="00986AE3" w:rsidP="00986AE3">
      <w:pPr>
        <w:pStyle w:val="Heading3"/>
        <w:rPr>
          <w:rStyle w:val="heading30"/>
        </w:rPr>
      </w:pPr>
      <w:r>
        <w:rPr>
          <w:rStyle w:val="heading30"/>
        </w:rPr>
        <w:t>3.4.3</w:t>
      </w:r>
      <w:r w:rsidRPr="009B7A3D">
        <w:rPr>
          <w:rStyle w:val="heading30"/>
        </w:rPr>
        <w:t xml:space="preserve"> Comparative Performance Analysis</w:t>
      </w:r>
    </w:p>
    <w:p w:rsidR="00986AE3" w:rsidRPr="00386492" w:rsidRDefault="00986AE3" w:rsidP="00986AE3">
      <w:pPr>
        <w:rPr>
          <w:highlight w:val="yellow"/>
        </w:rPr>
      </w:pPr>
      <w:r w:rsidRPr="00386492">
        <w:rPr>
          <w:highlight w:val="yellow"/>
        </w:rPr>
        <w:t xml:space="preserve">Table 8 consolidates the predictive performance metrics evaluated on the independent </w:t>
      </w:r>
      <w:r w:rsidR="00F76C3D" w:rsidRPr="00386492">
        <w:rPr>
          <w:highlight w:val="yellow"/>
        </w:rPr>
        <w:t>evaluated using strati</w:t>
      </w:r>
      <w:r w:rsidR="00F76C3D" w:rsidRPr="00386492">
        <w:rPr>
          <w:highlight w:val="yellow"/>
        </w:rPr>
        <w:t xml:space="preserve">fied five-fold cross-validation </w:t>
      </w:r>
      <w:r w:rsidR="00F76C3D" w:rsidRPr="00386492">
        <w:rPr>
          <w:highlight w:val="yellow"/>
        </w:rPr>
        <w:t>All reported metrics, including Accuracy, Precision, Recall, and F1-score, were computed for the Spam class</w:t>
      </w:r>
      <w:r w:rsidRPr="00386492">
        <w:rPr>
          <w:highlight w:val="yellow"/>
        </w:rPr>
        <w:t xml:space="preserve"> for the Spam positive class (Class 1) using the harmonic mean formula:</w:t>
      </w:r>
    </w:p>
    <w:p w:rsidR="00F76C3D" w:rsidRPr="00386492" w:rsidRDefault="00F76C3D" w:rsidP="00986AE3">
      <w:pPr>
        <w:rPr>
          <w:highlight w:val="yellow"/>
        </w:rPr>
      </w:pPr>
    </w:p>
    <w:p w:rsidR="00986AE3" w:rsidRPr="00386492" w:rsidRDefault="00986AE3" w:rsidP="00986AE3">
      <w:pPr>
        <w:pStyle w:val="equation"/>
        <w:rPr>
          <w:highlight w:val="yellow"/>
        </w:rPr>
      </w:pPr>
      <w:r w:rsidRPr="00386492">
        <w:rPr>
          <w:highlight w:val="yellow"/>
        </w:rPr>
        <w:tab/>
      </w:r>
      <m:oMath>
        <m:sSub>
          <m:sSubPr>
            <m:ctrlPr>
              <w:rPr>
                <w:rFonts w:ascii="Cambria Math" w:hAnsi="Cambria Math"/>
                <w:highlight w:val="yellow"/>
              </w:rPr>
            </m:ctrlPr>
          </m:sSubPr>
          <m:e>
            <m:r>
              <w:rPr>
                <w:rFonts w:ascii="Cambria Math" w:hAnsi="Cambria Math"/>
                <w:highlight w:val="yellow"/>
              </w:rPr>
              <m:t>F</m:t>
            </m:r>
          </m:e>
          <m:sub>
            <m:r>
              <m:rPr>
                <m:sty m:val="p"/>
              </m:rPr>
              <w:rPr>
                <w:rFonts w:ascii="Cambria Math" w:hAnsi="Cambria Math"/>
                <w:highlight w:val="yellow"/>
              </w:rPr>
              <m:t>1</m:t>
            </m:r>
          </m:sub>
        </m:sSub>
        <m:r>
          <m:rPr>
            <m:sty m:val="p"/>
          </m:rPr>
          <w:rPr>
            <w:rFonts w:ascii="Cambria Math" w:hAnsi="Cambria Math"/>
            <w:highlight w:val="yellow"/>
          </w:rPr>
          <m:t>=</m:t>
        </m:r>
        <m:f>
          <m:fPr>
            <m:ctrlPr>
              <w:rPr>
                <w:rFonts w:ascii="Cambria Math" w:hAnsi="Cambria Math"/>
                <w:highlight w:val="yellow"/>
              </w:rPr>
            </m:ctrlPr>
          </m:fPr>
          <m:num>
            <m:r>
              <m:rPr>
                <m:sty m:val="p"/>
              </m:rPr>
              <w:rPr>
                <w:rFonts w:ascii="Cambria Math" w:hAnsi="Cambria Math"/>
                <w:highlight w:val="yellow"/>
              </w:rPr>
              <m:t>2</m:t>
            </m:r>
            <m:r>
              <w:rPr>
                <w:rFonts w:ascii="Cambria Math" w:hAnsi="Cambria Math"/>
                <w:highlight w:val="yellow"/>
              </w:rPr>
              <m:t>×Precision×Recall</m:t>
            </m:r>
          </m:num>
          <m:den>
            <m:r>
              <w:rPr>
                <w:rFonts w:ascii="Cambria Math" w:hAnsi="Cambria Math"/>
                <w:highlight w:val="yellow"/>
              </w:rPr>
              <m:t>Precision+Recall</m:t>
            </m:r>
          </m:den>
        </m:f>
      </m:oMath>
      <w:r w:rsidRPr="00386492">
        <w:rPr>
          <w:highlight w:val="yellow"/>
        </w:rPr>
        <w:tab/>
        <w:t>(</w:t>
      </w:r>
      <w:r w:rsidRPr="00386492">
        <w:rPr>
          <w:highlight w:val="yellow"/>
        </w:rPr>
        <w:fldChar w:fldCharType="begin"/>
      </w:r>
      <w:r w:rsidRPr="00386492">
        <w:rPr>
          <w:highlight w:val="yellow"/>
        </w:rPr>
        <w:instrText xml:space="preserve"> SEQ "equation" \n \* MERGEFORMAT </w:instrText>
      </w:r>
      <w:r w:rsidRPr="00386492">
        <w:rPr>
          <w:highlight w:val="yellow"/>
        </w:rPr>
        <w:fldChar w:fldCharType="separate"/>
      </w:r>
      <w:r w:rsidR="00386492">
        <w:rPr>
          <w:noProof/>
          <w:highlight w:val="yellow"/>
        </w:rPr>
        <w:t>3</w:t>
      </w:r>
      <w:r w:rsidRPr="00386492">
        <w:rPr>
          <w:highlight w:val="yellow"/>
        </w:rPr>
        <w:fldChar w:fldCharType="end"/>
      </w:r>
      <w:r w:rsidRPr="00386492">
        <w:rPr>
          <w:highlight w:val="yellow"/>
        </w:rPr>
        <w:t>)</w:t>
      </w:r>
    </w:p>
    <w:tbl>
      <w:tblPr>
        <w:tblStyle w:val="TableGrid"/>
        <w:tblW w:w="0" w:type="auto"/>
        <w:tblLook w:val="04A0" w:firstRow="1" w:lastRow="0" w:firstColumn="1" w:lastColumn="0" w:noHBand="0" w:noVBand="1"/>
      </w:tblPr>
      <w:tblGrid>
        <w:gridCol w:w="1444"/>
        <w:gridCol w:w="1393"/>
        <w:gridCol w:w="1391"/>
        <w:gridCol w:w="1381"/>
        <w:gridCol w:w="1297"/>
      </w:tblGrid>
      <w:tr w:rsidR="00986AE3" w:rsidRPr="00386492" w:rsidTr="00E231B9">
        <w:tc>
          <w:tcPr>
            <w:tcW w:w="1444" w:type="dxa"/>
          </w:tcPr>
          <w:p w:rsidR="00986AE3" w:rsidRPr="00386492" w:rsidRDefault="00986AE3" w:rsidP="00E231B9">
            <w:pPr>
              <w:ind w:firstLine="0"/>
              <w:rPr>
                <w:b/>
                <w:highlight w:val="yellow"/>
              </w:rPr>
            </w:pPr>
            <w:r w:rsidRPr="00386492">
              <w:rPr>
                <w:b/>
                <w:highlight w:val="yellow"/>
              </w:rPr>
              <w:t>Model Architecture</w:t>
            </w:r>
          </w:p>
        </w:tc>
        <w:tc>
          <w:tcPr>
            <w:tcW w:w="1393" w:type="dxa"/>
          </w:tcPr>
          <w:p w:rsidR="00986AE3" w:rsidRPr="00386492" w:rsidRDefault="00986AE3" w:rsidP="00E231B9">
            <w:pPr>
              <w:ind w:firstLine="0"/>
              <w:rPr>
                <w:b/>
                <w:highlight w:val="yellow"/>
              </w:rPr>
            </w:pPr>
            <w:r w:rsidRPr="00386492">
              <w:rPr>
                <w:b/>
                <w:highlight w:val="yellow"/>
              </w:rPr>
              <w:t>Accuracy (%)</w:t>
            </w:r>
          </w:p>
        </w:tc>
        <w:tc>
          <w:tcPr>
            <w:tcW w:w="1391" w:type="dxa"/>
          </w:tcPr>
          <w:p w:rsidR="00986AE3" w:rsidRPr="00386492" w:rsidRDefault="00986AE3" w:rsidP="00E231B9">
            <w:pPr>
              <w:ind w:firstLine="0"/>
              <w:rPr>
                <w:b/>
                <w:highlight w:val="yellow"/>
              </w:rPr>
            </w:pPr>
            <w:r w:rsidRPr="00386492">
              <w:rPr>
                <w:b/>
                <w:highlight w:val="yellow"/>
              </w:rPr>
              <w:t>Precision (%)</w:t>
            </w:r>
          </w:p>
        </w:tc>
        <w:tc>
          <w:tcPr>
            <w:tcW w:w="1381" w:type="dxa"/>
          </w:tcPr>
          <w:p w:rsidR="00986AE3" w:rsidRPr="00386492" w:rsidRDefault="00986AE3" w:rsidP="00E231B9">
            <w:pPr>
              <w:ind w:firstLine="0"/>
              <w:rPr>
                <w:b/>
                <w:highlight w:val="yellow"/>
              </w:rPr>
            </w:pPr>
            <w:r w:rsidRPr="00386492">
              <w:rPr>
                <w:b/>
                <w:highlight w:val="yellow"/>
              </w:rPr>
              <w:t>Recall (%)</w:t>
            </w:r>
          </w:p>
        </w:tc>
        <w:tc>
          <w:tcPr>
            <w:tcW w:w="1297" w:type="dxa"/>
          </w:tcPr>
          <w:p w:rsidR="00986AE3" w:rsidRPr="00386492" w:rsidRDefault="00986AE3" w:rsidP="00E231B9">
            <w:pPr>
              <w:ind w:firstLine="0"/>
              <w:rPr>
                <w:b/>
                <w:highlight w:val="yellow"/>
              </w:rPr>
            </w:pPr>
            <w:r w:rsidRPr="00386492">
              <w:rPr>
                <w:b/>
                <w:highlight w:val="yellow"/>
              </w:rPr>
              <w:t>F1-Score (%)</w:t>
            </w:r>
          </w:p>
        </w:tc>
      </w:tr>
      <w:tr w:rsidR="00986AE3" w:rsidRPr="00386492" w:rsidTr="00E231B9">
        <w:tc>
          <w:tcPr>
            <w:tcW w:w="1444" w:type="dxa"/>
          </w:tcPr>
          <w:p w:rsidR="00986AE3" w:rsidRPr="00386492" w:rsidRDefault="00986AE3" w:rsidP="00E231B9">
            <w:pPr>
              <w:ind w:firstLine="0"/>
              <w:rPr>
                <w:highlight w:val="yellow"/>
              </w:rPr>
            </w:pPr>
            <w:r w:rsidRPr="00386492">
              <w:rPr>
                <w:highlight w:val="yellow"/>
              </w:rPr>
              <w:t>PhoBERT-base</w:t>
            </w:r>
          </w:p>
        </w:tc>
        <w:tc>
          <w:tcPr>
            <w:tcW w:w="1393" w:type="dxa"/>
          </w:tcPr>
          <w:p w:rsidR="00986AE3" w:rsidRPr="00386492" w:rsidRDefault="00986AE3" w:rsidP="00E231B9">
            <w:pPr>
              <w:ind w:firstLine="0"/>
              <w:rPr>
                <w:highlight w:val="yellow"/>
              </w:rPr>
            </w:pPr>
            <w:r w:rsidRPr="00386492">
              <w:rPr>
                <w:highlight w:val="yellow"/>
              </w:rPr>
              <w:t xml:space="preserve">97.99% </w:t>
            </w:r>
          </w:p>
          <w:p w:rsidR="00986AE3" w:rsidRPr="00386492" w:rsidRDefault="00986AE3" w:rsidP="00E231B9">
            <w:pPr>
              <w:ind w:firstLine="0"/>
              <w:rPr>
                <w:highlight w:val="yellow"/>
              </w:rPr>
            </w:pPr>
            <w:r w:rsidRPr="00386492">
              <w:rPr>
                <w:highlight w:val="yellow"/>
              </w:rPr>
              <w:t>± 0.91%</w:t>
            </w:r>
          </w:p>
        </w:tc>
        <w:tc>
          <w:tcPr>
            <w:tcW w:w="1391" w:type="dxa"/>
          </w:tcPr>
          <w:p w:rsidR="00986AE3" w:rsidRPr="00386492" w:rsidRDefault="00986AE3" w:rsidP="00E231B9">
            <w:pPr>
              <w:ind w:firstLine="0"/>
              <w:rPr>
                <w:highlight w:val="yellow"/>
              </w:rPr>
            </w:pPr>
            <w:r w:rsidRPr="00386492">
              <w:rPr>
                <w:highlight w:val="yellow"/>
              </w:rPr>
              <w:t xml:space="preserve">97.74% </w:t>
            </w:r>
          </w:p>
          <w:p w:rsidR="00986AE3" w:rsidRPr="00386492" w:rsidRDefault="00986AE3" w:rsidP="00E231B9">
            <w:pPr>
              <w:ind w:firstLine="0"/>
              <w:rPr>
                <w:highlight w:val="yellow"/>
              </w:rPr>
            </w:pPr>
            <w:r w:rsidRPr="00386492">
              <w:rPr>
                <w:highlight w:val="yellow"/>
              </w:rPr>
              <w:t>± 1.25%</w:t>
            </w:r>
          </w:p>
        </w:tc>
        <w:tc>
          <w:tcPr>
            <w:tcW w:w="1381" w:type="dxa"/>
          </w:tcPr>
          <w:p w:rsidR="00986AE3" w:rsidRPr="00386492" w:rsidRDefault="00986AE3" w:rsidP="00E231B9">
            <w:pPr>
              <w:ind w:firstLine="0"/>
              <w:rPr>
                <w:highlight w:val="yellow"/>
              </w:rPr>
            </w:pPr>
            <w:r w:rsidRPr="00386492">
              <w:rPr>
                <w:highlight w:val="yellow"/>
              </w:rPr>
              <w:t xml:space="preserve">97.59% </w:t>
            </w:r>
          </w:p>
          <w:p w:rsidR="00986AE3" w:rsidRPr="00386492" w:rsidRDefault="00986AE3" w:rsidP="00E231B9">
            <w:pPr>
              <w:ind w:firstLine="0"/>
              <w:rPr>
                <w:highlight w:val="yellow"/>
              </w:rPr>
            </w:pPr>
            <w:r w:rsidRPr="00386492">
              <w:rPr>
                <w:highlight w:val="yellow"/>
              </w:rPr>
              <w:t>± 1.00%</w:t>
            </w:r>
          </w:p>
        </w:tc>
        <w:tc>
          <w:tcPr>
            <w:tcW w:w="1297" w:type="dxa"/>
          </w:tcPr>
          <w:p w:rsidR="00986AE3" w:rsidRPr="00386492" w:rsidRDefault="00986AE3" w:rsidP="00E231B9">
            <w:pPr>
              <w:ind w:firstLine="0"/>
              <w:rPr>
                <w:highlight w:val="yellow"/>
              </w:rPr>
            </w:pPr>
            <w:r w:rsidRPr="00386492">
              <w:rPr>
                <w:highlight w:val="yellow"/>
              </w:rPr>
              <w:t xml:space="preserve">97.66% </w:t>
            </w:r>
          </w:p>
          <w:p w:rsidR="00986AE3" w:rsidRPr="00386492" w:rsidRDefault="00986AE3" w:rsidP="00E231B9">
            <w:pPr>
              <w:ind w:firstLine="0"/>
              <w:rPr>
                <w:highlight w:val="yellow"/>
              </w:rPr>
            </w:pPr>
            <w:r w:rsidRPr="00386492">
              <w:rPr>
                <w:highlight w:val="yellow"/>
              </w:rPr>
              <w:t>± 1.05%</w:t>
            </w:r>
          </w:p>
        </w:tc>
      </w:tr>
      <w:tr w:rsidR="00986AE3" w:rsidRPr="00386492" w:rsidTr="00E231B9">
        <w:tc>
          <w:tcPr>
            <w:tcW w:w="1444" w:type="dxa"/>
          </w:tcPr>
          <w:p w:rsidR="00986AE3" w:rsidRPr="00386492" w:rsidRDefault="00986AE3" w:rsidP="00E231B9">
            <w:pPr>
              <w:ind w:firstLine="0"/>
              <w:rPr>
                <w:highlight w:val="yellow"/>
              </w:rPr>
            </w:pPr>
            <w:r w:rsidRPr="00386492">
              <w:rPr>
                <w:highlight w:val="yellow"/>
              </w:rPr>
              <w:t>SVM (Linear)</w:t>
            </w:r>
          </w:p>
        </w:tc>
        <w:tc>
          <w:tcPr>
            <w:tcW w:w="1393" w:type="dxa"/>
          </w:tcPr>
          <w:p w:rsidR="00986AE3" w:rsidRPr="00386492" w:rsidRDefault="00986AE3" w:rsidP="00E231B9">
            <w:pPr>
              <w:ind w:firstLine="0"/>
              <w:rPr>
                <w:highlight w:val="yellow"/>
              </w:rPr>
            </w:pPr>
            <w:r w:rsidRPr="00386492">
              <w:rPr>
                <w:highlight w:val="yellow"/>
              </w:rPr>
              <w:t xml:space="preserve">96.69% </w:t>
            </w:r>
          </w:p>
          <w:p w:rsidR="00986AE3" w:rsidRPr="00386492" w:rsidRDefault="00986AE3" w:rsidP="00E231B9">
            <w:pPr>
              <w:ind w:firstLine="0"/>
              <w:rPr>
                <w:highlight w:val="yellow"/>
              </w:rPr>
            </w:pPr>
            <w:r w:rsidRPr="00386492">
              <w:rPr>
                <w:highlight w:val="yellow"/>
              </w:rPr>
              <w:t>± 1.86%</w:t>
            </w:r>
          </w:p>
        </w:tc>
        <w:tc>
          <w:tcPr>
            <w:tcW w:w="1391" w:type="dxa"/>
          </w:tcPr>
          <w:p w:rsidR="00986AE3" w:rsidRPr="00386492" w:rsidRDefault="00986AE3" w:rsidP="00E231B9">
            <w:pPr>
              <w:ind w:firstLine="0"/>
              <w:rPr>
                <w:highlight w:val="yellow"/>
              </w:rPr>
            </w:pPr>
            <w:r w:rsidRPr="00386492">
              <w:rPr>
                <w:highlight w:val="yellow"/>
              </w:rPr>
              <w:t xml:space="preserve">95.21% </w:t>
            </w:r>
          </w:p>
          <w:p w:rsidR="00986AE3" w:rsidRPr="00386492" w:rsidRDefault="00986AE3" w:rsidP="00E231B9">
            <w:pPr>
              <w:ind w:firstLine="0"/>
              <w:rPr>
                <w:highlight w:val="yellow"/>
              </w:rPr>
            </w:pPr>
            <w:r w:rsidRPr="00386492">
              <w:rPr>
                <w:highlight w:val="yellow"/>
              </w:rPr>
              <w:t>± 3.12%</w:t>
            </w:r>
          </w:p>
        </w:tc>
        <w:tc>
          <w:tcPr>
            <w:tcW w:w="1381" w:type="dxa"/>
          </w:tcPr>
          <w:p w:rsidR="00986AE3" w:rsidRPr="00386492" w:rsidRDefault="00986AE3" w:rsidP="00E231B9">
            <w:pPr>
              <w:ind w:firstLine="0"/>
              <w:rPr>
                <w:highlight w:val="yellow"/>
              </w:rPr>
            </w:pPr>
            <w:r w:rsidRPr="00386492">
              <w:rPr>
                <w:highlight w:val="yellow"/>
              </w:rPr>
              <w:t xml:space="preserve">97.29% </w:t>
            </w:r>
          </w:p>
          <w:p w:rsidR="00986AE3" w:rsidRPr="00386492" w:rsidRDefault="00986AE3" w:rsidP="00E231B9">
            <w:pPr>
              <w:ind w:firstLine="0"/>
              <w:rPr>
                <w:highlight w:val="yellow"/>
              </w:rPr>
            </w:pPr>
            <w:r w:rsidRPr="00386492">
              <w:rPr>
                <w:highlight w:val="yellow"/>
              </w:rPr>
              <w:t>± 1.31%</w:t>
            </w:r>
          </w:p>
        </w:tc>
        <w:tc>
          <w:tcPr>
            <w:tcW w:w="1297" w:type="dxa"/>
          </w:tcPr>
          <w:p w:rsidR="00986AE3" w:rsidRPr="00386492" w:rsidRDefault="00986AE3" w:rsidP="00E231B9">
            <w:pPr>
              <w:ind w:firstLine="0"/>
              <w:rPr>
                <w:highlight w:val="yellow"/>
              </w:rPr>
            </w:pPr>
            <w:r w:rsidRPr="00386492">
              <w:rPr>
                <w:highlight w:val="yellow"/>
              </w:rPr>
              <w:t xml:space="preserve">96.22% </w:t>
            </w:r>
          </w:p>
          <w:p w:rsidR="00986AE3" w:rsidRPr="00386492" w:rsidRDefault="00986AE3" w:rsidP="00E231B9">
            <w:pPr>
              <w:ind w:firstLine="0"/>
              <w:rPr>
                <w:highlight w:val="yellow"/>
              </w:rPr>
            </w:pPr>
            <w:r w:rsidRPr="00386492">
              <w:rPr>
                <w:highlight w:val="yellow"/>
              </w:rPr>
              <w:t>± 2.10%</w:t>
            </w:r>
          </w:p>
        </w:tc>
      </w:tr>
      <w:tr w:rsidR="00986AE3" w:rsidRPr="00386492" w:rsidTr="00E231B9">
        <w:tc>
          <w:tcPr>
            <w:tcW w:w="1444" w:type="dxa"/>
          </w:tcPr>
          <w:p w:rsidR="00986AE3" w:rsidRPr="00386492" w:rsidRDefault="00986AE3" w:rsidP="00E231B9">
            <w:pPr>
              <w:ind w:firstLine="0"/>
              <w:rPr>
                <w:highlight w:val="yellow"/>
              </w:rPr>
            </w:pPr>
            <w:r w:rsidRPr="00386492">
              <w:rPr>
                <w:highlight w:val="yellow"/>
              </w:rPr>
              <w:t>SVM (RBF)</w:t>
            </w:r>
          </w:p>
        </w:tc>
        <w:tc>
          <w:tcPr>
            <w:tcW w:w="1393" w:type="dxa"/>
          </w:tcPr>
          <w:p w:rsidR="00986AE3" w:rsidRPr="00386492" w:rsidRDefault="00986AE3" w:rsidP="00E231B9">
            <w:pPr>
              <w:ind w:firstLine="0"/>
              <w:rPr>
                <w:highlight w:val="yellow"/>
              </w:rPr>
            </w:pPr>
            <w:r w:rsidRPr="00386492">
              <w:rPr>
                <w:highlight w:val="yellow"/>
              </w:rPr>
              <w:t xml:space="preserve">96.88% </w:t>
            </w:r>
          </w:p>
          <w:p w:rsidR="00986AE3" w:rsidRPr="00386492" w:rsidRDefault="00986AE3" w:rsidP="00E231B9">
            <w:pPr>
              <w:ind w:firstLine="0"/>
              <w:rPr>
                <w:highlight w:val="yellow"/>
              </w:rPr>
            </w:pPr>
            <w:r w:rsidRPr="00386492">
              <w:rPr>
                <w:highlight w:val="yellow"/>
              </w:rPr>
              <w:t>± 1.57%</w:t>
            </w:r>
          </w:p>
        </w:tc>
        <w:tc>
          <w:tcPr>
            <w:tcW w:w="1391" w:type="dxa"/>
          </w:tcPr>
          <w:p w:rsidR="00986AE3" w:rsidRPr="00386492" w:rsidRDefault="00986AE3" w:rsidP="00E231B9">
            <w:pPr>
              <w:ind w:firstLine="0"/>
              <w:rPr>
                <w:highlight w:val="yellow"/>
              </w:rPr>
            </w:pPr>
            <w:r w:rsidRPr="00386492">
              <w:rPr>
                <w:highlight w:val="yellow"/>
              </w:rPr>
              <w:t xml:space="preserve">94.97% </w:t>
            </w:r>
          </w:p>
          <w:p w:rsidR="00986AE3" w:rsidRPr="00386492" w:rsidRDefault="00986AE3" w:rsidP="00E231B9">
            <w:pPr>
              <w:ind w:firstLine="0"/>
              <w:rPr>
                <w:highlight w:val="yellow"/>
              </w:rPr>
            </w:pPr>
            <w:r w:rsidRPr="00386492">
              <w:rPr>
                <w:highlight w:val="yellow"/>
              </w:rPr>
              <w:t>± 2.98%</w:t>
            </w:r>
          </w:p>
        </w:tc>
        <w:tc>
          <w:tcPr>
            <w:tcW w:w="1381" w:type="dxa"/>
          </w:tcPr>
          <w:p w:rsidR="00986AE3" w:rsidRPr="00386492" w:rsidRDefault="00986AE3" w:rsidP="00E231B9">
            <w:pPr>
              <w:ind w:firstLine="0"/>
              <w:rPr>
                <w:highlight w:val="yellow"/>
              </w:rPr>
            </w:pPr>
            <w:r w:rsidRPr="00386492">
              <w:rPr>
                <w:highlight w:val="yellow"/>
              </w:rPr>
              <w:t xml:space="preserve">98.04% </w:t>
            </w:r>
          </w:p>
          <w:p w:rsidR="00986AE3" w:rsidRPr="00386492" w:rsidRDefault="00986AE3" w:rsidP="00E231B9">
            <w:pPr>
              <w:ind w:firstLine="0"/>
              <w:rPr>
                <w:highlight w:val="yellow"/>
              </w:rPr>
            </w:pPr>
            <w:r w:rsidRPr="00386492">
              <w:rPr>
                <w:highlight w:val="yellow"/>
              </w:rPr>
              <w:t>± 0.60%</w:t>
            </w:r>
          </w:p>
        </w:tc>
        <w:tc>
          <w:tcPr>
            <w:tcW w:w="1297" w:type="dxa"/>
          </w:tcPr>
          <w:p w:rsidR="00986AE3" w:rsidRPr="00386492" w:rsidRDefault="00986AE3" w:rsidP="00E231B9">
            <w:pPr>
              <w:ind w:firstLine="0"/>
              <w:rPr>
                <w:highlight w:val="yellow"/>
              </w:rPr>
            </w:pPr>
            <w:r w:rsidRPr="00386492">
              <w:rPr>
                <w:highlight w:val="yellow"/>
              </w:rPr>
              <w:t xml:space="preserve">96.46% </w:t>
            </w:r>
          </w:p>
          <w:p w:rsidR="00986AE3" w:rsidRPr="00386492" w:rsidRDefault="00986AE3" w:rsidP="00E231B9">
            <w:pPr>
              <w:ind w:firstLine="0"/>
              <w:rPr>
                <w:highlight w:val="yellow"/>
              </w:rPr>
            </w:pPr>
            <w:r w:rsidRPr="00386492">
              <w:rPr>
                <w:highlight w:val="yellow"/>
              </w:rPr>
              <w:t>± 1.75%</w:t>
            </w:r>
          </w:p>
        </w:tc>
      </w:tr>
      <w:tr w:rsidR="00986AE3" w:rsidRPr="00386492" w:rsidTr="00E231B9">
        <w:tc>
          <w:tcPr>
            <w:tcW w:w="1444" w:type="dxa"/>
          </w:tcPr>
          <w:p w:rsidR="00986AE3" w:rsidRPr="00386492" w:rsidRDefault="00986AE3" w:rsidP="00E231B9">
            <w:pPr>
              <w:ind w:firstLine="0"/>
              <w:rPr>
                <w:highlight w:val="yellow"/>
              </w:rPr>
            </w:pPr>
            <w:r w:rsidRPr="00386492">
              <w:rPr>
                <w:highlight w:val="yellow"/>
              </w:rPr>
              <w:t>Multi-Layer Perceptron</w:t>
            </w:r>
          </w:p>
        </w:tc>
        <w:tc>
          <w:tcPr>
            <w:tcW w:w="1393" w:type="dxa"/>
          </w:tcPr>
          <w:p w:rsidR="00986AE3" w:rsidRPr="00386492" w:rsidRDefault="00986AE3" w:rsidP="00E231B9">
            <w:pPr>
              <w:ind w:firstLine="0"/>
              <w:rPr>
                <w:highlight w:val="yellow"/>
              </w:rPr>
            </w:pPr>
            <w:r w:rsidRPr="00386492">
              <w:rPr>
                <w:highlight w:val="yellow"/>
              </w:rPr>
              <w:t xml:space="preserve">96.30% </w:t>
            </w:r>
          </w:p>
          <w:p w:rsidR="00986AE3" w:rsidRPr="00386492" w:rsidRDefault="00986AE3" w:rsidP="00E231B9">
            <w:pPr>
              <w:ind w:firstLine="0"/>
              <w:rPr>
                <w:highlight w:val="yellow"/>
              </w:rPr>
            </w:pPr>
            <w:r w:rsidRPr="00386492">
              <w:rPr>
                <w:highlight w:val="yellow"/>
              </w:rPr>
              <w:t>± 1.69%</w:t>
            </w:r>
          </w:p>
        </w:tc>
        <w:tc>
          <w:tcPr>
            <w:tcW w:w="1391" w:type="dxa"/>
          </w:tcPr>
          <w:p w:rsidR="00986AE3" w:rsidRPr="00386492" w:rsidRDefault="00986AE3" w:rsidP="00E231B9">
            <w:pPr>
              <w:ind w:firstLine="0"/>
              <w:rPr>
                <w:highlight w:val="yellow"/>
              </w:rPr>
            </w:pPr>
            <w:r w:rsidRPr="00386492">
              <w:rPr>
                <w:highlight w:val="yellow"/>
              </w:rPr>
              <w:t xml:space="preserve">94.62% </w:t>
            </w:r>
          </w:p>
          <w:p w:rsidR="00986AE3" w:rsidRPr="00386492" w:rsidRDefault="00986AE3" w:rsidP="00E231B9">
            <w:pPr>
              <w:ind w:firstLine="0"/>
              <w:rPr>
                <w:highlight w:val="yellow"/>
              </w:rPr>
            </w:pPr>
            <w:r w:rsidRPr="00386492">
              <w:rPr>
                <w:highlight w:val="yellow"/>
              </w:rPr>
              <w:t>± 2.73%</w:t>
            </w:r>
          </w:p>
        </w:tc>
        <w:tc>
          <w:tcPr>
            <w:tcW w:w="1381" w:type="dxa"/>
          </w:tcPr>
          <w:p w:rsidR="00986AE3" w:rsidRPr="00386492" w:rsidRDefault="00986AE3" w:rsidP="00E231B9">
            <w:pPr>
              <w:ind w:firstLine="0"/>
              <w:rPr>
                <w:highlight w:val="yellow"/>
              </w:rPr>
            </w:pPr>
            <w:r w:rsidRPr="00386492">
              <w:rPr>
                <w:highlight w:val="yellow"/>
              </w:rPr>
              <w:t xml:space="preserve">96.98% </w:t>
            </w:r>
          </w:p>
          <w:p w:rsidR="00986AE3" w:rsidRPr="00386492" w:rsidRDefault="00986AE3" w:rsidP="00E231B9">
            <w:pPr>
              <w:ind w:firstLine="0"/>
              <w:rPr>
                <w:highlight w:val="yellow"/>
              </w:rPr>
            </w:pPr>
            <w:r w:rsidRPr="00386492">
              <w:rPr>
                <w:highlight w:val="yellow"/>
              </w:rPr>
              <w:t>± 1.36%</w:t>
            </w:r>
          </w:p>
        </w:tc>
        <w:tc>
          <w:tcPr>
            <w:tcW w:w="1297" w:type="dxa"/>
          </w:tcPr>
          <w:p w:rsidR="00986AE3" w:rsidRPr="00386492" w:rsidRDefault="00986AE3" w:rsidP="00E231B9">
            <w:pPr>
              <w:ind w:firstLine="0"/>
              <w:rPr>
                <w:highlight w:val="yellow"/>
              </w:rPr>
            </w:pPr>
            <w:r w:rsidRPr="00386492">
              <w:rPr>
                <w:highlight w:val="yellow"/>
              </w:rPr>
              <w:t xml:space="preserve">95.77% </w:t>
            </w:r>
          </w:p>
          <w:p w:rsidR="00986AE3" w:rsidRPr="00386492" w:rsidRDefault="00986AE3" w:rsidP="00E231B9">
            <w:pPr>
              <w:ind w:firstLine="0"/>
              <w:rPr>
                <w:highlight w:val="yellow"/>
              </w:rPr>
            </w:pPr>
            <w:r w:rsidRPr="00386492">
              <w:rPr>
                <w:highlight w:val="yellow"/>
              </w:rPr>
              <w:t>± 1.90%</w:t>
            </w:r>
          </w:p>
        </w:tc>
      </w:tr>
      <w:tr w:rsidR="00986AE3" w:rsidRPr="00386492" w:rsidTr="00E231B9">
        <w:tc>
          <w:tcPr>
            <w:tcW w:w="1444" w:type="dxa"/>
          </w:tcPr>
          <w:p w:rsidR="00986AE3" w:rsidRPr="00386492" w:rsidRDefault="00986AE3" w:rsidP="00E231B9">
            <w:pPr>
              <w:ind w:firstLine="0"/>
              <w:rPr>
                <w:highlight w:val="yellow"/>
              </w:rPr>
            </w:pPr>
            <w:r w:rsidRPr="00386492">
              <w:rPr>
                <w:highlight w:val="yellow"/>
              </w:rPr>
              <w:t>Logistic Regression</w:t>
            </w:r>
          </w:p>
        </w:tc>
        <w:tc>
          <w:tcPr>
            <w:tcW w:w="1393" w:type="dxa"/>
          </w:tcPr>
          <w:p w:rsidR="00986AE3" w:rsidRPr="00386492" w:rsidRDefault="00986AE3" w:rsidP="00E231B9">
            <w:pPr>
              <w:ind w:firstLine="0"/>
              <w:rPr>
                <w:highlight w:val="yellow"/>
              </w:rPr>
            </w:pPr>
            <w:r w:rsidRPr="00386492">
              <w:rPr>
                <w:highlight w:val="yellow"/>
              </w:rPr>
              <w:t xml:space="preserve">96.30% </w:t>
            </w:r>
          </w:p>
          <w:p w:rsidR="00986AE3" w:rsidRPr="00386492" w:rsidRDefault="00986AE3" w:rsidP="00E231B9">
            <w:pPr>
              <w:ind w:firstLine="0"/>
              <w:rPr>
                <w:highlight w:val="yellow"/>
              </w:rPr>
            </w:pPr>
            <w:r w:rsidRPr="00386492">
              <w:rPr>
                <w:highlight w:val="yellow"/>
              </w:rPr>
              <w:t>± 1.50%</w:t>
            </w:r>
          </w:p>
        </w:tc>
        <w:tc>
          <w:tcPr>
            <w:tcW w:w="1391" w:type="dxa"/>
          </w:tcPr>
          <w:p w:rsidR="00986AE3" w:rsidRPr="00386492" w:rsidRDefault="00986AE3" w:rsidP="00E231B9">
            <w:pPr>
              <w:ind w:firstLine="0"/>
              <w:rPr>
                <w:highlight w:val="yellow"/>
              </w:rPr>
            </w:pPr>
            <w:r w:rsidRPr="00386492">
              <w:rPr>
                <w:highlight w:val="yellow"/>
              </w:rPr>
              <w:t xml:space="preserve">94.87% </w:t>
            </w:r>
          </w:p>
          <w:p w:rsidR="00986AE3" w:rsidRPr="00386492" w:rsidRDefault="00986AE3" w:rsidP="00E231B9">
            <w:pPr>
              <w:ind w:firstLine="0"/>
              <w:rPr>
                <w:highlight w:val="yellow"/>
              </w:rPr>
            </w:pPr>
            <w:r w:rsidRPr="00386492">
              <w:rPr>
                <w:highlight w:val="yellow"/>
              </w:rPr>
              <w:t>± 2.54%</w:t>
            </w:r>
          </w:p>
        </w:tc>
        <w:tc>
          <w:tcPr>
            <w:tcW w:w="1381" w:type="dxa"/>
          </w:tcPr>
          <w:p w:rsidR="00986AE3" w:rsidRPr="00386492" w:rsidRDefault="00986AE3" w:rsidP="00E231B9">
            <w:pPr>
              <w:ind w:firstLine="0"/>
              <w:rPr>
                <w:highlight w:val="yellow"/>
              </w:rPr>
            </w:pPr>
            <w:r w:rsidRPr="00386492">
              <w:rPr>
                <w:highlight w:val="yellow"/>
              </w:rPr>
              <w:t xml:space="preserve">96.68% </w:t>
            </w:r>
          </w:p>
          <w:p w:rsidR="00986AE3" w:rsidRPr="00386492" w:rsidRDefault="00986AE3" w:rsidP="00E231B9">
            <w:pPr>
              <w:ind w:firstLine="0"/>
              <w:rPr>
                <w:highlight w:val="yellow"/>
              </w:rPr>
            </w:pPr>
            <w:r w:rsidRPr="00386492">
              <w:rPr>
                <w:highlight w:val="yellow"/>
              </w:rPr>
              <w:t>± 1.02%</w:t>
            </w:r>
          </w:p>
        </w:tc>
        <w:tc>
          <w:tcPr>
            <w:tcW w:w="1297" w:type="dxa"/>
          </w:tcPr>
          <w:p w:rsidR="00986AE3" w:rsidRPr="00386492" w:rsidRDefault="00986AE3" w:rsidP="00E231B9">
            <w:pPr>
              <w:ind w:firstLine="0"/>
              <w:rPr>
                <w:highlight w:val="yellow"/>
              </w:rPr>
            </w:pPr>
            <w:r w:rsidRPr="00386492">
              <w:rPr>
                <w:highlight w:val="yellow"/>
              </w:rPr>
              <w:t xml:space="preserve">95.76% </w:t>
            </w:r>
          </w:p>
          <w:p w:rsidR="00986AE3" w:rsidRPr="00386492" w:rsidRDefault="00986AE3" w:rsidP="00E231B9">
            <w:pPr>
              <w:ind w:firstLine="0"/>
              <w:rPr>
                <w:highlight w:val="yellow"/>
              </w:rPr>
            </w:pPr>
            <w:r w:rsidRPr="00386492">
              <w:rPr>
                <w:highlight w:val="yellow"/>
              </w:rPr>
              <w:t>± 1.68%</w:t>
            </w:r>
          </w:p>
        </w:tc>
      </w:tr>
      <w:tr w:rsidR="00986AE3" w:rsidRPr="00386492" w:rsidTr="00E231B9">
        <w:trPr>
          <w:trHeight w:val="597"/>
        </w:trPr>
        <w:tc>
          <w:tcPr>
            <w:tcW w:w="1444" w:type="dxa"/>
          </w:tcPr>
          <w:p w:rsidR="00986AE3" w:rsidRPr="00386492" w:rsidRDefault="00986AE3" w:rsidP="00E231B9">
            <w:pPr>
              <w:ind w:firstLine="0"/>
              <w:rPr>
                <w:highlight w:val="yellow"/>
              </w:rPr>
            </w:pPr>
            <w:r w:rsidRPr="00386492">
              <w:rPr>
                <w:highlight w:val="yellow"/>
              </w:rPr>
              <w:t>Multinomial Naive Bayes</w:t>
            </w:r>
          </w:p>
        </w:tc>
        <w:tc>
          <w:tcPr>
            <w:tcW w:w="1393" w:type="dxa"/>
          </w:tcPr>
          <w:p w:rsidR="00986AE3" w:rsidRPr="00386492" w:rsidRDefault="00986AE3" w:rsidP="00E231B9">
            <w:pPr>
              <w:ind w:firstLine="0"/>
              <w:rPr>
                <w:highlight w:val="yellow"/>
              </w:rPr>
            </w:pPr>
            <w:r w:rsidRPr="00386492">
              <w:rPr>
                <w:highlight w:val="yellow"/>
              </w:rPr>
              <w:t xml:space="preserve">93.58% </w:t>
            </w:r>
          </w:p>
          <w:p w:rsidR="00986AE3" w:rsidRPr="00386492" w:rsidRDefault="00986AE3" w:rsidP="00E231B9">
            <w:pPr>
              <w:ind w:firstLine="0"/>
              <w:rPr>
                <w:highlight w:val="yellow"/>
              </w:rPr>
            </w:pPr>
            <w:r w:rsidRPr="00386492">
              <w:rPr>
                <w:highlight w:val="yellow"/>
              </w:rPr>
              <w:t>± 1.02%</w:t>
            </w:r>
          </w:p>
        </w:tc>
        <w:tc>
          <w:tcPr>
            <w:tcW w:w="1391" w:type="dxa"/>
          </w:tcPr>
          <w:p w:rsidR="00986AE3" w:rsidRPr="00386492" w:rsidRDefault="00986AE3" w:rsidP="00E231B9">
            <w:pPr>
              <w:ind w:firstLine="0"/>
              <w:rPr>
                <w:highlight w:val="yellow"/>
              </w:rPr>
            </w:pPr>
            <w:r w:rsidRPr="00386492">
              <w:rPr>
                <w:highlight w:val="yellow"/>
              </w:rPr>
              <w:t xml:space="preserve">94.25% </w:t>
            </w:r>
          </w:p>
          <w:p w:rsidR="00986AE3" w:rsidRPr="00386492" w:rsidRDefault="00986AE3" w:rsidP="00E231B9">
            <w:pPr>
              <w:ind w:firstLine="0"/>
              <w:rPr>
                <w:highlight w:val="yellow"/>
              </w:rPr>
            </w:pPr>
            <w:r w:rsidRPr="00386492">
              <w:rPr>
                <w:highlight w:val="yellow"/>
              </w:rPr>
              <w:t>± 1.62%</w:t>
            </w:r>
          </w:p>
        </w:tc>
        <w:tc>
          <w:tcPr>
            <w:tcW w:w="1381" w:type="dxa"/>
          </w:tcPr>
          <w:p w:rsidR="00986AE3" w:rsidRPr="00386492" w:rsidRDefault="00986AE3" w:rsidP="00E231B9">
            <w:pPr>
              <w:ind w:firstLine="0"/>
              <w:rPr>
                <w:highlight w:val="yellow"/>
              </w:rPr>
            </w:pPr>
            <w:r w:rsidRPr="00386492">
              <w:rPr>
                <w:highlight w:val="yellow"/>
              </w:rPr>
              <w:t xml:space="preserve">90.65% </w:t>
            </w:r>
          </w:p>
          <w:p w:rsidR="00986AE3" w:rsidRPr="00386492" w:rsidRDefault="00986AE3" w:rsidP="00E231B9">
            <w:pPr>
              <w:ind w:firstLine="0"/>
              <w:rPr>
                <w:highlight w:val="yellow"/>
              </w:rPr>
            </w:pPr>
            <w:r w:rsidRPr="00386492">
              <w:rPr>
                <w:highlight w:val="yellow"/>
              </w:rPr>
              <w:t>± 2.71%</w:t>
            </w:r>
          </w:p>
        </w:tc>
        <w:tc>
          <w:tcPr>
            <w:tcW w:w="1297" w:type="dxa"/>
          </w:tcPr>
          <w:p w:rsidR="00986AE3" w:rsidRPr="00386492" w:rsidRDefault="00986AE3" w:rsidP="00E231B9">
            <w:pPr>
              <w:ind w:firstLine="0"/>
              <w:rPr>
                <w:highlight w:val="yellow"/>
              </w:rPr>
            </w:pPr>
            <w:r w:rsidRPr="00386492">
              <w:rPr>
                <w:highlight w:val="yellow"/>
              </w:rPr>
              <w:t xml:space="preserve">92.38% </w:t>
            </w:r>
          </w:p>
          <w:p w:rsidR="00986AE3" w:rsidRPr="00386492" w:rsidRDefault="00986AE3" w:rsidP="00E231B9">
            <w:pPr>
              <w:ind w:firstLine="0"/>
              <w:rPr>
                <w:highlight w:val="yellow"/>
              </w:rPr>
            </w:pPr>
            <w:r w:rsidRPr="00386492">
              <w:rPr>
                <w:highlight w:val="yellow"/>
              </w:rPr>
              <w:t>± 1.28%</w:t>
            </w:r>
          </w:p>
        </w:tc>
      </w:tr>
    </w:tbl>
    <w:p w:rsidR="00986AE3" w:rsidRPr="00386492" w:rsidRDefault="00986AE3" w:rsidP="00986AE3">
      <w:pPr>
        <w:pStyle w:val="tablecaption"/>
        <w:jc w:val="both"/>
        <w:rPr>
          <w:highlight w:val="yellow"/>
        </w:rPr>
      </w:pPr>
      <w:r w:rsidRPr="00386492">
        <w:rPr>
          <w:b/>
          <w:highlight w:val="yellow"/>
        </w:rPr>
        <w:t xml:space="preserve">Table </w:t>
      </w:r>
      <w:r w:rsidRPr="00386492">
        <w:rPr>
          <w:b/>
          <w:highlight w:val="yellow"/>
        </w:rPr>
        <w:fldChar w:fldCharType="begin"/>
      </w:r>
      <w:r w:rsidRPr="00386492">
        <w:rPr>
          <w:b/>
          <w:highlight w:val="yellow"/>
        </w:rPr>
        <w:instrText xml:space="preserve"> SEQ "Table" \* MERGEFORMAT </w:instrText>
      </w:r>
      <w:r w:rsidRPr="00386492">
        <w:rPr>
          <w:b/>
          <w:highlight w:val="yellow"/>
        </w:rPr>
        <w:fldChar w:fldCharType="separate"/>
      </w:r>
      <w:r w:rsidR="00386492">
        <w:rPr>
          <w:b/>
          <w:noProof/>
          <w:highlight w:val="yellow"/>
        </w:rPr>
        <w:t>8</w:t>
      </w:r>
      <w:r w:rsidRPr="00386492">
        <w:rPr>
          <w:b/>
          <w:highlight w:val="yellow"/>
        </w:rPr>
        <w:fldChar w:fldCharType="end"/>
      </w:r>
      <w:r w:rsidRPr="00386492">
        <w:rPr>
          <w:b/>
          <w:highlight w:val="yellow"/>
        </w:rPr>
        <w:t>.</w:t>
      </w:r>
      <w:r w:rsidRPr="00386492">
        <w:rPr>
          <w:highlight w:val="yellow"/>
        </w:rPr>
        <w:t xml:space="preserve"> Baseline classification performance comparison on the unique dataset (1,541 records) evaluated using stratified five-fold cross-validation (Mean ± Std).</w:t>
      </w:r>
    </w:p>
    <w:p w:rsidR="00986AE3" w:rsidRPr="00386492" w:rsidRDefault="00986AE3" w:rsidP="00986AE3">
      <w:pPr>
        <w:overflowPunct/>
        <w:autoSpaceDE/>
        <w:autoSpaceDN/>
        <w:adjustRightInd/>
        <w:spacing w:line="240" w:lineRule="auto"/>
        <w:ind w:firstLine="0"/>
        <w:jc w:val="left"/>
        <w:textAlignment w:val="auto"/>
        <w:rPr>
          <w:highlight w:val="yellow"/>
        </w:rPr>
      </w:pPr>
      <w:r w:rsidRPr="00386492">
        <w:rPr>
          <w:highlight w:val="yellow"/>
        </w:rPr>
        <w:t xml:space="preserve">As detailed in Table 8, the fine-tuned deep contextual Transformer model, PhoBERT-base, achieved the highest overall classification efficacy across the 5 folds, attaining a </w:t>
      </w:r>
      <w:r w:rsidR="00F76C3D" w:rsidRPr="00386492">
        <w:rPr>
          <w:highlight w:val="yellow"/>
        </w:rPr>
        <w:t>mean cross-validation accuracy</w:t>
      </w:r>
      <w:r w:rsidR="00F76C3D" w:rsidRPr="00386492">
        <w:rPr>
          <w:highlight w:val="yellow"/>
        </w:rPr>
        <w:t xml:space="preserve"> </w:t>
      </w:r>
      <w:r w:rsidRPr="00386492">
        <w:rPr>
          <w:highlight w:val="yellow"/>
        </w:rPr>
        <w:t>of 97.99% ± 0.91%, a precision of 97.74% ± 1.25%, a recall of 97.59% ± 1.00%, and an F1-Score of 97.66% ± 1.05%. To further evaluate statistical robustness independently of fold partitioning, a non-pa</w:t>
      </w:r>
      <w:r w:rsidR="00E231B9" w:rsidRPr="00386492">
        <w:rPr>
          <w:highlight w:val="yellow"/>
        </w:rPr>
        <w:t>rametric Bootstrap resampling (</w:t>
      </w:r>
      <m:oMath>
        <m:r>
          <w:rPr>
            <w:rFonts w:ascii="Cambria Math" w:hAnsi="Cambria Math"/>
            <w:highlight w:val="yellow"/>
          </w:rPr>
          <m:t>B=1000</m:t>
        </m:r>
      </m:oMath>
      <w:r w:rsidRPr="00386492">
        <w:rPr>
          <w:highlight w:val="yellow"/>
        </w:rPr>
        <w:t xml:space="preserve">) was conducted on out-of-fold predictions. As reported in </w:t>
      </w:r>
      <w:r w:rsidRPr="00386492">
        <w:rPr>
          <w:highlight w:val="yellow"/>
        </w:rPr>
        <w:lastRenderedPageBreak/>
        <w:t xml:space="preserve">Table 9, PhoBERT-base consistently maintained the highest lower-bound performance, yielding a narrow 95% F1-score confidence interval of [96.85%, 98.42%]. </w:t>
      </w:r>
    </w:p>
    <w:p w:rsidR="00986AE3" w:rsidRPr="00386492" w:rsidRDefault="00986AE3" w:rsidP="00986AE3">
      <w:pPr>
        <w:overflowPunct/>
        <w:autoSpaceDE/>
        <w:autoSpaceDN/>
        <w:adjustRightInd/>
        <w:spacing w:line="240" w:lineRule="auto"/>
        <w:ind w:firstLine="0"/>
        <w:jc w:val="left"/>
        <w:textAlignment w:val="auto"/>
        <w:rPr>
          <w:highlight w:val="yellow"/>
        </w:rPr>
      </w:pPr>
    </w:p>
    <w:tbl>
      <w:tblPr>
        <w:tblStyle w:val="TableGrid"/>
        <w:tblW w:w="0" w:type="auto"/>
        <w:tblLook w:val="04A0" w:firstRow="1" w:lastRow="0" w:firstColumn="1" w:lastColumn="0" w:noHBand="0" w:noVBand="1"/>
      </w:tblPr>
      <w:tblGrid>
        <w:gridCol w:w="1444"/>
        <w:gridCol w:w="1528"/>
        <w:gridCol w:w="1256"/>
        <w:gridCol w:w="1381"/>
        <w:gridCol w:w="1297"/>
      </w:tblGrid>
      <w:tr w:rsidR="00986AE3" w:rsidRPr="00386492" w:rsidTr="00E231B9">
        <w:tc>
          <w:tcPr>
            <w:tcW w:w="1444" w:type="dxa"/>
          </w:tcPr>
          <w:p w:rsidR="00986AE3" w:rsidRPr="00386492" w:rsidRDefault="00986AE3" w:rsidP="00E231B9">
            <w:pPr>
              <w:ind w:firstLine="0"/>
              <w:rPr>
                <w:b/>
                <w:highlight w:val="yellow"/>
              </w:rPr>
            </w:pPr>
            <w:r w:rsidRPr="00386492">
              <w:rPr>
                <w:b/>
                <w:highlight w:val="yellow"/>
              </w:rPr>
              <w:t>Model Architecture</w:t>
            </w:r>
          </w:p>
        </w:tc>
        <w:tc>
          <w:tcPr>
            <w:tcW w:w="1528" w:type="dxa"/>
          </w:tcPr>
          <w:p w:rsidR="00986AE3" w:rsidRPr="00386492" w:rsidRDefault="00986AE3" w:rsidP="00E231B9">
            <w:pPr>
              <w:ind w:firstLine="0"/>
              <w:rPr>
                <w:b/>
                <w:highlight w:val="yellow"/>
              </w:rPr>
            </w:pPr>
            <w:r w:rsidRPr="00386492">
              <w:rPr>
                <w:b/>
                <w:highlight w:val="yellow"/>
              </w:rPr>
              <w:t>Accuracy 95% CI (%)</w:t>
            </w:r>
          </w:p>
        </w:tc>
        <w:tc>
          <w:tcPr>
            <w:tcW w:w="1256" w:type="dxa"/>
          </w:tcPr>
          <w:p w:rsidR="00986AE3" w:rsidRPr="00386492" w:rsidRDefault="00986AE3" w:rsidP="00E231B9">
            <w:pPr>
              <w:ind w:firstLine="0"/>
              <w:rPr>
                <w:b/>
                <w:highlight w:val="yellow"/>
              </w:rPr>
            </w:pPr>
            <w:r w:rsidRPr="00386492">
              <w:rPr>
                <w:b/>
                <w:highlight w:val="yellow"/>
              </w:rPr>
              <w:t>Precision 95% CI (%)</w:t>
            </w:r>
          </w:p>
        </w:tc>
        <w:tc>
          <w:tcPr>
            <w:tcW w:w="1381" w:type="dxa"/>
          </w:tcPr>
          <w:p w:rsidR="00986AE3" w:rsidRPr="00386492" w:rsidRDefault="00986AE3" w:rsidP="00E231B9">
            <w:pPr>
              <w:ind w:firstLine="0"/>
              <w:rPr>
                <w:b/>
                <w:highlight w:val="yellow"/>
              </w:rPr>
            </w:pPr>
            <w:r w:rsidRPr="00386492">
              <w:rPr>
                <w:b/>
                <w:highlight w:val="yellow"/>
              </w:rPr>
              <w:t>Recall 95% CI (%)</w:t>
            </w:r>
          </w:p>
        </w:tc>
        <w:tc>
          <w:tcPr>
            <w:tcW w:w="1297" w:type="dxa"/>
          </w:tcPr>
          <w:p w:rsidR="00986AE3" w:rsidRPr="00386492" w:rsidRDefault="00986AE3" w:rsidP="00E231B9">
            <w:pPr>
              <w:ind w:firstLine="0"/>
              <w:rPr>
                <w:b/>
                <w:highlight w:val="yellow"/>
              </w:rPr>
            </w:pPr>
            <w:r w:rsidRPr="00386492">
              <w:rPr>
                <w:b/>
                <w:highlight w:val="yellow"/>
              </w:rPr>
              <w:t>F1-Score 95% CI (%)</w:t>
            </w:r>
          </w:p>
        </w:tc>
      </w:tr>
      <w:tr w:rsidR="00986AE3" w:rsidRPr="00386492" w:rsidTr="00E231B9">
        <w:tc>
          <w:tcPr>
            <w:tcW w:w="1444" w:type="dxa"/>
          </w:tcPr>
          <w:p w:rsidR="00986AE3" w:rsidRPr="00386492" w:rsidRDefault="00986AE3" w:rsidP="00E231B9">
            <w:pPr>
              <w:ind w:firstLine="0"/>
              <w:rPr>
                <w:highlight w:val="yellow"/>
              </w:rPr>
            </w:pPr>
            <w:r w:rsidRPr="00386492">
              <w:rPr>
                <w:highlight w:val="yellow"/>
              </w:rPr>
              <w:t>PhoBERT-base</w:t>
            </w:r>
          </w:p>
        </w:tc>
        <w:tc>
          <w:tcPr>
            <w:tcW w:w="1528" w:type="dxa"/>
          </w:tcPr>
          <w:p w:rsidR="00986AE3" w:rsidRPr="00386492" w:rsidRDefault="00986AE3" w:rsidP="00E231B9">
            <w:pPr>
              <w:ind w:firstLine="0"/>
              <w:rPr>
                <w:highlight w:val="yellow"/>
              </w:rPr>
            </w:pPr>
            <w:r w:rsidRPr="00386492">
              <w:rPr>
                <w:highlight w:val="yellow"/>
              </w:rPr>
              <w:t>[97.27%, 98.64%]</w:t>
            </w:r>
          </w:p>
        </w:tc>
        <w:tc>
          <w:tcPr>
            <w:tcW w:w="1256" w:type="dxa"/>
          </w:tcPr>
          <w:p w:rsidR="00986AE3" w:rsidRPr="00386492" w:rsidRDefault="00986AE3" w:rsidP="00E231B9">
            <w:pPr>
              <w:ind w:firstLine="0"/>
              <w:rPr>
                <w:highlight w:val="yellow"/>
              </w:rPr>
            </w:pPr>
            <w:r w:rsidRPr="00386492">
              <w:rPr>
                <w:highlight w:val="yellow"/>
              </w:rPr>
              <w:t>[96.59%, 98.79%]</w:t>
            </w:r>
          </w:p>
        </w:tc>
        <w:tc>
          <w:tcPr>
            <w:tcW w:w="1381" w:type="dxa"/>
          </w:tcPr>
          <w:p w:rsidR="00986AE3" w:rsidRPr="00386492" w:rsidRDefault="00986AE3" w:rsidP="00E231B9">
            <w:pPr>
              <w:ind w:firstLine="0"/>
              <w:rPr>
                <w:highlight w:val="yellow"/>
              </w:rPr>
            </w:pPr>
            <w:r w:rsidRPr="00386492">
              <w:rPr>
                <w:highlight w:val="yellow"/>
              </w:rPr>
              <w:t>[96.38%, 98.64%]</w:t>
            </w:r>
          </w:p>
        </w:tc>
        <w:tc>
          <w:tcPr>
            <w:tcW w:w="1297" w:type="dxa"/>
          </w:tcPr>
          <w:p w:rsidR="00986AE3" w:rsidRPr="00386492" w:rsidRDefault="00986AE3" w:rsidP="00E231B9">
            <w:pPr>
              <w:ind w:firstLine="0"/>
              <w:rPr>
                <w:highlight w:val="yellow"/>
              </w:rPr>
            </w:pPr>
            <w:r w:rsidRPr="00386492">
              <w:rPr>
                <w:highlight w:val="yellow"/>
              </w:rPr>
              <w:t>[96.85%, 98.42%]</w:t>
            </w:r>
          </w:p>
        </w:tc>
      </w:tr>
      <w:tr w:rsidR="00986AE3" w:rsidRPr="00386492" w:rsidTr="00E231B9">
        <w:tc>
          <w:tcPr>
            <w:tcW w:w="1444" w:type="dxa"/>
          </w:tcPr>
          <w:p w:rsidR="00986AE3" w:rsidRPr="00386492" w:rsidRDefault="00986AE3" w:rsidP="00E231B9">
            <w:pPr>
              <w:ind w:firstLine="0"/>
              <w:rPr>
                <w:highlight w:val="yellow"/>
              </w:rPr>
            </w:pPr>
            <w:r w:rsidRPr="00386492">
              <w:rPr>
                <w:highlight w:val="yellow"/>
              </w:rPr>
              <w:t>SVM (Linear)</w:t>
            </w:r>
          </w:p>
        </w:tc>
        <w:tc>
          <w:tcPr>
            <w:tcW w:w="1528" w:type="dxa"/>
          </w:tcPr>
          <w:p w:rsidR="00986AE3" w:rsidRPr="00386492" w:rsidRDefault="00986AE3" w:rsidP="00E231B9">
            <w:pPr>
              <w:ind w:firstLine="0"/>
              <w:rPr>
                <w:highlight w:val="yellow"/>
              </w:rPr>
            </w:pPr>
            <w:r w:rsidRPr="00386492">
              <w:rPr>
                <w:highlight w:val="yellow"/>
              </w:rPr>
              <w:t>[95.78%, 97.47%]</w:t>
            </w:r>
          </w:p>
        </w:tc>
        <w:tc>
          <w:tcPr>
            <w:tcW w:w="1256" w:type="dxa"/>
          </w:tcPr>
          <w:p w:rsidR="00986AE3" w:rsidRPr="00386492" w:rsidRDefault="00986AE3" w:rsidP="00E231B9">
            <w:pPr>
              <w:ind w:firstLine="0"/>
              <w:rPr>
                <w:highlight w:val="yellow"/>
              </w:rPr>
            </w:pPr>
            <w:r w:rsidRPr="00386492">
              <w:rPr>
                <w:highlight w:val="yellow"/>
              </w:rPr>
              <w:t>[93.52%, 96.55%]</w:t>
            </w:r>
          </w:p>
        </w:tc>
        <w:tc>
          <w:tcPr>
            <w:tcW w:w="1381" w:type="dxa"/>
          </w:tcPr>
          <w:p w:rsidR="00986AE3" w:rsidRPr="00386492" w:rsidRDefault="00986AE3" w:rsidP="00E231B9">
            <w:pPr>
              <w:ind w:firstLine="0"/>
              <w:rPr>
                <w:highlight w:val="yellow"/>
              </w:rPr>
            </w:pPr>
            <w:r w:rsidRPr="00386492">
              <w:rPr>
                <w:highlight w:val="yellow"/>
              </w:rPr>
              <w:t>[96.02%, 98.44%]</w:t>
            </w:r>
          </w:p>
        </w:tc>
        <w:tc>
          <w:tcPr>
            <w:tcW w:w="1297" w:type="dxa"/>
          </w:tcPr>
          <w:p w:rsidR="00986AE3" w:rsidRPr="00386492" w:rsidRDefault="00986AE3" w:rsidP="00E231B9">
            <w:pPr>
              <w:ind w:firstLine="0"/>
              <w:rPr>
                <w:highlight w:val="yellow"/>
              </w:rPr>
            </w:pPr>
            <w:r w:rsidRPr="00386492">
              <w:rPr>
                <w:highlight w:val="yellow"/>
              </w:rPr>
              <w:t>[95.15%, 97.10%]</w:t>
            </w:r>
          </w:p>
        </w:tc>
      </w:tr>
      <w:tr w:rsidR="00986AE3" w:rsidRPr="00386492" w:rsidTr="00E231B9">
        <w:tc>
          <w:tcPr>
            <w:tcW w:w="1444" w:type="dxa"/>
          </w:tcPr>
          <w:p w:rsidR="00986AE3" w:rsidRPr="00386492" w:rsidRDefault="00986AE3" w:rsidP="00E231B9">
            <w:pPr>
              <w:ind w:firstLine="0"/>
              <w:rPr>
                <w:highlight w:val="yellow"/>
              </w:rPr>
            </w:pPr>
            <w:r w:rsidRPr="00386492">
              <w:rPr>
                <w:highlight w:val="yellow"/>
              </w:rPr>
              <w:t>SVM (RBF)</w:t>
            </w:r>
          </w:p>
        </w:tc>
        <w:tc>
          <w:tcPr>
            <w:tcW w:w="1528" w:type="dxa"/>
          </w:tcPr>
          <w:p w:rsidR="00986AE3" w:rsidRPr="00386492" w:rsidRDefault="00986AE3" w:rsidP="00E231B9">
            <w:pPr>
              <w:ind w:firstLine="0"/>
              <w:rPr>
                <w:highlight w:val="yellow"/>
              </w:rPr>
            </w:pPr>
            <w:r w:rsidRPr="00386492">
              <w:rPr>
                <w:highlight w:val="yellow"/>
              </w:rPr>
              <w:t>[95.98%, 97.73%]</w:t>
            </w:r>
          </w:p>
        </w:tc>
        <w:tc>
          <w:tcPr>
            <w:tcW w:w="1256" w:type="dxa"/>
          </w:tcPr>
          <w:p w:rsidR="00986AE3" w:rsidRPr="00386492" w:rsidRDefault="00986AE3" w:rsidP="00E231B9">
            <w:pPr>
              <w:ind w:firstLine="0"/>
              <w:rPr>
                <w:highlight w:val="yellow"/>
              </w:rPr>
            </w:pPr>
            <w:r w:rsidRPr="00386492">
              <w:rPr>
                <w:highlight w:val="yellow"/>
              </w:rPr>
              <w:t>[93.26%, 96.45%]</w:t>
            </w:r>
          </w:p>
        </w:tc>
        <w:tc>
          <w:tcPr>
            <w:tcW w:w="1381" w:type="dxa"/>
          </w:tcPr>
          <w:p w:rsidR="00986AE3" w:rsidRPr="00386492" w:rsidRDefault="00986AE3" w:rsidP="00E231B9">
            <w:pPr>
              <w:ind w:firstLine="0"/>
              <w:rPr>
                <w:highlight w:val="yellow"/>
              </w:rPr>
            </w:pPr>
            <w:r w:rsidRPr="00386492">
              <w:rPr>
                <w:highlight w:val="yellow"/>
              </w:rPr>
              <w:t>[96.97%, 99.07%]</w:t>
            </w:r>
          </w:p>
        </w:tc>
        <w:tc>
          <w:tcPr>
            <w:tcW w:w="1297" w:type="dxa"/>
          </w:tcPr>
          <w:p w:rsidR="00986AE3" w:rsidRPr="00386492" w:rsidRDefault="00986AE3" w:rsidP="00E231B9">
            <w:pPr>
              <w:ind w:firstLine="0"/>
              <w:rPr>
                <w:highlight w:val="yellow"/>
              </w:rPr>
            </w:pPr>
            <w:r w:rsidRPr="00386492">
              <w:rPr>
                <w:highlight w:val="yellow"/>
              </w:rPr>
              <w:t>[95.36%, 97.38%]</w:t>
            </w:r>
          </w:p>
        </w:tc>
      </w:tr>
      <w:tr w:rsidR="00986AE3" w:rsidRPr="00386492" w:rsidTr="00E231B9">
        <w:tc>
          <w:tcPr>
            <w:tcW w:w="1444" w:type="dxa"/>
          </w:tcPr>
          <w:p w:rsidR="00986AE3" w:rsidRPr="00386492" w:rsidRDefault="00986AE3" w:rsidP="00E231B9">
            <w:pPr>
              <w:ind w:firstLine="0"/>
              <w:rPr>
                <w:highlight w:val="yellow"/>
              </w:rPr>
            </w:pPr>
            <w:r w:rsidRPr="00386492">
              <w:rPr>
                <w:highlight w:val="yellow"/>
              </w:rPr>
              <w:t>Multi-Layer Perceptron</w:t>
            </w:r>
          </w:p>
        </w:tc>
        <w:tc>
          <w:tcPr>
            <w:tcW w:w="1528" w:type="dxa"/>
          </w:tcPr>
          <w:p w:rsidR="00986AE3" w:rsidRPr="00386492" w:rsidRDefault="00986AE3" w:rsidP="00E231B9">
            <w:pPr>
              <w:ind w:firstLine="0"/>
              <w:rPr>
                <w:highlight w:val="yellow"/>
              </w:rPr>
            </w:pPr>
            <w:r w:rsidRPr="00386492">
              <w:rPr>
                <w:highlight w:val="yellow"/>
              </w:rPr>
              <w:t>[95.33%, 97.14%]</w:t>
            </w:r>
          </w:p>
        </w:tc>
        <w:tc>
          <w:tcPr>
            <w:tcW w:w="1256" w:type="dxa"/>
          </w:tcPr>
          <w:p w:rsidR="00986AE3" w:rsidRPr="00386492" w:rsidRDefault="00986AE3" w:rsidP="00E231B9">
            <w:pPr>
              <w:ind w:firstLine="0"/>
              <w:rPr>
                <w:highlight w:val="yellow"/>
              </w:rPr>
            </w:pPr>
            <w:r w:rsidRPr="00386492">
              <w:rPr>
                <w:highlight w:val="yellow"/>
              </w:rPr>
              <w:t>[92.93%, 96.11%]</w:t>
            </w:r>
          </w:p>
        </w:tc>
        <w:tc>
          <w:tcPr>
            <w:tcW w:w="1381" w:type="dxa"/>
          </w:tcPr>
          <w:p w:rsidR="00986AE3" w:rsidRPr="00386492" w:rsidRDefault="00986AE3" w:rsidP="00E231B9">
            <w:pPr>
              <w:ind w:firstLine="0"/>
              <w:rPr>
                <w:highlight w:val="yellow"/>
              </w:rPr>
            </w:pPr>
            <w:r w:rsidRPr="00386492">
              <w:rPr>
                <w:highlight w:val="yellow"/>
              </w:rPr>
              <w:t>[95.59%, 98.17%]</w:t>
            </w:r>
          </w:p>
        </w:tc>
        <w:tc>
          <w:tcPr>
            <w:tcW w:w="1297" w:type="dxa"/>
          </w:tcPr>
          <w:p w:rsidR="00986AE3" w:rsidRPr="00386492" w:rsidRDefault="00986AE3" w:rsidP="00E231B9">
            <w:pPr>
              <w:ind w:firstLine="0"/>
              <w:rPr>
                <w:highlight w:val="yellow"/>
              </w:rPr>
            </w:pPr>
            <w:r w:rsidRPr="00386492">
              <w:rPr>
                <w:highlight w:val="yellow"/>
              </w:rPr>
              <w:t>[94.63%, 96.76%]</w:t>
            </w:r>
          </w:p>
        </w:tc>
      </w:tr>
      <w:tr w:rsidR="00986AE3" w:rsidRPr="00386492" w:rsidTr="00E231B9">
        <w:tc>
          <w:tcPr>
            <w:tcW w:w="1444" w:type="dxa"/>
          </w:tcPr>
          <w:p w:rsidR="00986AE3" w:rsidRPr="00386492" w:rsidRDefault="00986AE3" w:rsidP="00E231B9">
            <w:pPr>
              <w:ind w:firstLine="0"/>
              <w:rPr>
                <w:highlight w:val="yellow"/>
              </w:rPr>
            </w:pPr>
            <w:r w:rsidRPr="00386492">
              <w:rPr>
                <w:highlight w:val="yellow"/>
              </w:rPr>
              <w:t>Logistic Regression</w:t>
            </w:r>
          </w:p>
        </w:tc>
        <w:tc>
          <w:tcPr>
            <w:tcW w:w="1528" w:type="dxa"/>
          </w:tcPr>
          <w:p w:rsidR="00986AE3" w:rsidRPr="00386492" w:rsidRDefault="00986AE3" w:rsidP="00E231B9">
            <w:pPr>
              <w:ind w:firstLine="0"/>
              <w:rPr>
                <w:highlight w:val="yellow"/>
              </w:rPr>
            </w:pPr>
            <w:r w:rsidRPr="00386492">
              <w:rPr>
                <w:highlight w:val="yellow"/>
              </w:rPr>
              <w:t>[95.33%, 97.14%]</w:t>
            </w:r>
          </w:p>
        </w:tc>
        <w:tc>
          <w:tcPr>
            <w:tcW w:w="1256" w:type="dxa"/>
          </w:tcPr>
          <w:p w:rsidR="00986AE3" w:rsidRPr="00386492" w:rsidRDefault="00986AE3" w:rsidP="00E231B9">
            <w:pPr>
              <w:ind w:firstLine="0"/>
              <w:rPr>
                <w:highlight w:val="yellow"/>
              </w:rPr>
            </w:pPr>
            <w:r w:rsidRPr="00386492">
              <w:rPr>
                <w:highlight w:val="yellow"/>
              </w:rPr>
              <w:t>[92.95%, 96.40%]</w:t>
            </w:r>
          </w:p>
        </w:tc>
        <w:tc>
          <w:tcPr>
            <w:tcW w:w="1381" w:type="dxa"/>
          </w:tcPr>
          <w:p w:rsidR="00986AE3" w:rsidRPr="00386492" w:rsidRDefault="00986AE3" w:rsidP="00E231B9">
            <w:pPr>
              <w:ind w:firstLine="0"/>
              <w:rPr>
                <w:highlight w:val="yellow"/>
              </w:rPr>
            </w:pPr>
            <w:r w:rsidRPr="00386492">
              <w:rPr>
                <w:highlight w:val="yellow"/>
              </w:rPr>
              <w:t>[95.32%, 97.91%]</w:t>
            </w:r>
          </w:p>
        </w:tc>
        <w:tc>
          <w:tcPr>
            <w:tcW w:w="1297" w:type="dxa"/>
          </w:tcPr>
          <w:p w:rsidR="00986AE3" w:rsidRPr="00386492" w:rsidRDefault="00986AE3" w:rsidP="00E231B9">
            <w:pPr>
              <w:ind w:firstLine="0"/>
              <w:rPr>
                <w:highlight w:val="yellow"/>
              </w:rPr>
            </w:pPr>
            <w:r w:rsidRPr="00386492">
              <w:rPr>
                <w:highlight w:val="yellow"/>
              </w:rPr>
              <w:t>[94.62%, 96.75%]</w:t>
            </w:r>
          </w:p>
        </w:tc>
      </w:tr>
      <w:tr w:rsidR="00986AE3" w:rsidRPr="00386492" w:rsidTr="00E231B9">
        <w:trPr>
          <w:trHeight w:val="597"/>
        </w:trPr>
        <w:tc>
          <w:tcPr>
            <w:tcW w:w="1444" w:type="dxa"/>
          </w:tcPr>
          <w:p w:rsidR="00986AE3" w:rsidRPr="00386492" w:rsidRDefault="00986AE3" w:rsidP="00E231B9">
            <w:pPr>
              <w:ind w:firstLine="0"/>
              <w:rPr>
                <w:highlight w:val="yellow"/>
              </w:rPr>
            </w:pPr>
            <w:r w:rsidRPr="00386492">
              <w:rPr>
                <w:highlight w:val="yellow"/>
              </w:rPr>
              <w:t>Multinomial Naive Bayes</w:t>
            </w:r>
          </w:p>
        </w:tc>
        <w:tc>
          <w:tcPr>
            <w:tcW w:w="1528" w:type="dxa"/>
          </w:tcPr>
          <w:p w:rsidR="00986AE3" w:rsidRPr="00386492" w:rsidRDefault="00986AE3" w:rsidP="00E231B9">
            <w:pPr>
              <w:ind w:firstLine="0"/>
              <w:rPr>
                <w:highlight w:val="yellow"/>
              </w:rPr>
            </w:pPr>
            <w:r w:rsidRPr="00386492">
              <w:rPr>
                <w:highlight w:val="yellow"/>
              </w:rPr>
              <w:t>[92.34%, 94.81%]</w:t>
            </w:r>
          </w:p>
        </w:tc>
        <w:tc>
          <w:tcPr>
            <w:tcW w:w="1256" w:type="dxa"/>
          </w:tcPr>
          <w:p w:rsidR="00986AE3" w:rsidRPr="00386492" w:rsidRDefault="00986AE3" w:rsidP="00E231B9">
            <w:pPr>
              <w:ind w:firstLine="0"/>
              <w:rPr>
                <w:highlight w:val="yellow"/>
              </w:rPr>
            </w:pPr>
            <w:r w:rsidRPr="00386492">
              <w:rPr>
                <w:highlight w:val="yellow"/>
              </w:rPr>
              <w:t>[92.24%, 95.94%]</w:t>
            </w:r>
          </w:p>
        </w:tc>
        <w:tc>
          <w:tcPr>
            <w:tcW w:w="1381" w:type="dxa"/>
          </w:tcPr>
          <w:p w:rsidR="00986AE3" w:rsidRPr="00386492" w:rsidRDefault="00986AE3" w:rsidP="00E231B9">
            <w:pPr>
              <w:ind w:firstLine="0"/>
              <w:rPr>
                <w:highlight w:val="yellow"/>
              </w:rPr>
            </w:pPr>
            <w:r w:rsidRPr="00386492">
              <w:rPr>
                <w:highlight w:val="yellow"/>
              </w:rPr>
              <w:t>[88.22%, 92.73%]</w:t>
            </w:r>
          </w:p>
        </w:tc>
        <w:tc>
          <w:tcPr>
            <w:tcW w:w="1297" w:type="dxa"/>
          </w:tcPr>
          <w:p w:rsidR="00986AE3" w:rsidRPr="00386492" w:rsidRDefault="00986AE3" w:rsidP="00E231B9">
            <w:pPr>
              <w:ind w:firstLine="0"/>
              <w:rPr>
                <w:highlight w:val="yellow"/>
              </w:rPr>
            </w:pPr>
            <w:r w:rsidRPr="00386492">
              <w:rPr>
                <w:highlight w:val="yellow"/>
              </w:rPr>
              <w:t>[90.73%, 93.83%]</w:t>
            </w:r>
          </w:p>
        </w:tc>
      </w:tr>
    </w:tbl>
    <w:p w:rsidR="00986AE3" w:rsidRPr="00386492" w:rsidRDefault="00986AE3" w:rsidP="00986AE3">
      <w:pPr>
        <w:pStyle w:val="tablecaption"/>
        <w:jc w:val="both"/>
        <w:rPr>
          <w:highlight w:val="yellow"/>
        </w:rPr>
      </w:pPr>
      <w:r w:rsidRPr="00386492">
        <w:rPr>
          <w:b/>
          <w:highlight w:val="yellow"/>
        </w:rPr>
        <w:t xml:space="preserve">Table </w:t>
      </w:r>
      <w:r w:rsidRPr="00386492">
        <w:rPr>
          <w:b/>
          <w:highlight w:val="yellow"/>
        </w:rPr>
        <w:fldChar w:fldCharType="begin"/>
      </w:r>
      <w:r w:rsidRPr="00386492">
        <w:rPr>
          <w:b/>
          <w:highlight w:val="yellow"/>
        </w:rPr>
        <w:instrText xml:space="preserve"> SEQ "Table" \* MERGEFORMAT </w:instrText>
      </w:r>
      <w:r w:rsidRPr="00386492">
        <w:rPr>
          <w:b/>
          <w:highlight w:val="yellow"/>
        </w:rPr>
        <w:fldChar w:fldCharType="separate"/>
      </w:r>
      <w:r w:rsidR="00386492">
        <w:rPr>
          <w:b/>
          <w:noProof/>
          <w:highlight w:val="yellow"/>
        </w:rPr>
        <w:t>9</w:t>
      </w:r>
      <w:r w:rsidRPr="00386492">
        <w:rPr>
          <w:b/>
          <w:highlight w:val="yellow"/>
        </w:rPr>
        <w:fldChar w:fldCharType="end"/>
      </w:r>
      <w:r w:rsidRPr="00386492">
        <w:rPr>
          <w:b/>
          <w:highlight w:val="yellow"/>
        </w:rPr>
        <w:t>.</w:t>
      </w:r>
      <w:r w:rsidRPr="00386492">
        <w:rPr>
          <w:highlight w:val="yellow"/>
        </w:rPr>
        <w:t xml:space="preserve"> Bootstrap 95% Confidence Intervals (B=1000 resamples) computed on out-of-fold predictions.</w:t>
      </w:r>
    </w:p>
    <w:p w:rsidR="00F76C3D" w:rsidRPr="00386492" w:rsidRDefault="00F76C3D" w:rsidP="00F76C3D">
      <w:pPr>
        <w:rPr>
          <w:highlight w:val="yellow"/>
        </w:rPr>
      </w:pPr>
      <w:r w:rsidRPr="00386492">
        <w:rPr>
          <w:highlight w:val="yellow"/>
        </w:rPr>
        <w:t>Bootstrap resampling was performed on the aggregated out-of-fold predictions generated during five-fold cross-validation. Each bootstrap sample was obtained by sampling prediction pairs with replacement 1,000 times.</w:t>
      </w:r>
    </w:p>
    <w:p w:rsidR="00986AE3" w:rsidRPr="000509AE" w:rsidRDefault="00986AE3" w:rsidP="00986AE3">
      <w:r w:rsidRPr="00386492">
        <w:rPr>
          <w:highlight w:val="yellow"/>
        </w:rPr>
        <w:t>Among traditional machine learning baselines, SVM with RBF kernel achieved the highest overall recall (98.04% ± 0.60%) with an F1-Score of 96.46% ± 1.75%, closely followed by Linear SVM (96.22% ± 2.10%). Logistic Regression and MLP demonstrated stable convergence around ~95.76% F1-score. Conversely, Multinomial Naive Bayes registered the lowest performance (92.38% ± 1.28% F1-score) due to a noticeable degradation in recall (90.65% ± 2.71%), caused by its conditional independence assumption failing to model complex word dependencies in adversarial phishing messages.</w:t>
      </w:r>
    </w:p>
    <w:p w:rsidR="00986AE3" w:rsidRDefault="00986AE3" w:rsidP="00986AE3">
      <w:pPr>
        <w:pStyle w:val="heading1"/>
        <w:tabs>
          <w:tab w:val="left" w:pos="567"/>
        </w:tabs>
        <w:ind w:right="567"/>
      </w:pPr>
      <w:r>
        <w:t>Conclusion and Future work</w:t>
      </w:r>
    </w:p>
    <w:p w:rsidR="00986AE3" w:rsidRDefault="00986AE3" w:rsidP="00986AE3">
      <w:pPr>
        <w:rPr>
          <w:lang w:val="en-GB" w:eastAsia="en-GB"/>
        </w:rPr>
      </w:pPr>
      <w:r>
        <w:t>This study establishes a rigorous and transparent annotation methodology for constructing a high-quality Vietnamese SMS dataset, shifting the emphasis from simple data accumulation to reproducible quality control. Rather than dismissing human disagreement as statistical noise, the proposed framework leverages annotator divergence as a critical linguistic signal to uncover semantic ambiguities and systematically refine the underlying gold standard labels.</w:t>
      </w:r>
    </w:p>
    <w:p w:rsidR="00986AE3" w:rsidRDefault="00986AE3" w:rsidP="00986AE3">
      <w:r>
        <w:t>The empirical analysis of the initial corpus phase demonstrates the structural efficiency of this framework. Prior to formal adjudication, the independent labeling phase involving ten annotators achieved an overall Fleiss' Kappa coefficient of 0.9856, sig</w:t>
      </w:r>
      <w:r>
        <w:lastRenderedPageBreak/>
        <w:t>nifying an "Almost Perfect Agreement." This pattern clearly validates that contemporary Vietnamese mobile phishing campaigns employ highly deceptive syntax and localized semantic variations that tend to polarize human perception. By routing these specific borderline instances through the structured disagreement resolution workflow, the methodology effectively guarantees the integrity of the finalized dataset.</w:t>
      </w:r>
    </w:p>
    <w:p w:rsidR="00986AE3" w:rsidRDefault="00986AE3" w:rsidP="00986AE3">
      <w:r>
        <w:t>At the current developmental stage, the corpus comprises 2,058 collected messages, of which 2,007 have successfully progressed through the complete multi-annotator validation pipeline. To ensure absolute transparency and facilitate open-science collaboration, the final benchmark dataset is packaged alongside its rigorous Annotation Guideline, granular disagreement metadata, and diverse distribution formats.</w:t>
      </w:r>
    </w:p>
    <w:p w:rsidR="00986AE3" w:rsidRDefault="00986AE3" w:rsidP="00986AE3">
      <w:r>
        <w:t>Future initiatives will actively expand this corpus beyond its current phase to achieve a targeted milestone of over 5,000 annotated Vietnamese SMS messages. This expansion will specifically focus on capturing newly emerging, sophisticated phishing variants to continuously stress-test and evolve the proposed resolution framework. Ultimately, this scaling corpus will serve as a foundational, high-fidelity benchmark for training and evaluating next-generation intelligent cybersecurity detection systems within the Vietnamese natural language processing domain.</w:t>
      </w:r>
    </w:p>
    <w:p w:rsidR="00986AE3" w:rsidRDefault="00986AE3" w:rsidP="00986AE3">
      <w:pPr>
        <w:pStyle w:val="heading1"/>
        <w:numPr>
          <w:ilvl w:val="0"/>
          <w:numId w:val="0"/>
        </w:numPr>
        <w:ind w:left="567" w:hanging="567"/>
      </w:pPr>
      <w:r>
        <w:t>References</w:t>
      </w:r>
    </w:p>
    <w:p w:rsidR="00986AE3" w:rsidRDefault="00986AE3" w:rsidP="00986AE3">
      <w:pPr>
        <w:pStyle w:val="referenceitem"/>
        <w:numPr>
          <w:ilvl w:val="0"/>
          <w:numId w:val="8"/>
        </w:numPr>
        <w:tabs>
          <w:tab w:val="left" w:pos="341"/>
        </w:tabs>
      </w:pPr>
      <w:r>
        <w:t xml:space="preserve">DataReportal: Digital 2026: Vietnam. Available at: </w:t>
      </w:r>
      <w:r>
        <w:rPr>
          <w:rStyle w:val="zlae0wtextbase"/>
        </w:rPr>
        <w:t xml:space="preserve">https://datareportal.com/reports/digital-2026-vietnam </w:t>
      </w:r>
      <w:r>
        <w:t>. Last accessed 03 Jul 2026.</w:t>
      </w:r>
    </w:p>
    <w:p w:rsidR="00986AE3" w:rsidRDefault="00986AE3" w:rsidP="00986AE3">
      <w:pPr>
        <w:pStyle w:val="referenceitem"/>
        <w:numPr>
          <w:ilvl w:val="0"/>
          <w:numId w:val="8"/>
        </w:numPr>
        <w:tabs>
          <w:tab w:val="left" w:pos="341"/>
        </w:tabs>
      </w:pPr>
      <w:r>
        <w:t xml:space="preserve">Viettel Group: Scanning 10,000 text messages and 20,000 call signals per second, Viettel's Anti-spam system wins Silver at the World IT Awards (2020). Available at: </w:t>
      </w:r>
      <w:hyperlink r:id="rId11" w:tgtFrame="_blank" w:history="1">
        <w:r>
          <w:rPr>
            <w:rStyle w:val="Hyperlink"/>
          </w:rPr>
          <w:t>https://viettel.com.vn/vi/tin-tuc-va-su-kien/tin-tuc/quet-10000-tin-nhan-20000-tin-hieu-cuoc-goi-moi-giay-antispam-cua-viettel-gianh-giai-bac-cntt-the-gioi/</w:t>
        </w:r>
      </w:hyperlink>
      <w:r>
        <w:t>. Last accessed 25 Jun 2026.</w:t>
      </w:r>
    </w:p>
    <w:p w:rsidR="00986AE3" w:rsidRDefault="00986AE3" w:rsidP="00986AE3">
      <w:pPr>
        <w:pStyle w:val="referenceitem"/>
        <w:numPr>
          <w:ilvl w:val="0"/>
          <w:numId w:val="8"/>
        </w:numPr>
        <w:tabs>
          <w:tab w:val="left" w:pos="341"/>
        </w:tabs>
      </w:pPr>
      <w:r>
        <w:t xml:space="preserve">Pham, T.-H., Le-Hong, P.: Content-based approach for Vietnamese spam SMS filtering. In: 2016 International Conference on Asian Language Processing (IALP), pp. 41–44. IEEE (2016). </w:t>
      </w:r>
      <w:hyperlink r:id="rId12" w:history="1">
        <w:r>
          <w:rPr>
            <w:rStyle w:val="Hyperlink"/>
          </w:rPr>
          <w:t>https://doi.org/10.1109/IALP.2016.7875930</w:t>
        </w:r>
      </w:hyperlink>
    </w:p>
    <w:p w:rsidR="00986AE3" w:rsidRDefault="00986AE3" w:rsidP="00986AE3">
      <w:pPr>
        <w:pStyle w:val="referenceitem"/>
        <w:numPr>
          <w:ilvl w:val="0"/>
          <w:numId w:val="8"/>
        </w:numPr>
        <w:tabs>
          <w:tab w:val="left" w:pos="341"/>
        </w:tabs>
      </w:pPr>
      <w:r>
        <w:t xml:space="preserve">Tuan, V.M., </w:t>
      </w:r>
      <w:r>
        <w:tab/>
        <w:t xml:space="preserve">Thang, N.X., Anh, T.Q.: Evaluating the efficiency of Vietnamese SMS spam detection techniques. Journal of Science and Technology on Information Security 1(18), 30–37 (2023). </w:t>
      </w:r>
      <w:hyperlink r:id="rId13" w:history="1">
        <w:r>
          <w:rPr>
            <w:rStyle w:val="Hyperlink"/>
          </w:rPr>
          <w:t>https://doi.org/10.54654/isj.v1i18.932</w:t>
        </w:r>
      </w:hyperlink>
    </w:p>
    <w:p w:rsidR="00986AE3" w:rsidRDefault="00986AE3" w:rsidP="00986AE3">
      <w:pPr>
        <w:pStyle w:val="referenceitem"/>
        <w:numPr>
          <w:ilvl w:val="0"/>
          <w:numId w:val="8"/>
        </w:numPr>
        <w:tabs>
          <w:tab w:val="left" w:pos="341"/>
        </w:tabs>
      </w:pPr>
      <w:r>
        <w:t xml:space="preserve">Landis, J.R., Koch, G.G.: The measurement of observer agreement for categorical data. Biometrics 33(1), 159–174 (1977). </w:t>
      </w:r>
      <w:hyperlink r:id="rId14" w:history="1">
        <w:r>
          <w:rPr>
            <w:rStyle w:val="Hyperlink"/>
          </w:rPr>
          <w:t>https://doi.org/10.2307/2529310</w:t>
        </w:r>
      </w:hyperlink>
    </w:p>
    <w:p w:rsidR="00986AE3" w:rsidRDefault="00986AE3" w:rsidP="00986AE3">
      <w:pPr>
        <w:pStyle w:val="referenceitem"/>
        <w:numPr>
          <w:ilvl w:val="0"/>
          <w:numId w:val="8"/>
        </w:numPr>
        <w:tabs>
          <w:tab w:val="left" w:pos="341"/>
        </w:tabs>
      </w:pPr>
      <w:r>
        <w:t xml:space="preserve">Almeida, T.A., Gomez Hidalgo, J.M., Yamakami, A.: SMS Spam Collection v.1. In: Proceedings of the 2011 ACM Symposium on Document Engineering, pp. 223–224. ACM (2011). </w:t>
      </w:r>
      <w:hyperlink r:id="rId15" w:history="1">
        <w:r>
          <w:rPr>
            <w:rStyle w:val="Hyperlink"/>
          </w:rPr>
          <w:t>https://doi.org/10.1145/2034691.2034742</w:t>
        </w:r>
      </w:hyperlink>
    </w:p>
    <w:p w:rsidR="00986AE3" w:rsidRDefault="00986AE3" w:rsidP="00986AE3">
      <w:pPr>
        <w:pStyle w:val="referenceitem"/>
        <w:numPr>
          <w:ilvl w:val="0"/>
          <w:numId w:val="8"/>
        </w:numPr>
        <w:tabs>
          <w:tab w:val="left" w:pos="341"/>
        </w:tabs>
      </w:pPr>
      <w:r>
        <w:t xml:space="preserve">Oortwijn, Y., Ossenkoppele, T., Betti, A. Interrater disagreement resolution: A systematic procedure to reach consensus in annotation tasks.In: Proceedings of the Workshop on Human Evaluation of NLP Systems (HumEval), pp. 131–141. Association for Computational Linguistics (2021). Available: </w:t>
      </w:r>
      <w:hyperlink r:id="rId16" w:history="1">
        <w:r>
          <w:rPr>
            <w:rStyle w:val="Hyperlink"/>
          </w:rPr>
          <w:t>https://aclanthology.org/2021.humeval-1.13/</w:t>
        </w:r>
      </w:hyperlink>
    </w:p>
    <w:p w:rsidR="00986AE3" w:rsidRPr="004C0B4C" w:rsidRDefault="00986AE3" w:rsidP="00986AE3">
      <w:pPr>
        <w:pStyle w:val="referenceitem"/>
        <w:numPr>
          <w:ilvl w:val="0"/>
          <w:numId w:val="8"/>
        </w:numPr>
        <w:tabs>
          <w:tab w:val="left" w:pos="341"/>
        </w:tabs>
      </w:pPr>
      <w:r>
        <w:rPr>
          <w:shd w:val="clear" w:color="auto" w:fill="FFFFFF"/>
        </w:rPr>
        <w:t>Fleiss, J. L. (1971). Measuring nominal scale agreement among many raters </w:t>
      </w:r>
      <w:r>
        <w:rPr>
          <w:i/>
          <w:iCs/>
          <w:shd w:val="clear" w:color="auto" w:fill="FFFFFF"/>
        </w:rPr>
        <w:t>In Psychological Bulletin, 76, 378-382, 1971</w:t>
      </w:r>
    </w:p>
    <w:p w:rsidR="00986AE3" w:rsidRDefault="00986AE3" w:rsidP="00986AE3">
      <w:pPr>
        <w:pStyle w:val="referenceitem"/>
        <w:numPr>
          <w:ilvl w:val="0"/>
          <w:numId w:val="8"/>
        </w:numPr>
        <w:tabs>
          <w:tab w:val="left" w:pos="341"/>
        </w:tabs>
        <w:rPr>
          <w:lang w:val="en-GB" w:eastAsia="en-GB"/>
        </w:rPr>
      </w:pPr>
      <w:r>
        <w:t>Cohen, J.: A coefficient of agreement for nominal scales. Educational and Psychological Measurement 20(1), 37–46 (1960)</w:t>
      </w:r>
    </w:p>
    <w:p w:rsidR="00986AE3" w:rsidRDefault="00986AE3" w:rsidP="00986AE3">
      <w:pPr>
        <w:pStyle w:val="referenceitem"/>
        <w:numPr>
          <w:ilvl w:val="0"/>
          <w:numId w:val="8"/>
        </w:numPr>
        <w:tabs>
          <w:tab w:val="left" w:pos="341"/>
        </w:tabs>
      </w:pPr>
      <w:r>
        <w:lastRenderedPageBreak/>
        <w:t>Artstein, R., Poesio, M.: Inter-coder agreement for computational linguistics. Research on Language and Computation 6(4), 555–596 (2008)</w:t>
      </w:r>
    </w:p>
    <w:p w:rsidR="00986AE3" w:rsidRPr="00041C76" w:rsidRDefault="00986AE3" w:rsidP="00986AE3">
      <w:pPr>
        <w:pStyle w:val="referenceitem"/>
        <w:numPr>
          <w:ilvl w:val="0"/>
          <w:numId w:val="8"/>
        </w:numPr>
        <w:tabs>
          <w:tab w:val="left" w:pos="341"/>
        </w:tabs>
        <w:rPr>
          <w:color w:val="000000" w:themeColor="text1"/>
        </w:rPr>
      </w:pPr>
      <w:r w:rsidRPr="00041C76">
        <w:rPr>
          <w:color w:val="000000" w:themeColor="text1"/>
        </w:rPr>
        <w:t>Dat Quoc Nguyen and Anh Tuan Nguyen. 2020. </w:t>
      </w:r>
      <w:hyperlink r:id="rId17" w:history="1">
        <w:r w:rsidRPr="00041C76">
          <w:rPr>
            <w:rStyle w:val="Hyperlink"/>
            <w:color w:val="000000" w:themeColor="text1"/>
          </w:rPr>
          <w:t>PhoBERT: Pre-trained language models for Vietnamese</w:t>
        </w:r>
      </w:hyperlink>
      <w:r w:rsidRPr="00041C76">
        <w:rPr>
          <w:color w:val="000000" w:themeColor="text1"/>
        </w:rPr>
        <w:t>. In </w:t>
      </w:r>
      <w:r w:rsidRPr="00041C76">
        <w:rPr>
          <w:iCs/>
          <w:color w:val="000000" w:themeColor="text1"/>
        </w:rPr>
        <w:t>Findings of the Association for Computational Linguistics: EMNLP 2020</w:t>
      </w:r>
      <w:r w:rsidRPr="00041C76">
        <w:rPr>
          <w:color w:val="000000" w:themeColor="text1"/>
        </w:rPr>
        <w:t>, pages 1037–1042, Online. Association for Computational Linguistics.</w:t>
      </w:r>
    </w:p>
    <w:p w:rsidR="00986AE3" w:rsidRPr="0036105A" w:rsidRDefault="00986AE3" w:rsidP="00986AE3">
      <w:pPr>
        <w:pStyle w:val="referenceitem"/>
        <w:numPr>
          <w:ilvl w:val="0"/>
          <w:numId w:val="0"/>
        </w:numPr>
        <w:ind w:left="341"/>
      </w:pPr>
    </w:p>
    <w:p w:rsidR="007E112A" w:rsidRPr="00986AE3" w:rsidRDefault="007E112A" w:rsidP="00986AE3"/>
    <w:sectPr w:rsidR="007E112A" w:rsidRPr="00986AE3"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82F50" w:rsidRDefault="00D82F50">
      <w:r>
        <w:separator/>
      </w:r>
    </w:p>
  </w:endnote>
  <w:endnote w:type="continuationSeparator" w:id="0">
    <w:p w:rsidR="00D82F50" w:rsidRDefault="00D82F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82F50" w:rsidRDefault="00D82F50" w:rsidP="009F7FCE">
      <w:pPr>
        <w:ind w:firstLine="0"/>
      </w:pPr>
      <w:r>
        <w:separator/>
      </w:r>
    </w:p>
  </w:footnote>
  <w:footnote w:type="continuationSeparator" w:id="0">
    <w:p w:rsidR="00D82F50" w:rsidRDefault="00D82F5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231B9" w:rsidRDefault="00E231B9" w:rsidP="00F321B4">
    <w:pPr>
      <w:pStyle w:val="Header"/>
    </w:pPr>
    <w:r>
      <w:fldChar w:fldCharType="begin"/>
    </w:r>
    <w:r>
      <w:instrText>PAGE   \* MERGEFORMAT</w:instrText>
    </w:r>
    <w:r>
      <w:fldChar w:fldCharType="separate"/>
    </w:r>
    <w:r w:rsidR="00386492">
      <w:rPr>
        <w:noProof/>
      </w:rPr>
      <w:t>2</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231B9" w:rsidRDefault="00E231B9" w:rsidP="002D48C5">
    <w:pPr>
      <w:pStyle w:val="Header"/>
      <w:jc w:val="right"/>
    </w:pPr>
    <w:r>
      <w:fldChar w:fldCharType="begin"/>
    </w:r>
    <w:r>
      <w:instrText>PAGE   \* MERGEFORMAT</w:instrText>
    </w:r>
    <w:r>
      <w:fldChar w:fldCharType="separate"/>
    </w:r>
    <w:r w:rsidR="00386492">
      <w:rPr>
        <w:noProof/>
      </w:rPr>
      <w:t>15</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1E9A3DE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3606"/>
        </w:tabs>
        <w:ind w:left="3606" w:hanging="360"/>
      </w:pPr>
      <w:rPr>
        <w:rFonts w:hint="default"/>
      </w:rPr>
    </w:lvl>
    <w:lvl w:ilvl="2">
      <w:start w:val="1"/>
      <w:numFmt w:val="lowerRoman"/>
      <w:lvlText w:val="%3."/>
      <w:lvlJc w:val="right"/>
      <w:pPr>
        <w:tabs>
          <w:tab w:val="num" w:pos="4326"/>
        </w:tabs>
        <w:ind w:left="4326" w:hanging="180"/>
      </w:pPr>
      <w:rPr>
        <w:rFonts w:hint="default"/>
      </w:rPr>
    </w:lvl>
    <w:lvl w:ilvl="3">
      <w:start w:val="1"/>
      <w:numFmt w:val="decimal"/>
      <w:lvlText w:val="%4."/>
      <w:lvlJc w:val="left"/>
      <w:pPr>
        <w:tabs>
          <w:tab w:val="num" w:pos="5046"/>
        </w:tabs>
        <w:ind w:left="5046" w:hanging="360"/>
      </w:pPr>
      <w:rPr>
        <w:rFonts w:hint="default"/>
      </w:rPr>
    </w:lvl>
    <w:lvl w:ilvl="4">
      <w:start w:val="1"/>
      <w:numFmt w:val="lowerLetter"/>
      <w:lvlText w:val="%5."/>
      <w:lvlJc w:val="left"/>
      <w:pPr>
        <w:tabs>
          <w:tab w:val="num" w:pos="5766"/>
        </w:tabs>
        <w:ind w:left="5766" w:hanging="360"/>
      </w:pPr>
      <w:rPr>
        <w:rFonts w:hint="default"/>
      </w:rPr>
    </w:lvl>
    <w:lvl w:ilvl="5">
      <w:start w:val="1"/>
      <w:numFmt w:val="lowerRoman"/>
      <w:lvlText w:val="%6."/>
      <w:lvlJc w:val="right"/>
      <w:pPr>
        <w:tabs>
          <w:tab w:val="num" w:pos="6486"/>
        </w:tabs>
        <w:ind w:left="6486" w:hanging="180"/>
      </w:pPr>
      <w:rPr>
        <w:rFonts w:hint="default"/>
      </w:rPr>
    </w:lvl>
    <w:lvl w:ilvl="6">
      <w:start w:val="1"/>
      <w:numFmt w:val="decimal"/>
      <w:lvlText w:val="%7."/>
      <w:lvlJc w:val="left"/>
      <w:pPr>
        <w:tabs>
          <w:tab w:val="num" w:pos="7206"/>
        </w:tabs>
        <w:ind w:left="7206" w:hanging="360"/>
      </w:pPr>
      <w:rPr>
        <w:rFonts w:hint="default"/>
      </w:rPr>
    </w:lvl>
    <w:lvl w:ilvl="7">
      <w:start w:val="1"/>
      <w:numFmt w:val="lowerLetter"/>
      <w:lvlText w:val="%8."/>
      <w:lvlJc w:val="left"/>
      <w:pPr>
        <w:tabs>
          <w:tab w:val="num" w:pos="7926"/>
        </w:tabs>
        <w:ind w:left="7926" w:hanging="360"/>
      </w:pPr>
      <w:rPr>
        <w:rFonts w:hint="default"/>
      </w:rPr>
    </w:lvl>
    <w:lvl w:ilvl="8">
      <w:start w:val="1"/>
      <w:numFmt w:val="lowerRoman"/>
      <w:lvlText w:val="%9."/>
      <w:lvlJc w:val="right"/>
      <w:pPr>
        <w:tabs>
          <w:tab w:val="num" w:pos="8646"/>
        </w:tabs>
        <w:ind w:left="864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1A02F0"/>
    <w:rsid w:val="001A7394"/>
    <w:rsid w:val="002A0AC8"/>
    <w:rsid w:val="002B42AD"/>
    <w:rsid w:val="002B638A"/>
    <w:rsid w:val="002D48C5"/>
    <w:rsid w:val="003635D8"/>
    <w:rsid w:val="00386492"/>
    <w:rsid w:val="00600D18"/>
    <w:rsid w:val="006C0FB5"/>
    <w:rsid w:val="007E112A"/>
    <w:rsid w:val="008F2D4C"/>
    <w:rsid w:val="00986AE3"/>
    <w:rsid w:val="009930E4"/>
    <w:rsid w:val="009B2539"/>
    <w:rsid w:val="009F7FCE"/>
    <w:rsid w:val="00B23481"/>
    <w:rsid w:val="00C02974"/>
    <w:rsid w:val="00CA14AE"/>
    <w:rsid w:val="00CC3B6D"/>
    <w:rsid w:val="00D82F50"/>
    <w:rsid w:val="00DC2CA9"/>
    <w:rsid w:val="00E231B9"/>
    <w:rsid w:val="00E603C7"/>
    <w:rsid w:val="00F321B4"/>
    <w:rsid w:val="00F76C3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601D741"/>
  <w15:docId w15:val="{BF5316A4-9EC8-4741-9AD0-0EDAC979776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qFormat="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qFormat/>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qFormat/>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qFormat/>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qFormat/>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qFormat/>
    <w:rsid w:val="002B638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qFormat/>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qFormat/>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pdq2pgselectionanchorcontainer">
    <w:name w:val="pdq2pg_selectionanchorcontainer"/>
    <w:basedOn w:val="Normal"/>
    <w:rsid w:val="00600D18"/>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NormalWeb">
    <w:name w:val="Normal (Web)"/>
    <w:basedOn w:val="Normal"/>
    <w:uiPriority w:val="99"/>
    <w:semiHidden/>
    <w:unhideWhenUsed/>
    <w:rsid w:val="00600D18"/>
    <w:pPr>
      <w:overflowPunct/>
      <w:autoSpaceDE/>
      <w:autoSpaceDN/>
      <w:adjustRightInd/>
      <w:spacing w:before="100" w:beforeAutospacing="1" w:after="100" w:afterAutospacing="1" w:line="240" w:lineRule="auto"/>
      <w:ind w:firstLine="0"/>
      <w:jc w:val="left"/>
      <w:textAlignment w:val="auto"/>
    </w:pPr>
    <w:rPr>
      <w:sz w:val="24"/>
      <w:szCs w:val="24"/>
    </w:rPr>
  </w:style>
  <w:style w:type="character" w:customStyle="1" w:styleId="zlae0wtextbase">
    <w:name w:val="zlae0w_textbase"/>
    <w:basedOn w:val="DefaultParagraphFont"/>
    <w:qFormat/>
    <w:rsid w:val="002B42AD"/>
  </w:style>
  <w:style w:type="character" w:styleId="Strong">
    <w:name w:val="Strong"/>
    <w:basedOn w:val="DefaultParagraphFont"/>
    <w:uiPriority w:val="22"/>
    <w:qFormat/>
    <w:rsid w:val="002B42AD"/>
    <w:rPr>
      <w:b/>
      <w:bCs/>
    </w:rPr>
  </w:style>
  <w:style w:type="character" w:styleId="Emphasis">
    <w:name w:val="Emphasis"/>
    <w:basedOn w:val="DefaultParagraphFont"/>
    <w:uiPriority w:val="20"/>
    <w:qFormat/>
    <w:rsid w:val="00986AE3"/>
    <w:rPr>
      <w:i/>
      <w:iCs/>
    </w:rPr>
  </w:style>
  <w:style w:type="table" w:styleId="TableGrid">
    <w:name w:val="Table Grid"/>
    <w:basedOn w:val="TableNormal"/>
    <w:qFormat/>
    <w:rsid w:val="00986AE3"/>
    <w:pPr>
      <w:widowControl w:val="0"/>
      <w:spacing w:line="240" w:lineRule="auto"/>
      <w:jc w:val="both"/>
    </w:pPr>
    <w:rPr>
      <w:rFonts w:eastAsia="SimSun"/>
      <w:lang w:val="en-GB" w:eastAsia="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vlist-s">
    <w:name w:val="vlist-s"/>
    <w:basedOn w:val="DefaultParagraphFont"/>
    <w:qFormat/>
    <w:rsid w:val="00986AE3"/>
  </w:style>
  <w:style w:type="character" w:customStyle="1" w:styleId="math-inline">
    <w:name w:val="math-inline"/>
    <w:basedOn w:val="DefaultParagraphFont"/>
    <w:rsid w:val="00986AE3"/>
  </w:style>
  <w:style w:type="character" w:styleId="PlaceholderText">
    <w:name w:val="Placeholder Text"/>
    <w:basedOn w:val="DefaultParagraphFont"/>
    <w:semiHidden/>
    <w:rsid w:val="00986AE3"/>
    <w:rPr>
      <w:color w:val="808080"/>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9181304">
      <w:bodyDiv w:val="1"/>
      <w:marLeft w:val="0"/>
      <w:marRight w:val="0"/>
      <w:marTop w:val="0"/>
      <w:marBottom w:val="0"/>
      <w:divBdr>
        <w:top w:val="none" w:sz="0" w:space="0" w:color="auto"/>
        <w:left w:val="none" w:sz="0" w:space="0" w:color="auto"/>
        <w:bottom w:val="none" w:sz="0" w:space="0" w:color="auto"/>
        <w:right w:val="none" w:sz="0" w:space="0" w:color="auto"/>
      </w:divBdr>
    </w:div>
    <w:div w:id="438061518">
      <w:bodyDiv w:val="1"/>
      <w:marLeft w:val="0"/>
      <w:marRight w:val="0"/>
      <w:marTop w:val="0"/>
      <w:marBottom w:val="0"/>
      <w:divBdr>
        <w:top w:val="none" w:sz="0" w:space="0" w:color="auto"/>
        <w:left w:val="none" w:sz="0" w:space="0" w:color="auto"/>
        <w:bottom w:val="none" w:sz="0" w:space="0" w:color="auto"/>
        <w:right w:val="none" w:sz="0" w:space="0" w:color="auto"/>
      </w:divBdr>
    </w:div>
    <w:div w:id="672076418">
      <w:bodyDiv w:val="1"/>
      <w:marLeft w:val="0"/>
      <w:marRight w:val="0"/>
      <w:marTop w:val="0"/>
      <w:marBottom w:val="0"/>
      <w:divBdr>
        <w:top w:val="none" w:sz="0" w:space="0" w:color="auto"/>
        <w:left w:val="none" w:sz="0" w:space="0" w:color="auto"/>
        <w:bottom w:val="none" w:sz="0" w:space="0" w:color="auto"/>
        <w:right w:val="none" w:sz="0" w:space="0" w:color="auto"/>
      </w:divBdr>
    </w:div>
    <w:div w:id="148597512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doi.org/10.54654/isj.v1i18.932" TargetMode="External"/><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s://doi.org/10.1109/IALP.2016.7875930" TargetMode="External"/><Relationship Id="rId17" Type="http://schemas.openxmlformats.org/officeDocument/2006/relationships/hyperlink" Target="https://aclanthology.org/2020.findings-emnlp.92/" TargetMode="External"/><Relationship Id="rId2" Type="http://schemas.openxmlformats.org/officeDocument/2006/relationships/numbering" Target="numbering.xml"/><Relationship Id="rId16" Type="http://schemas.openxmlformats.org/officeDocument/2006/relationships/hyperlink" Target="https://aclanthology.org/2021.humeval-1.13/"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viettel.com.vn/vi/tin-tuc-va-su-kien/tin-tuc/quet-10000-tin-nhan-20000-tin-hieu-cuoc-goi-moi-giay-antispam-cua-viettel-gianh-giai-bac-cntt-the-gioi/" TargetMode="External"/><Relationship Id="rId5" Type="http://schemas.openxmlformats.org/officeDocument/2006/relationships/webSettings" Target="webSettings.xml"/><Relationship Id="rId15" Type="http://schemas.openxmlformats.org/officeDocument/2006/relationships/hyperlink" Target="https://doi.org/10.1145/2034691.2034742" TargetMode="External"/><Relationship Id="rId10" Type="http://schemas.openxmlformats.org/officeDocument/2006/relationships/chart" Target="charts/chart1.xml"/><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doi.org/10.2307/2529310"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Sheet1!$B$1</c:f>
              <c:strCache>
                <c:ptCount val="1"/>
                <c:pt idx="0">
                  <c:v>HAM</c:v>
                </c:pt>
              </c:strCache>
            </c:strRef>
          </c:tx>
          <c:spPr>
            <a:solidFill>
              <a:schemeClr val="accent6"/>
            </a:solidFill>
            <a:ln>
              <a:noFill/>
            </a:ln>
            <a:effectLst/>
          </c:spPr>
          <c:invertIfNegative val="0"/>
          <c:dLbls>
            <c:dLbl>
              <c:idx val="0"/>
              <c:tx>
                <c:rich>
                  <a:bodyPr/>
                  <a:lstStyle/>
                  <a:p>
                    <a:r>
                      <a:rPr lang="en-US"/>
                      <a:t>1259</a:t>
                    </a:r>
                  </a:p>
                </c:rich>
              </c:tx>
              <c:dLblPos val="outEnd"/>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0-FED5-4BD1-A4DE-4DE3ACA5CAB8}"/>
                </c:ext>
              </c:extLst>
            </c:dLbl>
            <c:spPr>
              <a:noFill/>
              <a:ln>
                <a:noFill/>
              </a:ln>
              <a:effectLst/>
            </c:spPr>
            <c:txPr>
              <a:bodyPr rot="0" spcFirstLastPara="1" vertOverflow="ellipsis" vert="horz" wrap="square" lIns="38100" tIns="19050" rIns="38100" bIns="19050" anchor="ctr" anchorCtr="1">
                <a:spAutoFit/>
              </a:bodyPr>
              <a:lstStyle/>
              <a:p>
                <a:pPr>
                  <a:defRPr lang="en-US" sz="900" b="0" i="0" u="none" strike="noStrike" kern="1200" baseline="0">
                    <a:solidFill>
                      <a:schemeClr val="tx1">
                        <a:lumMod val="75000"/>
                        <a:lumOff val="25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Sheet1!$A$2:$A$6</c:f>
              <c:strCache>
                <c:ptCount val="5"/>
                <c:pt idx="0">
                  <c:v>10 out of 10</c:v>
                </c:pt>
                <c:pt idx="1">
                  <c:v>9 out of 10</c:v>
                </c:pt>
                <c:pt idx="2">
                  <c:v>8 out of 10</c:v>
                </c:pt>
                <c:pt idx="3">
                  <c:v>7 out of 10</c:v>
                </c:pt>
                <c:pt idx="4">
                  <c:v>6 out of 10</c:v>
                </c:pt>
              </c:strCache>
            </c:strRef>
          </c:cat>
          <c:val>
            <c:numRef>
              <c:f>Sheet1!$B$2:$B$6</c:f>
              <c:numCache>
                <c:formatCode>General</c:formatCode>
                <c:ptCount val="5"/>
                <c:pt idx="0">
                  <c:v>1259</c:v>
                </c:pt>
                <c:pt idx="1">
                  <c:v>3</c:v>
                </c:pt>
                <c:pt idx="2">
                  <c:v>0</c:v>
                </c:pt>
                <c:pt idx="3">
                  <c:v>2</c:v>
                </c:pt>
                <c:pt idx="4">
                  <c:v>3</c:v>
                </c:pt>
              </c:numCache>
            </c:numRef>
          </c:val>
          <c:extLst>
            <c:ext xmlns:c16="http://schemas.microsoft.com/office/drawing/2014/chart" uri="{C3380CC4-5D6E-409C-BE32-E72D297353CC}">
              <c16:uniqueId val="{00000001-FED5-4BD1-A4DE-4DE3ACA5CAB8}"/>
            </c:ext>
          </c:extLst>
        </c:ser>
        <c:ser>
          <c:idx val="1"/>
          <c:order val="1"/>
          <c:tx>
            <c:strRef>
              <c:f>Sheet1!$C$1</c:f>
              <c:strCache>
                <c:ptCount val="1"/>
                <c:pt idx="0">
                  <c:v>SPAM</c:v>
                </c:pt>
              </c:strCache>
            </c:strRef>
          </c:tx>
          <c:spPr>
            <a:solidFill>
              <a:schemeClr val="accent5"/>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lang="en-US" sz="900" b="0" i="0" u="none" strike="noStrike" kern="1200" baseline="0">
                    <a:solidFill>
                      <a:schemeClr val="tx1">
                        <a:lumMod val="75000"/>
                        <a:lumOff val="25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Sheet1!$A$2:$A$6</c:f>
              <c:strCache>
                <c:ptCount val="5"/>
                <c:pt idx="0">
                  <c:v>10 out of 10</c:v>
                </c:pt>
                <c:pt idx="1">
                  <c:v>9 out of 10</c:v>
                </c:pt>
                <c:pt idx="2">
                  <c:v>8 out of 10</c:v>
                </c:pt>
                <c:pt idx="3">
                  <c:v>7 out of 10</c:v>
                </c:pt>
                <c:pt idx="4">
                  <c:v>6 out of 10</c:v>
                </c:pt>
              </c:strCache>
            </c:strRef>
          </c:cat>
          <c:val>
            <c:numRef>
              <c:f>Sheet1!$C$2:$C$6</c:f>
              <c:numCache>
                <c:formatCode>General</c:formatCode>
                <c:ptCount val="5"/>
                <c:pt idx="0">
                  <c:v>704</c:v>
                </c:pt>
                <c:pt idx="1">
                  <c:v>20</c:v>
                </c:pt>
                <c:pt idx="2">
                  <c:v>4</c:v>
                </c:pt>
                <c:pt idx="3">
                  <c:v>7</c:v>
                </c:pt>
                <c:pt idx="4">
                  <c:v>5</c:v>
                </c:pt>
              </c:numCache>
            </c:numRef>
          </c:val>
          <c:extLst>
            <c:ext xmlns:c16="http://schemas.microsoft.com/office/drawing/2014/chart" uri="{C3380CC4-5D6E-409C-BE32-E72D297353CC}">
              <c16:uniqueId val="{00000002-FED5-4BD1-A4DE-4DE3ACA5CAB8}"/>
            </c:ext>
          </c:extLst>
        </c:ser>
        <c:dLbls>
          <c:showLegendKey val="0"/>
          <c:showVal val="1"/>
          <c:showCatName val="0"/>
          <c:showSerName val="0"/>
          <c:showPercent val="0"/>
          <c:showBubbleSize val="0"/>
        </c:dLbls>
        <c:gapWidth val="105"/>
        <c:overlap val="-21"/>
        <c:axId val="1829021584"/>
        <c:axId val="1829023248"/>
      </c:barChart>
      <c:catAx>
        <c:axId val="1829021584"/>
        <c:scaling>
          <c:orientation val="minMax"/>
        </c:scaling>
        <c:delete val="0"/>
        <c:axPos val="b"/>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lang="en-US" sz="900" b="0" i="0" u="none" strike="noStrike" kern="1200" baseline="0">
                <a:solidFill>
                  <a:schemeClr val="tx1">
                    <a:lumMod val="65000"/>
                    <a:lumOff val="35000"/>
                  </a:schemeClr>
                </a:solidFill>
                <a:latin typeface="+mn-lt"/>
                <a:ea typeface="+mn-ea"/>
                <a:cs typeface="+mn-cs"/>
              </a:defRPr>
            </a:pPr>
            <a:endParaRPr lang="en-US"/>
          </a:p>
        </c:txPr>
        <c:crossAx val="1829023248"/>
        <c:crosses val="autoZero"/>
        <c:auto val="1"/>
        <c:lblAlgn val="ctr"/>
        <c:lblOffset val="100"/>
        <c:noMultiLvlLbl val="0"/>
      </c:catAx>
      <c:valAx>
        <c:axId val="1829023248"/>
        <c:scaling>
          <c:logBase val="2"/>
          <c:orientation val="minMax"/>
        </c:scaling>
        <c:delete val="1"/>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crossAx val="1829021584"/>
        <c:crosses val="autoZero"/>
        <c:crossBetween val="between"/>
      </c:valAx>
      <c:spPr>
        <a:noFill/>
        <a:ln>
          <a:noFill/>
        </a:ln>
        <a:effectLst/>
      </c:spPr>
    </c:plotArea>
    <c:legend>
      <c:legendPos val="r"/>
      <c:overlay val="0"/>
      <c:spPr>
        <a:noFill/>
        <a:ln>
          <a:noFill/>
        </a:ln>
        <a:effectLst/>
      </c:spPr>
      <c:txPr>
        <a:bodyPr rot="0" spcFirstLastPara="1" vertOverflow="ellipsis" vert="horz" wrap="square" anchor="ctr" anchorCtr="1"/>
        <a:lstStyle/>
        <a:p>
          <a:pPr>
            <a:defRPr lang="en-US"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extLst>
      <c:ext uri="{0b15fc19-7d7d-44ad-8c2d-2c3a37ce22c3}">
        <chartProps xmlns="https://web.wps.cn/et/2018/main" chartId="{9eb10593-d5f7-49a5-acf5-97fc6ee61c27}"/>
      </c:ext>
    </c:extLst>
  </c:chart>
  <c:spPr>
    <a:solidFill>
      <a:schemeClr val="bg1"/>
    </a:solidFill>
    <a:ln w="9525" cap="flat" cmpd="sng" algn="ctr">
      <a:solidFill>
        <a:schemeClr val="tx1">
          <a:lumMod val="15000"/>
          <a:lumOff val="85000"/>
        </a:schemeClr>
      </a:solidFill>
      <a:round/>
    </a:ln>
    <a:effectLst/>
  </c:spPr>
  <c:txPr>
    <a:bodyPr/>
    <a:lstStyle/>
    <a:p>
      <a:pPr>
        <a:defRPr lang="en-US"/>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3">
  <a:schemeClr val="accent6"/>
  <a:schemeClr val="accent5"/>
  <a:schemeClr val="accent4"/>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598</TotalTime>
  <Pages>16</Pages>
  <Words>5400</Words>
  <Characters>30785</Characters>
  <Application>Microsoft Office Word</Application>
  <DocSecurity>0</DocSecurity>
  <Lines>256</Lines>
  <Paragraphs>72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36113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PC</cp:lastModifiedBy>
  <cp:revision>8</cp:revision>
  <cp:lastPrinted>2026-07-20T10:06:00Z</cp:lastPrinted>
  <dcterms:created xsi:type="dcterms:W3CDTF">2017-02-26T12:30:00Z</dcterms:created>
  <dcterms:modified xsi:type="dcterms:W3CDTF">2026-07-20T10:12:00Z</dcterms:modified>
</cp:coreProperties>
</file>