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KINH DOANH QUÝ 3 NĂM 2026</w:t>
      </w:r>
    </w:p>
    <w:p>
      <w:r>
        <w:t>Phòng Kinh Doanh &amp; Tiếp Thị</w:t>
      </w:r>
    </w:p>
    <w:p>
      <w:r>
        <w:t>Tổng doanh thu thực tế đạt 15.850.000.000 VNĐ, vượt 112% chỉ tiêu kế hoạch quý đề ra.</w:t>
      </w:r>
    </w:p>
    <w:p>
      <w:r>
        <w:t>Các ngành hàng tăng trưởng mạnh: Dịch vụ chuyển đổi số và tư vấn tự động hóa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