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Trie Path Probability Products as Language-Intrinsic Coordinates: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Convergence of Independent Corpus Estimates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Thomas Sawyer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Draft — April 2026</w:t>
      </w:r>
    </w:p>
    <w:p>
      <w:pPr>
        <w:pBdr>
          <w:bottom w:val="single" w:color="888888" w:sz="6" w:space="1"/>
        </w:pBdr>
        <w:spacing w:after="80" w:before="80"/>
      </w:pPr>
    </w:p>
    <w:p>
      <w:pPr>
        <w:spacing w:after="60" w:before="200"/>
        <w:jc w:val="left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Abstract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We propose that the product of transition probabilities along a path in a prefix trie — the </w:t>
      </w:r>
      <w:r>
        <w:rPr>
          <w:rFonts w:ascii="Georgia" w:cs="Georgia" w:eastAsia="Georgia" w:hAnsi="Georgia"/>
          <w:sz w:val="24"/>
          <w:szCs w:val="24"/>
        </w:rPr>
        <w:t xml:space="preserve">path probability product</w:t>
      </w:r>
      <w:r>
        <w:rPr>
          <w:rFonts w:ascii="Georgia" w:cs="Georgia" w:eastAsia="Georgia" w:hAnsi="Georgia"/>
          <w:sz w:val="24"/>
          <w:szCs w:val="24"/>
        </w:rPr>
        <w:t xml:space="preserve"> — converges to a corpus-independent value as corpus size grows, and therefore constitutes a language-intrinsic coordinate on prefix space. Two independent tries built from disjoint corpora of the same language will, for high-probability paths, assign the same probability product to high precision. We formalize this hypothesis, characterize the convergence rate as a function of corpus size, path depth, and path probability mass, and propose a minimal empirical test using two independent halves of a single corpus. The result, if confirmed, implies that trie path probability products are not dataset artifacts but geometric properties of the language distribution itself — and that they may serve as canonical, retrieval-free prefix identifiers in hybrid non-parametric language models.</w:t>
      </w:r>
    </w:p>
    <w:p>
      <w:pPr>
        <w:pBdr>
          <w:bottom w:val="single" w:color="888888" w:sz="6" w:space="1"/>
        </w:pBd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 Introduction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Prefix tries built from natural language corpora are exact non-parametric models of the token continuation distribution. At each node </w:t>
      </w:r>
      <w:r>
        <w:rPr>
          <w:rFonts w:ascii="Georgia" w:cs="Georgia" w:eastAsia="Georgia" w:hAnsi="Georgia"/>
          <w:sz w:val="24"/>
          <w:szCs w:val="24"/>
        </w:rPr>
        <w:t xml:space="preserve">n</w:t>
      </w:r>
      <w:r>
        <w:rPr>
          <w:rFonts w:ascii="Georgia" w:cs="Georgia" w:eastAsia="Georgia" w:hAnsi="Georgia"/>
          <w:sz w:val="24"/>
          <w:szCs w:val="24"/>
        </w:rPr>
        <w:t xml:space="preserve"> corresponding to a prefix </w:t>
      </w:r>
      <w:r>
        <w:rPr>
          <w:rFonts w:ascii="Georgia" w:cs="Georgia" w:eastAsia="Georgia" w:hAnsi="Georgia"/>
          <w:sz w:val="24"/>
          <w:szCs w:val="24"/>
        </w:rPr>
        <w:t xml:space="preserve">x₁, …, xₜ</w:t>
      </w:r>
      <w:r>
        <w:rPr>
          <w:rFonts w:ascii="Georgia" w:cs="Georgia" w:eastAsia="Georgia" w:hAnsi="Georgia"/>
          <w:sz w:val="24"/>
          <w:szCs w:val="24"/>
        </w:rPr>
        <w:t xml:space="preserve">, the trie stores empirical counts of each observed successor token, giving a smoothed estimate of </w:t>
      </w:r>
      <w:r>
        <w:rPr>
          <w:rFonts w:ascii="Georgia" w:cs="Georgia" w:eastAsia="Georgia" w:hAnsi="Georgia"/>
          <w:sz w:val="24"/>
          <w:szCs w:val="24"/>
        </w:rPr>
        <w:t xml:space="preserve">P(xₜ₊₁ | x₁, …, xₜ).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product of transition probabilities along a path of depth </w:t>
      </w:r>
      <w:r>
        <w:rPr>
          <w:rFonts w:ascii="Georgia" w:cs="Georgia" w:eastAsia="Georgia" w:hAnsi="Georgia"/>
          <w:sz w:val="24"/>
          <w:szCs w:val="24"/>
        </w:rPr>
        <w:t xml:space="preserve">d</w:t>
      </w:r>
      <w:r>
        <w:rPr>
          <w:rFonts w:ascii="Georgia" w:cs="Georgia" w:eastAsia="Georgia" w:hAnsi="Georgia"/>
          <w:sz w:val="24"/>
          <w:szCs w:val="24"/>
        </w:rPr>
        <w:t xml:space="preserve">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Π(x₁, …, xd) = ∏ᵢ₌₁ᵈ P̂(xᵢ | x₁, …, xᵢ₋₁)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quantity has a structural property that has not, to our knowledge, been explicitly noted: for high-probability paths,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is nearly corpus-independent. Two tries built from disjoint samples of the same language will assign values of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that converge rapidly with corpus size for paths carrying significant probability mass.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implication is that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is not a dataset artifact — it is a coordinate on prefix space intrinsic to the language distribution. Any sufficiently large corpus yields the same coordinate system. This turns the path probability product into something unusual: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canonical, retrieval-free identifier</w:t>
      </w:r>
      <w:r>
        <w:rPr>
          <w:rFonts w:ascii="Georgia" w:cs="Georgia" w:eastAsia="Georgia" w:hAnsi="Georgia"/>
          <w:sz w:val="24"/>
          <w:szCs w:val="24"/>
        </w:rPr>
        <w:t xml:space="preserve"> for prefixes, one that agrees across independently constructed models.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paper is structured as follows. Section 2 formalizes the hypothesis. Section 3 derives the convergence rate. Section 4 discusses geometric implications. Section 5 proposes the empirical test. Section 6 connects to hybrid language model design.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 Formalization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Let </w:t>
      </w:r>
      <w:r>
        <w:rPr>
          <w:rFonts w:ascii="Georgia" w:cs="Georgia" w:eastAsia="Georgia" w:hAnsi="Georgia"/>
          <w:sz w:val="24"/>
          <w:szCs w:val="24"/>
        </w:rPr>
        <w:t xml:space="preserve">L</w:t>
      </w:r>
      <w:r>
        <w:rPr>
          <w:rFonts w:ascii="Georgia" w:cs="Georgia" w:eastAsia="Georgia" w:hAnsi="Georgia"/>
          <w:sz w:val="24"/>
          <w:szCs w:val="24"/>
        </w:rPr>
        <w:t xml:space="preserve"> be a language with true token distribution </w:t>
      </w:r>
      <w:r>
        <w:rPr>
          <w:rFonts w:ascii="Georgia" w:cs="Georgia" w:eastAsia="Georgia" w:hAnsi="Georgia"/>
          <w:sz w:val="24"/>
          <w:szCs w:val="24"/>
        </w:rPr>
        <w:t xml:space="preserve">P*(v | x₁, …, xₜ)</w:t>
      </w:r>
      <w:r>
        <w:rPr>
          <w:rFonts w:ascii="Georgia" w:cs="Georgia" w:eastAsia="Georgia" w:hAnsi="Georgia"/>
          <w:sz w:val="24"/>
          <w:szCs w:val="24"/>
        </w:rPr>
        <w:t xml:space="preserve">. Let </w:t>
      </w:r>
      <w:r>
        <w:rPr>
          <w:rFonts w:ascii="Georgia" w:cs="Georgia" w:eastAsia="Georgia" w:hAnsi="Georgia"/>
          <w:sz w:val="24"/>
          <w:szCs w:val="24"/>
        </w:rPr>
        <w:t xml:space="preserve">C₁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sz w:val="24"/>
          <w:szCs w:val="24"/>
        </w:rPr>
        <w:t xml:space="preserve">C₂</w:t>
      </w:r>
      <w:r>
        <w:rPr>
          <w:rFonts w:ascii="Georgia" w:cs="Georgia" w:eastAsia="Georgia" w:hAnsi="Georgia"/>
          <w:sz w:val="24"/>
          <w:szCs w:val="24"/>
        </w:rPr>
        <w:t xml:space="preserve"> be two corpora drawn independently from </w:t>
      </w:r>
      <w:r>
        <w:rPr>
          <w:rFonts w:ascii="Georgia" w:cs="Georgia" w:eastAsia="Georgia" w:hAnsi="Georgia"/>
          <w:sz w:val="24"/>
          <w:szCs w:val="24"/>
        </w:rPr>
        <w:t xml:space="preserve">L</w:t>
      </w:r>
      <w:r>
        <w:rPr>
          <w:rFonts w:ascii="Georgia" w:cs="Georgia" w:eastAsia="Georgia" w:hAnsi="Georgia"/>
          <w:sz w:val="24"/>
          <w:szCs w:val="24"/>
        </w:rPr>
        <w:t xml:space="preserve">, each of size </w:t>
      </w:r>
      <w:r>
        <w:rPr>
          <w:rFonts w:ascii="Georgia" w:cs="Georgia" w:eastAsia="Georgia" w:hAnsi="Georgia"/>
          <w:sz w:val="24"/>
          <w:szCs w:val="24"/>
        </w:rPr>
        <w:t xml:space="preserve">N</w:t>
      </w:r>
      <w:r>
        <w:rPr>
          <w:rFonts w:ascii="Georgia" w:cs="Georgia" w:eastAsia="Georgia" w:hAnsi="Georgia"/>
          <w:sz w:val="24"/>
          <w:szCs w:val="24"/>
        </w:rPr>
        <w:t xml:space="preserve"> tokens. Let </w:t>
      </w:r>
      <w:r>
        <w:rPr>
          <w:rFonts w:ascii="Georgia" w:cs="Georgia" w:eastAsia="Georgia" w:hAnsi="Georgia"/>
          <w:sz w:val="24"/>
          <w:szCs w:val="24"/>
        </w:rPr>
        <w:t xml:space="preserve">T₁, T₂</w:t>
      </w:r>
      <w:r>
        <w:rPr>
          <w:rFonts w:ascii="Georgia" w:cs="Georgia" w:eastAsia="Georgia" w:hAnsi="Georgia"/>
          <w:sz w:val="24"/>
          <w:szCs w:val="24"/>
        </w:rPr>
        <w:t xml:space="preserve"> be the prefix tries built from </w:t>
      </w:r>
      <w:r>
        <w:rPr>
          <w:rFonts w:ascii="Georgia" w:cs="Georgia" w:eastAsia="Georgia" w:hAnsi="Georgia"/>
          <w:sz w:val="24"/>
          <w:szCs w:val="24"/>
        </w:rPr>
        <w:t xml:space="preserve">C₁, C₂</w:t>
      </w:r>
      <w:r>
        <w:rPr>
          <w:rFonts w:ascii="Georgia" w:cs="Georgia" w:eastAsia="Georgia" w:hAnsi="Georgia"/>
          <w:sz w:val="24"/>
          <w:szCs w:val="24"/>
        </w:rPr>
        <w:t xml:space="preserve"> respectively, with maximum depth </w:t>
      </w:r>
      <w:r>
        <w:rPr>
          <w:rFonts w:ascii="Georgia" w:cs="Georgia" w:eastAsia="Georgia" w:hAnsi="Georgia"/>
          <w:sz w:val="24"/>
          <w:szCs w:val="24"/>
        </w:rPr>
        <w:t xml:space="preserve">D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Define the path probability product for trie Tₖ along path (x₁, …, xd):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Πₖ(x₁, …, xd) = ∏ᵢ₌₁ᵈ P̂ₖ(xᵢ | x₁, …, xᵢ₋₁)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where </w:t>
      </w:r>
      <w:r>
        <w:rPr>
          <w:rFonts w:ascii="Georgia" w:cs="Georgia" w:eastAsia="Georgia" w:hAnsi="Georgia"/>
          <w:sz w:val="24"/>
          <w:szCs w:val="24"/>
        </w:rPr>
        <w:t xml:space="preserve">P̂ₖ</w:t>
      </w:r>
      <w:r>
        <w:rPr>
          <w:rFonts w:ascii="Georgia" w:cs="Georgia" w:eastAsia="Georgia" w:hAnsi="Georgia"/>
          <w:sz w:val="24"/>
          <w:szCs w:val="24"/>
        </w:rPr>
        <w:t xml:space="preserve"> is the smoothed empirical estimate from </w:t>
      </w:r>
      <w:r>
        <w:rPr>
          <w:rFonts w:ascii="Georgia" w:cs="Georgia" w:eastAsia="Georgia" w:hAnsi="Georgia"/>
          <w:sz w:val="24"/>
          <w:szCs w:val="24"/>
        </w:rPr>
        <w:t xml:space="preserve">Tₖ</w:t>
      </w:r>
      <w:r>
        <w:rPr>
          <w:rFonts w:ascii="Georgia" w:cs="Georgia" w:eastAsia="Georgia" w:hAnsi="Georgia"/>
          <w:sz w:val="24"/>
          <w:szCs w:val="24"/>
        </w:rPr>
        <w:t xml:space="preserve">. The true path probability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Π*(x₁, …, xd) = ∏ᵢ₌₁ᵈ P*(xᵢ | x₁, …, xᵢ₋₁)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 w:val="false"/>
          <w:bCs w:val="false"/>
          <w:sz w:val="24"/>
          <w:szCs w:val="24"/>
        </w:rPr>
        <w:t xml:space="preserve">Hypothesis (Corpus Independence of Path Products). For any path with true probability product Π* &gt; τ and any ε &gt; 0:</w:t>
      </w:r>
    </w:p>
    <w:p>
      <w:pPr>
        <w:spacing w:after="10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Pr[ |Π₁(path) − Π₂(path)| &gt; ε ] → 0  as  N → ∞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Moreover, the convergence is </w:t>
      </w:r>
      <w:r>
        <w:rPr>
          <w:rFonts w:ascii="Georgia" w:cs="Georgia" w:eastAsia="Georgia" w:hAnsi="Georgia"/>
          <w:sz w:val="24"/>
          <w:szCs w:val="24"/>
        </w:rPr>
        <w:t xml:space="preserve">faster for higher-probability paths</w:t>
      </w:r>
      <w:r>
        <w:rPr>
          <w:rFonts w:ascii="Georgia" w:cs="Georgia" w:eastAsia="Georgia" w:hAnsi="Georgia"/>
          <w:sz w:val="24"/>
          <w:szCs w:val="24"/>
        </w:rPr>
        <w:t xml:space="preserve"> — the paths you most want to agree on are the ones that do.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 Convergence Rate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Single Transition Error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depth </w:t>
      </w:r>
      <w:r>
        <w:rPr>
          <w:rFonts w:ascii="Georgia" w:cs="Georgia" w:eastAsia="Georgia" w:hAnsi="Georgia"/>
          <w:sz w:val="24"/>
          <w:szCs w:val="24"/>
        </w:rPr>
        <w:t xml:space="preserve">i</w:t>
      </w:r>
      <w:r>
        <w:rPr>
          <w:rFonts w:ascii="Georgia" w:cs="Georgia" w:eastAsia="Georgia" w:hAnsi="Georgia"/>
          <w:sz w:val="24"/>
          <w:szCs w:val="24"/>
        </w:rPr>
        <w:t xml:space="preserve">, the count of prefix </w:t>
      </w:r>
      <w:r>
        <w:rPr>
          <w:rFonts w:ascii="Georgia" w:cs="Georgia" w:eastAsia="Georgia" w:hAnsi="Georgia"/>
          <w:sz w:val="24"/>
          <w:szCs w:val="24"/>
        </w:rPr>
        <w:t xml:space="preserve">(x₁, …, xᵢ₋₁)</w:t>
      </w:r>
      <w:r>
        <w:rPr>
          <w:rFonts w:ascii="Georgia" w:cs="Georgia" w:eastAsia="Georgia" w:hAnsi="Georgia"/>
          <w:sz w:val="24"/>
          <w:szCs w:val="24"/>
        </w:rPr>
        <w:t xml:space="preserve"> in a corpus of size </w:t>
      </w:r>
      <w:r>
        <w:rPr>
          <w:rFonts w:ascii="Georgia" w:cs="Georgia" w:eastAsia="Georgia" w:hAnsi="Georgia"/>
          <w:sz w:val="24"/>
          <w:szCs w:val="24"/>
        </w:rPr>
        <w:t xml:space="preserve">N</w:t>
      </w:r>
      <w:r>
        <w:rPr>
          <w:rFonts w:ascii="Georgia" w:cs="Georgia" w:eastAsia="Georgia" w:hAnsi="Georgia"/>
          <w:sz w:val="24"/>
          <w:szCs w:val="24"/>
        </w:rPr>
        <w:t xml:space="preserve"> is approximately </w:t>
      </w:r>
      <w:r>
        <w:rPr>
          <w:rFonts w:ascii="Georgia" w:cs="Georgia" w:eastAsia="Georgia" w:hAnsi="Georgia"/>
          <w:sz w:val="24"/>
          <w:szCs w:val="24"/>
        </w:rPr>
        <w:t xml:space="preserve">N · Π*(x₁, …, xᵢ₋₁)</w:t>
      </w:r>
      <w:r>
        <w:rPr>
          <w:rFonts w:ascii="Georgia" w:cs="Georgia" w:eastAsia="Georgia" w:hAnsi="Georgia"/>
          <w:sz w:val="24"/>
          <w:szCs w:val="24"/>
        </w:rPr>
        <w:t xml:space="preserve">. By the central limit theorem, the estimation error on a single transition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P̂(xᵢ | prefix) − P*(xᵢ | prefix)  ~  O(1/√(N · Π*(prefix)))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denominator </w:t>
      </w:r>
      <w:r>
        <w:rPr>
          <w:rFonts w:ascii="Georgia" w:cs="Georgia" w:eastAsia="Georgia" w:hAnsi="Georgia"/>
          <w:sz w:val="24"/>
          <w:szCs w:val="24"/>
        </w:rPr>
        <w:t xml:space="preserve">N · Π*(prefix)</w:t>
      </w:r>
      <w:r>
        <w:rPr>
          <w:rFonts w:ascii="Georgia" w:cs="Georgia" w:eastAsia="Georgia" w:hAnsi="Georgia"/>
          <w:sz w:val="24"/>
          <w:szCs w:val="24"/>
        </w:rPr>
        <w:t xml:space="preserve"> is the expected count of the prefix. High-probability prefixes have high counts, so their transitions are estimated accurately. This is the self-regularizing property: the paths that matter most are estimated best.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Product Error Accumulation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path probability product at depth d is a product of d individually noisy estimates. To first order in the errors δᵢ = P̂(xᵢ | prefix) − P*(xᵢ | prefix):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Π̂ − Π* ≈ Π* · ∑ᵢ₌₁ᵈ (δᵢ / P*(xᵢ | prefix))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relative error in the product is the sum of relative errors in each factor. Taking variance: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Var[Π̂/Π*] ≈ ∑ᵢ₌₁ᵈ Var[δᵢ] / P*(xᵢ | prefix)²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Each term </w:t>
      </w:r>
      <w:r>
        <w:rPr>
          <w:rFonts w:ascii="Georgia" w:cs="Georgia" w:eastAsia="Georgia" w:hAnsi="Georgia"/>
          <w:sz w:val="24"/>
          <w:szCs w:val="24"/>
        </w:rPr>
        <w:t xml:space="preserve">Var[δᵢ] / P*(xᵢ | prefix)²</w:t>
      </w:r>
      <w:r>
        <w:rPr>
          <w:rFonts w:ascii="Georgia" w:cs="Georgia" w:eastAsia="Georgia" w:hAnsi="Georgia"/>
          <w:sz w:val="24"/>
          <w:szCs w:val="24"/>
        </w:rPr>
        <w:t xml:space="preserve"> scales as </w:t>
      </w:r>
      <w:r>
        <w:rPr>
          <w:rFonts w:ascii="Georgia" w:cs="Georgia" w:eastAsia="Georgia" w:hAnsi="Georgia"/>
          <w:sz w:val="24"/>
          <w:szCs w:val="24"/>
        </w:rPr>
        <w:t xml:space="preserve">1 / (N · Π*(x₁, …, xᵢ₋₁))</w:t>
      </w:r>
      <w:r>
        <w:rPr>
          <w:rFonts w:ascii="Georgia" w:cs="Georgia" w:eastAsia="Georgia" w:hAnsi="Georgia"/>
          <w:sz w:val="24"/>
          <w:szCs w:val="24"/>
        </w:rPr>
        <w:t xml:space="preserve">. Counts drop with depth, so this quantity grows as we go deeper. The total relative variance is therefore bounded by: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Var[Π̂/Π*]  =  O(d / (N · Π*_min))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where </w:t>
      </w:r>
      <w:r>
        <w:rPr>
          <w:rFonts w:ascii="Georgia" w:cs="Georgia" w:eastAsia="Georgia" w:hAnsi="Georgia"/>
          <w:sz w:val="24"/>
          <w:szCs w:val="24"/>
        </w:rPr>
        <w:t xml:space="preserve">Π*_min</w:t>
      </w:r>
      <w:r>
        <w:rPr>
          <w:rFonts w:ascii="Georgia" w:cs="Georgia" w:eastAsia="Georgia" w:hAnsi="Georgia"/>
          <w:sz w:val="24"/>
          <w:szCs w:val="24"/>
        </w:rPr>
        <w:t xml:space="preserve"> is the minimum prefix probability along the path. The standard deviation of the relative error scales as: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σ_rel  ~  √(d / (N · Π*_min))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Agreement Threshold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Two independent tries </w:t>
      </w:r>
      <w:r>
        <w:rPr>
          <w:rFonts w:ascii="Georgia" w:cs="Georgia" w:eastAsia="Georgia" w:hAnsi="Georgia"/>
          <w:sz w:val="24"/>
          <w:szCs w:val="24"/>
        </w:rPr>
        <w:t xml:space="preserve">T₁, T₂</w:t>
      </w:r>
      <w:r>
        <w:rPr>
          <w:rFonts w:ascii="Georgia" w:cs="Georgia" w:eastAsia="Georgia" w:hAnsi="Georgia"/>
          <w:sz w:val="24"/>
          <w:szCs w:val="24"/>
        </w:rPr>
        <w:t xml:space="preserve"> built from disjoint corpora each have this error independently. Their difference </w:t>
      </w:r>
      <w:r>
        <w:rPr>
          <w:rFonts w:ascii="Georgia" w:cs="Georgia" w:eastAsia="Georgia" w:hAnsi="Georgia"/>
          <w:sz w:val="24"/>
          <w:szCs w:val="24"/>
        </w:rPr>
        <w:t xml:space="preserve">|Π₁ − Π₂|</w:t>
      </w:r>
      <w:r>
        <w:rPr>
          <w:rFonts w:ascii="Georgia" w:cs="Georgia" w:eastAsia="Georgia" w:hAnsi="Georgia"/>
          <w:sz w:val="24"/>
          <w:szCs w:val="24"/>
        </w:rPr>
        <w:t xml:space="preserve"> has standard deviation ~√2 times larger. Setting this below threshold </w:t>
      </w:r>
      <w:r>
        <w:rPr>
          <w:rFonts w:ascii="Georgia" w:cs="Georgia" w:eastAsia="Georgia" w:hAnsi="Georgia"/>
          <w:sz w:val="24"/>
          <w:szCs w:val="24"/>
        </w:rPr>
        <w:t xml:space="preserve">ε · Π*</w:t>
      </w:r>
      <w:r>
        <w:rPr>
          <w:rFonts w:ascii="Georgia" w:cs="Georgia" w:eastAsia="Georgia" w:hAnsi="Georgia"/>
          <w:sz w:val="24"/>
          <w:szCs w:val="24"/>
        </w:rPr>
        <w:t xml:space="preserve"> (i.e., relative agreement to ε) requires: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 &gt;  2d / (ε² · Π*_min)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is the central result. The required corpus size grows with depth </w:t>
      </w:r>
      <w:r>
        <w:rPr>
          <w:rFonts w:ascii="Georgia" w:cs="Georgia" w:eastAsia="Georgia" w:hAnsi="Georgia"/>
          <w:sz w:val="24"/>
          <w:szCs w:val="24"/>
        </w:rPr>
        <w:t xml:space="preserve">d</w:t>
      </w:r>
      <w:r>
        <w:rPr>
          <w:rFonts w:ascii="Georgia" w:cs="Georgia" w:eastAsia="Georgia" w:hAnsi="Georgia"/>
          <w:sz w:val="24"/>
          <w:szCs w:val="24"/>
        </w:rPr>
        <w:t xml:space="preserve"> and inversely with the minimum prefix probability along the path. For high-probability paths (large </w:t>
      </w:r>
      <w:r>
        <w:rPr>
          <w:rFonts w:ascii="Georgia" w:cs="Georgia" w:eastAsia="Georgia" w:hAnsi="Georgia"/>
          <w:sz w:val="24"/>
          <w:szCs w:val="24"/>
        </w:rPr>
        <w:t xml:space="preserve">Π*_min</w:t>
      </w:r>
      <w:r>
        <w:rPr>
          <w:rFonts w:ascii="Georgia" w:cs="Georgia" w:eastAsia="Georgia" w:hAnsi="Georgia"/>
          <w:sz w:val="24"/>
          <w:szCs w:val="24"/>
        </w:rPr>
        <w:t xml:space="preserve">), even a modest corpus achieves high agreement. For rare paths, convergence may require an astronomically large corpus.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Equivalently: at fixed corpus size </w:t>
      </w:r>
      <w:r>
        <w:rPr>
          <w:rFonts w:ascii="Georgia" w:cs="Georgia" w:eastAsia="Georgia" w:hAnsi="Georgia"/>
          <w:sz w:val="24"/>
          <w:szCs w:val="24"/>
        </w:rPr>
        <w:t xml:space="preserve">N</w:t>
      </w:r>
      <w:r>
        <w:rPr>
          <w:rFonts w:ascii="Georgia" w:cs="Georgia" w:eastAsia="Georgia" w:hAnsi="Georgia"/>
          <w:sz w:val="24"/>
          <w:szCs w:val="24"/>
        </w:rPr>
        <w:t xml:space="preserve">, the set of paths that agree to within ε between two independent tries is precisely the set of paths with </w:t>
      </w:r>
      <w:r>
        <w:rPr>
          <w:rFonts w:ascii="Georgia" w:cs="Georgia" w:eastAsia="Georgia" w:hAnsi="Georgia"/>
          <w:sz w:val="24"/>
          <w:szCs w:val="24"/>
        </w:rPr>
        <w:t xml:space="preserve">Π*_min &gt; 2d / (ε²N)</w:t>
      </w:r>
      <w:r>
        <w:rPr>
          <w:rFonts w:ascii="Georgia" w:cs="Georgia" w:eastAsia="Georgia" w:hAnsi="Georgia"/>
          <w:sz w:val="24"/>
          <w:szCs w:val="24"/>
        </w:rPr>
        <w:t xml:space="preserve">. This set covers the majority of the probability mass of the language for any reasonable </w:t>
      </w:r>
      <w:r>
        <w:rPr>
          <w:rFonts w:ascii="Georgia" w:cs="Georgia" w:eastAsia="Georgia" w:hAnsi="Georgia"/>
          <w:sz w:val="24"/>
          <w:szCs w:val="24"/>
        </w:rPr>
        <w:t xml:space="preserve">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sz w:val="24"/>
          <w:szCs w:val="24"/>
        </w:rPr>
        <w:t xml:space="preserve">d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 Geometric Interpretation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path probability product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defines a real-valued function on prefix space. Two prefixes with similar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are assigned similar joint probability by the language — they occupy similar positions in the probability geometry of the corpus.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If this coordinate is corpus-independent in the high-probability regime (as the hypothesis asserts), then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is not measuring a property of a particular dataset but a property of the language itself. It is, in this sense, a </w:t>
      </w:r>
      <w:r>
        <w:rPr>
          <w:rFonts w:ascii="Georgia" w:cs="Georgia" w:eastAsia="Georgia" w:hAnsi="Georgia"/>
          <w:sz w:val="24"/>
          <w:szCs w:val="24"/>
        </w:rPr>
        <w:t xml:space="preserve">canonical coordinate</w:t>
      </w:r>
      <w:r>
        <w:rPr>
          <w:rFonts w:ascii="Georgia" w:cs="Georgia" w:eastAsia="Georgia" w:hAnsi="Georgia"/>
          <w:sz w:val="24"/>
          <w:szCs w:val="24"/>
        </w:rPr>
        <w:t xml:space="preserve"> — one that any sufficiently large independent corpus would agree on.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has a further consequence: the path probability product is a form of </w:t>
      </w:r>
      <w:r>
        <w:rPr>
          <w:rFonts w:ascii="Georgia" w:cs="Georgia" w:eastAsia="Georgia" w:hAnsi="Georgia"/>
          <w:sz w:val="24"/>
          <w:szCs w:val="24"/>
        </w:rPr>
        <w:t xml:space="preserve">lossless compression</w:t>
      </w:r>
      <w:r>
        <w:rPr>
          <w:rFonts w:ascii="Georgia" w:cs="Georgia" w:eastAsia="Georgia" w:hAnsi="Georgia"/>
          <w:sz w:val="24"/>
          <w:szCs w:val="24"/>
        </w:rPr>
        <w:t xml:space="preserve"> of the prefix, but one that preserves geometric structure. Paths that share a probability product prefix (to some precision </w:t>
      </w:r>
      <w:r>
        <w:rPr>
          <w:rFonts w:ascii="Georgia" w:cs="Georgia" w:eastAsia="Georgia" w:hAnsi="Georgia"/>
          <w:sz w:val="24"/>
          <w:szCs w:val="24"/>
        </w:rPr>
        <w:t xml:space="preserve">ε</w:t>
      </w:r>
      <w:r>
        <w:rPr>
          <w:rFonts w:ascii="Georgia" w:cs="Georgia" w:eastAsia="Georgia" w:hAnsi="Georgia"/>
          <w:sz w:val="24"/>
          <w:szCs w:val="24"/>
        </w:rPr>
        <w:t xml:space="preserve">) form natural equivalence classes — the language considers them locally interchangeable with respect to their joint probability. This is a quotient of prefix space, and it emerges from the arithmetic of the trie without additional learning.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practical corollary: because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decays rapidly and becomes unique within a small number of steps for most paths, it functions as a near-perfect hash of the prefix — one that two independently built tries would reproduce to high agreement. This enables prefix identification without retrieval or shared state.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 Proposed Empirical Test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Setup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hypothesis is testable with any corpus that can be split cleanly. We propose using the complete works of Shakespeare, divided by play into two roughly equal halves — a natural split that ensures the two sub-corpora are drawn from the same distribution without direct overlap.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Procedure: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1.  Tokenize both halves at the character or word level.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2.  Build tries T₁ and T₂ independently, with a fixed maximum depth D.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3.  For all paths present in both tries, compute Π₁(path) and Π₂(path).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4.  Measure |Π₁ − Π₂| as a function of path depth d and path probability mass Π*.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5.  Repeat at multiple depth limits D to observe how agreement evolves with depth.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Predicted Observations</w:t>
      </w:r>
    </w:p>
    <w:p>
      <w:pPr>
        <w:spacing w:after="8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If the hypothesis holds, the experiment should show:</w:t>
      </w:r>
    </w:p>
    <w:p>
      <w:pPr>
        <w:spacing w:after="80" w:before="0"/>
        <w:jc w:val="left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Agreement improves with path probability mass. </w:t>
      </w:r>
      <w:r>
        <w:rPr>
          <w:rFonts w:ascii="Georgia" w:cs="Georgia" w:eastAsia="Georgia" w:hAnsi="Georgia"/>
          <w:sz w:val="24"/>
          <w:szCs w:val="24"/>
        </w:rPr>
        <w:t xml:space="preserve">Stratifying paths by Π* should reveal that high-probability paths agree to high precision, while rare paths diverge substantially.</w:t>
      </w:r>
    </w:p>
    <w:p>
      <w:pPr>
        <w:spacing w:after="80" w:before="0"/>
        <w:jc w:val="left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Agreement degrades gracefully with depth. </w:t>
      </w:r>
      <w:r>
        <w:rPr>
          <w:rFonts w:ascii="Georgia" w:cs="Georgia" w:eastAsia="Georgia" w:hAnsi="Georgia"/>
          <w:sz w:val="24"/>
          <w:szCs w:val="24"/>
        </w:rPr>
        <w:t xml:space="preserve">At fixed probability mass, deeper paths require larger counts and agreement should degrade as O(√d), not catastrophically.</w:t>
      </w:r>
    </w:p>
    <w:p>
      <w:pPr>
        <w:spacing w:after="120" w:before="0"/>
        <w:jc w:val="left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 coverage-probability tradeoff. </w:t>
      </w:r>
      <w:r>
        <w:rPr>
          <w:rFonts w:ascii="Georgia" w:cs="Georgia" w:eastAsia="Georgia" w:hAnsi="Georgia"/>
          <w:sz w:val="24"/>
          <w:szCs w:val="24"/>
        </w:rPr>
        <w:t xml:space="preserve">The fraction of probability mass covered by agreeing paths should remain high (&gt;90%) even at substantial depth, because most probability mass is concentrated in high-frequency paths.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Key Measurement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primary quantity to report is the relative agreement error as a function of path probability stratum: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δ_rel(path) = |Π₁(path) − Π₂(path)| / Π*(path)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Plotted against log Π* and depth </w:t>
      </w:r>
      <w:r>
        <w:rPr>
          <w:rFonts w:ascii="Georgia" w:cs="Georgia" w:eastAsia="Georgia" w:hAnsi="Georgia"/>
          <w:sz w:val="24"/>
          <w:szCs w:val="24"/>
        </w:rPr>
        <w:t xml:space="preserve">d</w:t>
      </w:r>
      <w:r>
        <w:rPr>
          <w:rFonts w:ascii="Georgia" w:cs="Georgia" w:eastAsia="Georgia" w:hAnsi="Georgia"/>
          <w:sz w:val="24"/>
          <w:szCs w:val="24"/>
        </w:rPr>
        <w:t xml:space="preserve">, this directly visualizes the convergence landscape and tests the predicted </w:t>
      </w:r>
      <w:r>
        <w:rPr>
          <w:rFonts w:ascii="Georgia" w:cs="Georgia" w:eastAsia="Georgia" w:hAnsi="Georgia"/>
          <w:sz w:val="24"/>
          <w:szCs w:val="24"/>
        </w:rPr>
        <w:t xml:space="preserve">√(d / (N · Π*_min))</w:t>
      </w:r>
      <w:r>
        <w:rPr>
          <w:rFonts w:ascii="Georgia" w:cs="Georgia" w:eastAsia="Georgia" w:hAnsi="Georgia"/>
          <w:sz w:val="24"/>
          <w:szCs w:val="24"/>
        </w:rPr>
        <w:t xml:space="preserve"> scaling.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  Implications for Hybrid Language Models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result has direct consequences for a class of architectures that combine a non-parametric trie with a small learned component — including the AGPT prototype described in a companion note.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If path probability products are language-intrinsic coordinates, they serve as canonical prefix identifiers without retrieval. A hybrid model can use </w:t>
      </w:r>
      <w:r>
        <w:rPr>
          <w:rFonts w:ascii="Georgia" w:cs="Georgia" w:eastAsia="Georgia" w:hAnsi="Georgia"/>
          <w:sz w:val="24"/>
          <w:szCs w:val="24"/>
        </w:rPr>
        <w:t xml:space="preserve">Π</w:t>
      </w:r>
      <w:r>
        <w:rPr>
          <w:rFonts w:ascii="Georgia" w:cs="Georgia" w:eastAsia="Georgia" w:hAnsi="Georgia"/>
          <w:sz w:val="24"/>
          <w:szCs w:val="24"/>
        </w:rPr>
        <w:t xml:space="preserve"> directly as a feature or key, rather than computing a dense embedding of the prefix. Two instances of the same model, trained on different corpora, would agree on these identifiers in the high-probability regime — enabling a form of </w:t>
      </w:r>
      <w:r>
        <w:rPr>
          <w:rFonts w:ascii="Georgia" w:cs="Georgia" w:eastAsia="Georgia" w:hAnsi="Georgia"/>
          <w:sz w:val="24"/>
          <w:szCs w:val="24"/>
        </w:rPr>
        <w:t xml:space="preserve">distributed consensus on prefix identity</w:t>
      </w:r>
      <w:r>
        <w:rPr>
          <w:rFonts w:ascii="Georgia" w:cs="Georgia" w:eastAsia="Georgia" w:hAnsi="Georgia"/>
          <w:sz w:val="24"/>
          <w:szCs w:val="24"/>
        </w:rPr>
        <w:t xml:space="preserve"> without shared state.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convergence result also clarifies the division of labor in hybrid models. The trie handles the high-probability regime with high accuracy and cross-corpus consistency. The learned component (recurrent state or small network) is responsible precisely for the low-probability regime where the trie diverges between corpora — which is also where novel generalization is needed. The architecture naturally specializes each component to the regime it can handle.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  Discussion and Open Questions</w:t>
      </w:r>
    </w:p>
    <w:p>
      <w:pPr>
        <w:spacing w:after="10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Several questions remain open: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Optimal depth. </w:t>
      </w:r>
      <w:r>
        <w:rPr>
          <w:rFonts w:ascii="Georgia" w:cs="Georgia" w:eastAsia="Georgia" w:hAnsi="Georgia"/>
          <w:sz w:val="24"/>
          <w:szCs w:val="24"/>
        </w:rPr>
        <w:t xml:space="preserve">The convergence analysis suggests an optimal depth at which specificity is maximized subject to an agreement constraint. Deriving this depth as a function of corpus size and vocabulary is a natural next step.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Beyond tries. </w:t>
      </w:r>
      <w:r>
        <w:rPr>
          <w:rFonts w:ascii="Georgia" w:cs="Georgia" w:eastAsia="Georgia" w:hAnsi="Georgia"/>
          <w:sz w:val="24"/>
          <w:szCs w:val="24"/>
        </w:rPr>
        <w:t xml:space="preserve">The hypothesis may generalize to suffix tries, DAGs, and weighted co-occurrence graphs. In each case the question is whether the path probability product converges to a language-intrinsic value. The answer likely depends on the graph's relationship to the true language distribution.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Uniqueness. </w:t>
      </w:r>
      <w:r>
        <w:rPr>
          <w:rFonts w:ascii="Georgia" w:cs="Georgia" w:eastAsia="Georgia" w:hAnsi="Georgia"/>
          <w:sz w:val="24"/>
          <w:szCs w:val="24"/>
        </w:rPr>
        <w:t xml:space="preserve">We conjectured informally that path probability products become unique within a small number of steps for most paths. Formalizing this — characterizing the expected number of steps to a unique product at precision ε — is a tractable combinatorial problem.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Relationship to entropy. </w:t>
      </w:r>
      <w:r>
        <w:rPr>
          <w:rFonts w:ascii="Georgia" w:cs="Georgia" w:eastAsia="Georgia" w:hAnsi="Georgia"/>
          <w:sz w:val="24"/>
          <w:szCs w:val="24"/>
        </w:rPr>
        <w:t xml:space="preserve">The depth at which agreement is achieved is related to the entropy rate of the language — lower entropy means more predictable paths, higher counts, faster convergence. Making this connection precise would link the convergence rate to fundamental information-theoretic properties of the language.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  Conclusion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We have proposed and formalized the hypothesis that trie path probability products converge to corpus-independent values in the high-probability regime, at a rate of </w:t>
      </w:r>
      <w:r>
        <w:rPr>
          <w:rFonts w:ascii="Georgia" w:cs="Georgia" w:eastAsia="Georgia" w:hAnsi="Georgia"/>
          <w:sz w:val="24"/>
          <w:szCs w:val="24"/>
        </w:rPr>
        <w:t xml:space="preserve">O(√(d / (N · Π*_min)))</w:t>
      </w:r>
      <w:r>
        <w:rPr>
          <w:rFonts w:ascii="Georgia" w:cs="Georgia" w:eastAsia="Georgia" w:hAnsi="Georgia"/>
          <w:sz w:val="24"/>
          <w:szCs w:val="24"/>
        </w:rPr>
        <w:t xml:space="preserve"> in relative error. If confirmed, this establishes path probability products as language-intrinsic coordinates — geometric properties of the language distribution, not of any particular dataset.</w:t>
      </w:r>
    </w:p>
    <w:p>
      <w:pPr>
        <w:spacing w:after="160" w:before="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proposed experiment — two halves of Shakespeare, independent tries, convergence measured by depth and probability stratum — is minimal, inexpensive, and directly tests the scaling prediction. A positive result would have immediate implications for the design of hybrid non-parametric language models and for the interpretation of trie-based prefix representations.</w:t>
      </w:r>
    </w:p>
    <w:p>
      <w:pPr>
        <w:pBdr>
          <w:bottom w:val="single" w:color="888888" w:sz="6" w:space="1"/>
        </w:pBdr>
        <w:spacing w:after="80" w:before="80"/>
      </w:pPr>
    </w:p>
    <w:p>
      <w:pPr>
        <w:spacing w:after="160" w:before="120"/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Draft — Thomas Sawyer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2026-04-17T08:41:42.406Z</dcterms:created>
  <dcterms:modified xsi:type="dcterms:W3CDTF">2026-04-17T08:41:42.408Z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