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49F" w:rsidRDefault="002051A1">
      <w:pPr>
        <w:rPr>
          <w:rFonts w:hint="eastAsia"/>
        </w:rPr>
      </w:pPr>
      <w:r>
        <w:rPr>
          <w:rFonts w:hint="eastAsia"/>
        </w:rPr>
        <w:t>报告：</w:t>
      </w:r>
    </w:p>
    <w:p w:rsidR="002051A1" w:rsidRDefault="002051A1">
      <w:r>
        <w:tab/>
      </w:r>
      <w:r>
        <w:rPr>
          <w:rFonts w:hint="eastAsia"/>
        </w:rPr>
        <w:t>策略原理</w:t>
      </w:r>
    </w:p>
    <w:p w:rsidR="002051A1" w:rsidRDefault="002051A1">
      <w:r>
        <w:tab/>
      </w:r>
      <w:r>
        <w:rPr>
          <w:rFonts w:hint="eastAsia"/>
        </w:rPr>
        <w:t>实证结果</w:t>
      </w:r>
    </w:p>
    <w:p w:rsidR="002051A1" w:rsidRDefault="002051A1">
      <w:r>
        <w:tab/>
      </w:r>
      <w:r>
        <w:rPr>
          <w:rFonts w:hint="eastAsia"/>
        </w:rPr>
        <w:t>总结分析</w:t>
      </w:r>
    </w:p>
    <w:p w:rsidR="002051A1" w:rsidRDefault="002051A1"/>
    <w:p w:rsidR="002051A1" w:rsidRDefault="002051A1">
      <w:r>
        <w:rPr>
          <w:rFonts w:hint="eastAsia"/>
        </w:rPr>
        <w:t>策略原理：</w:t>
      </w:r>
    </w:p>
    <w:p w:rsidR="002051A1" w:rsidRDefault="002051A1" w:rsidP="00205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对股票池中所有股票计算其过去20，40，60天收益</w:t>
      </w:r>
    </w:p>
    <w:p w:rsidR="002051A1" w:rsidRDefault="002051A1" w:rsidP="00205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对股票池中所有股票计算其过去</w:t>
      </w:r>
      <w:r>
        <w:t>20，40，60</w:t>
      </w:r>
      <w:r>
        <w:rPr>
          <w:rFonts w:hint="eastAsia"/>
        </w:rPr>
        <w:t>天收益的波动（方差）</w:t>
      </w:r>
    </w:p>
    <w:p w:rsidR="002051A1" w:rsidRDefault="002051A1" w:rsidP="00205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根据各股票过去20，40，</w:t>
      </w:r>
      <w:r>
        <w:t>60</w:t>
      </w:r>
      <w:r>
        <w:rPr>
          <w:rFonts w:hint="eastAsia"/>
        </w:rPr>
        <w:t>天数据计算出的收益/波动均值排序，取前五股票给出买入信号</w:t>
      </w:r>
    </w:p>
    <w:p w:rsidR="002051A1" w:rsidRDefault="002051A1" w:rsidP="002051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按照各股票1/波动率（20，40，60天的均值）分配权重。总权重为1</w:t>
      </w:r>
    </w:p>
    <w:p w:rsidR="002051A1" w:rsidRDefault="002051A1" w:rsidP="002051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杠杆率默认为1</w:t>
      </w:r>
      <w:r>
        <w:t>.0</w:t>
      </w:r>
    </w:p>
    <w:p w:rsidR="002051A1" w:rsidRDefault="002051A1" w:rsidP="002051A1">
      <w:r>
        <w:rPr>
          <w:rFonts w:hint="eastAsia"/>
        </w:rPr>
        <w:t>实证结果：</w:t>
      </w:r>
    </w:p>
    <w:p w:rsidR="00296F97" w:rsidRDefault="00036D70" w:rsidP="002051A1">
      <w:r>
        <w:rPr>
          <w:rFonts w:hint="eastAsia"/>
        </w:rPr>
        <w:t>回测规则：</w:t>
      </w:r>
    </w:p>
    <w:p w:rsidR="00296F97" w:rsidRDefault="00296F97" w:rsidP="002051A1">
      <w:r>
        <w:rPr>
          <w:rFonts w:hint="eastAsia"/>
        </w:rPr>
        <w:t>回测时间：从2006-12-21到 2017-12-29</w:t>
      </w:r>
    </w:p>
    <w:p w:rsidR="00296F97" w:rsidRDefault="00296F97" w:rsidP="002051A1">
      <w:r>
        <w:rPr>
          <w:rFonts w:hint="eastAsia"/>
        </w:rPr>
        <w:t>备选股票池：801010-801</w:t>
      </w:r>
      <w:r>
        <w:t>230，801710-801790，801880，801890</w:t>
      </w:r>
    </w:p>
    <w:p w:rsidR="00296F97" w:rsidRDefault="00296F97" w:rsidP="002051A1">
      <w:r>
        <w:rPr>
          <w:rFonts w:hint="eastAsia"/>
        </w:rPr>
        <w:t>换仓频率：按周</w:t>
      </w:r>
    </w:p>
    <w:p w:rsidR="00296F97" w:rsidRDefault="00296F97" w:rsidP="002051A1">
      <w:pPr>
        <w:rPr>
          <w:rFonts w:hint="eastAsia"/>
        </w:rPr>
      </w:pPr>
      <w:r>
        <w:rPr>
          <w:rFonts w:hint="eastAsia"/>
        </w:rPr>
        <w:t>股票支数：</w:t>
      </w:r>
      <w:r>
        <w:t>34</w:t>
      </w:r>
    </w:p>
    <w:p w:rsidR="00296F97" w:rsidRDefault="00296F97" w:rsidP="002051A1">
      <w:pPr>
        <w:rPr>
          <w:rFonts w:hint="eastAsia"/>
        </w:rPr>
      </w:pPr>
      <w:r>
        <w:rPr>
          <w:rFonts w:hint="eastAsia"/>
        </w:rPr>
        <w:t>回测表现：</w:t>
      </w:r>
    </w:p>
    <w:p w:rsidR="00F03B67" w:rsidRPr="00F03B67" w:rsidRDefault="00F03B67" w:rsidP="00F03B67">
      <w:r w:rsidRPr="00F03B67">
        <w:t xml:space="preserve">Final </w:t>
      </w:r>
      <w:proofErr w:type="spellStart"/>
      <w:r w:rsidRPr="00F03B67">
        <w:t>NetValue</w:t>
      </w:r>
      <w:proofErr w:type="spellEnd"/>
      <w:r w:rsidRPr="00F03B67">
        <w:t>: 6.00358027021</w:t>
      </w:r>
    </w:p>
    <w:p w:rsidR="00F03B67" w:rsidRPr="00F03B67" w:rsidRDefault="00F03B67" w:rsidP="00F03B67">
      <w:r w:rsidRPr="00F03B67">
        <w:t>Annualized Return Rate: 0.161726380581</w:t>
      </w:r>
    </w:p>
    <w:p w:rsidR="00F03B67" w:rsidRPr="00F03B67" w:rsidRDefault="00F03B67" w:rsidP="00F03B67">
      <w:r w:rsidRPr="00F03B67">
        <w:t>Annualized Volatility: 0.302674613099</w:t>
      </w:r>
    </w:p>
    <w:p w:rsidR="00F03B67" w:rsidRPr="00F03B67" w:rsidRDefault="00F03B67" w:rsidP="00F03B67">
      <w:r w:rsidRPr="00F03B67">
        <w:t>Max Retreat: 0.543909699488</w:t>
      </w:r>
    </w:p>
    <w:p w:rsidR="00F03B67" w:rsidRPr="00F03B67" w:rsidRDefault="00F03B67" w:rsidP="00F03B67">
      <w:r w:rsidRPr="00F03B67">
        <w:t>Sharpe Ratio: 0.534324233293</w:t>
      </w:r>
    </w:p>
    <w:p w:rsidR="00F03B67" w:rsidRPr="00F03B67" w:rsidRDefault="00F03B67" w:rsidP="00F03B67">
      <w:r w:rsidRPr="00F03B67">
        <w:t>Calmar Ratio: 0.29734049739</w:t>
      </w:r>
    </w:p>
    <w:p w:rsidR="00F03B67" w:rsidRPr="00F03B67" w:rsidRDefault="00F03B67" w:rsidP="00F03B67">
      <w:r w:rsidRPr="00F03B67">
        <w:t>Trade Count: 2682</w:t>
      </w:r>
    </w:p>
    <w:p w:rsidR="00F03B67" w:rsidRPr="00F03B67" w:rsidRDefault="00F03B67" w:rsidP="00F03B67">
      <w:proofErr w:type="spellStart"/>
      <w:r w:rsidRPr="00F03B67">
        <w:t>Winrate</w:t>
      </w:r>
      <w:proofErr w:type="spellEnd"/>
      <w:r w:rsidRPr="00F03B67">
        <w:t>: 0.544742729306</w:t>
      </w:r>
    </w:p>
    <w:p w:rsidR="00F03B67" w:rsidRDefault="00F03B67" w:rsidP="00F03B67">
      <w:pPr>
        <w:autoSpaceDE w:val="0"/>
        <w:autoSpaceDN w:val="0"/>
        <w:adjustRightInd w:val="0"/>
        <w:jc w:val="left"/>
        <w:rPr>
          <w:rFonts w:ascii="Monaco" w:hAnsi="Monaco" w:cs="Monaco" w:hint="eastAsia"/>
          <w:kern w:val="0"/>
          <w:sz w:val="28"/>
          <w:szCs w:val="28"/>
        </w:rPr>
      </w:pPr>
      <w:r>
        <w:rPr>
          <w:rFonts w:ascii="Monaco" w:hAnsi="Monaco" w:cs="Monaco"/>
          <w:noProof/>
          <w:kern w:val="0"/>
          <w:sz w:val="28"/>
          <w:szCs w:val="28"/>
        </w:rPr>
        <w:lastRenderedPageBreak/>
        <w:drawing>
          <wp:inline distT="0" distB="0" distL="0" distR="0">
            <wp:extent cx="3200400" cy="2179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41">
        <w:rPr>
          <w:rFonts w:ascii="Monaco" w:hAnsi="Monaco" w:cs="Monaco" w:hint="eastAsia"/>
          <w:kern w:val="0"/>
          <w:sz w:val="28"/>
          <w:szCs w:val="28"/>
        </w:rPr>
        <w:t>累计收益</w:t>
      </w:r>
    </w:p>
    <w:p w:rsidR="00F03B67" w:rsidRDefault="00F03B67" w:rsidP="00F03B67">
      <w:pPr>
        <w:autoSpaceDE w:val="0"/>
        <w:autoSpaceDN w:val="0"/>
        <w:adjustRightInd w:val="0"/>
        <w:jc w:val="left"/>
        <w:rPr>
          <w:rFonts w:ascii="Monaco" w:hAnsi="Monaco" w:cs="Monaco"/>
          <w:kern w:val="0"/>
          <w:sz w:val="28"/>
          <w:szCs w:val="28"/>
        </w:rPr>
      </w:pPr>
      <w:r>
        <w:rPr>
          <w:rFonts w:ascii="Monaco" w:hAnsi="Monaco" w:cs="Monaco"/>
          <w:noProof/>
          <w:kern w:val="0"/>
          <w:sz w:val="28"/>
          <w:szCs w:val="28"/>
        </w:rPr>
        <w:drawing>
          <wp:inline distT="0" distB="0" distL="0" distR="0">
            <wp:extent cx="3200400" cy="2179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6241">
        <w:rPr>
          <w:rFonts w:ascii="Monaco" w:hAnsi="Monaco" w:cs="Monaco" w:hint="eastAsia"/>
          <w:kern w:val="0"/>
          <w:sz w:val="28"/>
          <w:szCs w:val="28"/>
        </w:rPr>
        <w:t>回撤</w:t>
      </w:r>
    </w:p>
    <w:p w:rsidR="002051A1" w:rsidRDefault="002051A1" w:rsidP="002051A1">
      <w:pPr>
        <w:rPr>
          <w:rFonts w:hint="eastAsia"/>
        </w:rPr>
      </w:pPr>
      <w:r>
        <w:rPr>
          <w:rFonts w:hint="eastAsia"/>
        </w:rPr>
        <w:t>总结分析：</w:t>
      </w:r>
      <w:r w:rsidR="00800E9C">
        <w:rPr>
          <w:rFonts w:hint="eastAsia"/>
        </w:rPr>
        <w:t xml:space="preserve"> </w:t>
      </w:r>
      <w:bookmarkStart w:id="0" w:name="_GoBack"/>
      <w:bookmarkEnd w:id="0"/>
    </w:p>
    <w:sectPr w:rsidR="002051A1" w:rsidSect="00A9526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F5FC4"/>
    <w:multiLevelType w:val="hybridMultilevel"/>
    <w:tmpl w:val="D6A4145A"/>
    <w:lvl w:ilvl="0" w:tplc="E2520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1"/>
    <w:rsid w:val="00036D70"/>
    <w:rsid w:val="002051A1"/>
    <w:rsid w:val="00296F97"/>
    <w:rsid w:val="00756241"/>
    <w:rsid w:val="00800E9C"/>
    <w:rsid w:val="00A9526F"/>
    <w:rsid w:val="00D9609D"/>
    <w:rsid w:val="00DF749F"/>
    <w:rsid w:val="00F0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8963"/>
  <w14:defaultImageDpi w14:val="32767"/>
  <w15:chartTrackingRefBased/>
  <w15:docId w15:val="{18A285C8-D0AF-7849-B0DD-F5E3463E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Tang</dc:creator>
  <cp:keywords/>
  <dc:description/>
  <cp:lastModifiedBy>Chen Tang</cp:lastModifiedBy>
  <cp:revision>1</cp:revision>
  <dcterms:created xsi:type="dcterms:W3CDTF">2018-06-11T08:32:00Z</dcterms:created>
  <dcterms:modified xsi:type="dcterms:W3CDTF">2018-06-14T02:21:00Z</dcterms:modified>
</cp:coreProperties>
</file>