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回测报告</w:t>
      </w:r>
    </w:p>
    <w:p>
      <w:pPr>
        <w:pStyle w:val="Heading1"/>
      </w:pPr>
      <w:r>
        <w:t>策略表现</w:t>
      </w:r>
    </w:p>
    <w:p>
      <w:r>
        <w:t>年化收益: 0.2958</w:t>
      </w:r>
    </w:p>
    <w:p>
      <w:r>
        <w:t>策略累计收益: 1.6501</w:t>
      </w:r>
    </w:p>
    <w:p>
      <w:r>
        <w:t>基准累计收益: 1.1538</w:t>
      </w:r>
    </w:p>
    <w:p>
      <w:r>
        <w:t>策略最大回撤: -0.5170</w:t>
      </w:r>
    </w:p>
    <w:p>
      <w:r>
        <w:t>最大回撤发生时间段: 2018-01-23 00:00:00 至 2019-01-03 00:00:00</w:t>
      </w:r>
    </w:p>
    <w:p>
      <w:r>
        <w:t>阿尔法收益: 0.2190</w:t>
      </w:r>
    </w:p>
    <w:p>
      <w:r>
        <w:t>夏普比率: 0.8362</w:t>
      </w:r>
    </w:p>
    <w:p>
      <w:pPr>
        <w:pStyle w:val="Heading1"/>
      </w:pPr>
      <w:r>
        <w:t>图形展示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umulative_retur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