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回测报告</w:t>
      </w:r>
    </w:p>
    <w:p>
      <w:pPr>
        <w:pStyle w:val="Heading1"/>
      </w:pPr>
      <w:r>
        <w:t>策略表现</w:t>
      </w:r>
    </w:p>
    <w:p>
      <w:r>
        <w:t>年化收益: 0.6478</w:t>
      </w:r>
    </w:p>
    <w:p>
      <w:r>
        <w:t>策略累计收益: 2.6357</w:t>
      </w:r>
    </w:p>
    <w:p>
      <w:r>
        <w:t>基准累计收益: 1.6484</w:t>
      </w:r>
    </w:p>
    <w:p>
      <w:r>
        <w:t>策略最大回撤: -0.3020</w:t>
      </w:r>
    </w:p>
    <w:p>
      <w:r>
        <w:t>最大回撤发生时间段: 2015-06-12 00:00:00 至 2015-07-08 00:00:00</w:t>
      </w:r>
    </w:p>
    <w:p>
      <w:r>
        <w:t>阿尔法收益: 0.3540</w:t>
      </w:r>
    </w:p>
    <w:p>
      <w:r>
        <w:t>夏普比率: 2.0287</w:t>
      </w:r>
    </w:p>
    <w:p>
      <w:pPr>
        <w:pStyle w:val="Heading1"/>
      </w:pPr>
      <w:r>
        <w:t>图形展示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mulative_retur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