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A0" w:rsidRPr="008E6841" w:rsidRDefault="00C07F76" w:rsidP="008E6841">
      <w:pPr>
        <w:jc w:val="center"/>
        <w:rPr>
          <w:rFonts w:hint="eastAsia"/>
          <w:sz w:val="28"/>
        </w:rPr>
      </w:pPr>
      <w:r w:rsidRPr="008E6841">
        <w:rPr>
          <w:rFonts w:hint="eastAsia"/>
          <w:sz w:val="28"/>
        </w:rPr>
        <w:t>规划设计说明</w:t>
      </w:r>
    </w:p>
    <w:p w:rsidR="00C07F76" w:rsidRPr="008E6841" w:rsidRDefault="00C07F76">
      <w:pPr>
        <w:rPr>
          <w:rFonts w:hint="eastAsia"/>
          <w:sz w:val="20"/>
        </w:rPr>
      </w:pPr>
    </w:p>
    <w:p w:rsidR="00C07F76" w:rsidRPr="008E6841" w:rsidRDefault="00C07F76" w:rsidP="00C07F76">
      <w:pPr>
        <w:pStyle w:val="a3"/>
        <w:numPr>
          <w:ilvl w:val="0"/>
          <w:numId w:val="1"/>
        </w:numPr>
        <w:ind w:firstLineChars="0"/>
        <w:rPr>
          <w:rFonts w:hint="eastAsia"/>
          <w:sz w:val="24"/>
        </w:rPr>
      </w:pPr>
      <w:r w:rsidRPr="008E6841">
        <w:rPr>
          <w:rFonts w:hint="eastAsia"/>
          <w:sz w:val="24"/>
        </w:rPr>
        <w:t>设计原则</w:t>
      </w:r>
    </w:p>
    <w:p w:rsidR="009F0366" w:rsidRPr="008E6841" w:rsidRDefault="00C07F76" w:rsidP="009F0366">
      <w:pPr>
        <w:pStyle w:val="a3"/>
        <w:numPr>
          <w:ilvl w:val="0"/>
          <w:numId w:val="2"/>
        </w:numPr>
        <w:ind w:firstLineChars="0"/>
        <w:rPr>
          <w:rFonts w:hint="eastAsia"/>
          <w:sz w:val="24"/>
        </w:rPr>
      </w:pPr>
      <w:r w:rsidRPr="008E6841">
        <w:rPr>
          <w:rFonts w:hint="eastAsia"/>
          <w:sz w:val="24"/>
        </w:rPr>
        <w:t>项目定位：本项目坐落于郑州航空</w:t>
      </w:r>
      <w:proofErr w:type="gramStart"/>
      <w:r w:rsidRPr="008E6841">
        <w:rPr>
          <w:rFonts w:hint="eastAsia"/>
          <w:sz w:val="24"/>
        </w:rPr>
        <w:t>港区综保区</w:t>
      </w:r>
      <w:proofErr w:type="gramEnd"/>
      <w:r w:rsidRPr="008E6841">
        <w:rPr>
          <w:rFonts w:hint="eastAsia"/>
          <w:sz w:val="24"/>
        </w:rPr>
        <w:t>以内。主要功能业态为高端商务酒店及写字楼。</w:t>
      </w:r>
      <w:proofErr w:type="gramStart"/>
      <w:r w:rsidRPr="008E6841">
        <w:rPr>
          <w:rFonts w:hint="eastAsia"/>
          <w:sz w:val="24"/>
        </w:rPr>
        <w:t>由于综保区</w:t>
      </w:r>
      <w:proofErr w:type="gramEnd"/>
      <w:r w:rsidRPr="008E6841">
        <w:rPr>
          <w:rFonts w:hint="eastAsia"/>
          <w:sz w:val="24"/>
        </w:rPr>
        <w:t>乃至整个港区目前此类业</w:t>
      </w:r>
      <w:proofErr w:type="gramStart"/>
      <w:r w:rsidRPr="008E6841">
        <w:rPr>
          <w:rFonts w:hint="eastAsia"/>
          <w:sz w:val="24"/>
        </w:rPr>
        <w:t>态十分</w:t>
      </w:r>
      <w:proofErr w:type="gramEnd"/>
      <w:r w:rsidRPr="008E6841">
        <w:rPr>
          <w:rFonts w:hint="eastAsia"/>
          <w:sz w:val="24"/>
        </w:rPr>
        <w:t>稀缺，本项目建成后将成为周边区域不可或缺的商务配套设施，服务范围</w:t>
      </w:r>
      <w:r w:rsidR="0062123B" w:rsidRPr="008E6841">
        <w:rPr>
          <w:rFonts w:hint="eastAsia"/>
          <w:sz w:val="24"/>
        </w:rPr>
        <w:t>可延伸至新郑机场甚至整个港区。本案酒店定位为</w:t>
      </w:r>
      <w:proofErr w:type="gramStart"/>
      <w:r w:rsidR="0062123B" w:rsidRPr="008E6841">
        <w:rPr>
          <w:rFonts w:hint="eastAsia"/>
          <w:sz w:val="24"/>
        </w:rPr>
        <w:t>高端四</w:t>
      </w:r>
      <w:proofErr w:type="gramEnd"/>
      <w:r w:rsidR="0062123B" w:rsidRPr="008E6841">
        <w:rPr>
          <w:rFonts w:hint="eastAsia"/>
          <w:sz w:val="24"/>
        </w:rPr>
        <w:t>星级商务酒店，主要服务保税区内进行对外贸易活动的商务人士、由新郑机场往来郑州与全国各地之间的商旅人士，以及港区内各企业公司的商务接待。本案中的办公部分，是整个总包区内及其稀缺的高端商务办公物业，是</w:t>
      </w:r>
      <w:proofErr w:type="gramStart"/>
      <w:r w:rsidR="0062123B" w:rsidRPr="008E6841">
        <w:rPr>
          <w:rFonts w:hint="eastAsia"/>
          <w:sz w:val="24"/>
        </w:rPr>
        <w:t>目前综保区内</w:t>
      </w:r>
      <w:proofErr w:type="gramEnd"/>
      <w:r w:rsidR="0062123B" w:rsidRPr="008E6841">
        <w:rPr>
          <w:rFonts w:hint="eastAsia"/>
          <w:sz w:val="24"/>
        </w:rPr>
        <w:t>十分稀缺的办公场所。由于项目基地</w:t>
      </w:r>
      <w:proofErr w:type="gramStart"/>
      <w:r w:rsidR="0062123B" w:rsidRPr="008E6841">
        <w:rPr>
          <w:rFonts w:hint="eastAsia"/>
          <w:sz w:val="24"/>
        </w:rPr>
        <w:t>处于综保区</w:t>
      </w:r>
      <w:proofErr w:type="gramEnd"/>
      <w:r w:rsidR="0062123B" w:rsidRPr="008E6841">
        <w:rPr>
          <w:rFonts w:hint="eastAsia"/>
          <w:sz w:val="24"/>
        </w:rPr>
        <w:t>以内，在本案</w:t>
      </w:r>
      <w:r w:rsidR="009F0366" w:rsidRPr="008E6841">
        <w:rPr>
          <w:rFonts w:hint="eastAsia"/>
          <w:sz w:val="24"/>
        </w:rPr>
        <w:t>办公楼内</w:t>
      </w:r>
      <w:r w:rsidR="0062123B" w:rsidRPr="008E6841">
        <w:rPr>
          <w:rFonts w:hint="eastAsia"/>
          <w:sz w:val="24"/>
        </w:rPr>
        <w:t>注册的公司将</w:t>
      </w:r>
      <w:proofErr w:type="gramStart"/>
      <w:r w:rsidR="0062123B" w:rsidRPr="008E6841">
        <w:rPr>
          <w:rFonts w:hint="eastAsia"/>
          <w:sz w:val="24"/>
        </w:rPr>
        <w:t>享受综保区</w:t>
      </w:r>
      <w:proofErr w:type="gramEnd"/>
      <w:r w:rsidR="0062123B" w:rsidRPr="008E6841">
        <w:rPr>
          <w:rFonts w:hint="eastAsia"/>
          <w:sz w:val="24"/>
        </w:rPr>
        <w:t>的优惠政策，这将使</w:t>
      </w:r>
      <w:r w:rsidR="009F0366" w:rsidRPr="008E6841">
        <w:rPr>
          <w:rFonts w:hint="eastAsia"/>
          <w:sz w:val="24"/>
        </w:rPr>
        <w:t>本项目的吸引力和回报率有更大的提升。</w:t>
      </w:r>
    </w:p>
    <w:p w:rsidR="009F0366" w:rsidRPr="008E6841" w:rsidRDefault="009F0366" w:rsidP="009F0366">
      <w:pPr>
        <w:pStyle w:val="a3"/>
        <w:numPr>
          <w:ilvl w:val="0"/>
          <w:numId w:val="2"/>
        </w:numPr>
        <w:ind w:firstLineChars="0"/>
        <w:rPr>
          <w:rFonts w:hint="eastAsia"/>
          <w:sz w:val="24"/>
        </w:rPr>
      </w:pPr>
      <w:r w:rsidRPr="008E6841">
        <w:rPr>
          <w:rFonts w:hint="eastAsia"/>
          <w:sz w:val="24"/>
        </w:rPr>
        <w:t>核心规划理念：以土地资源的有效利用为原则，在上位规划的框架下</w:t>
      </w:r>
      <w:proofErr w:type="gramStart"/>
      <w:r w:rsidRPr="008E6841">
        <w:rPr>
          <w:rFonts w:hint="eastAsia"/>
          <w:sz w:val="24"/>
        </w:rPr>
        <w:t>为综保区</w:t>
      </w:r>
      <w:proofErr w:type="gramEnd"/>
      <w:r w:rsidRPr="008E6841">
        <w:rPr>
          <w:rFonts w:hint="eastAsia"/>
          <w:sz w:val="24"/>
        </w:rPr>
        <w:t>和港区提供更多的服务配套设施，在航空限高的条件内以最高的效率进行规划设计。在保证较高密度开发的同时，保证符合本项目定位的空间品质和</w:t>
      </w:r>
      <w:r w:rsidR="00FF0EA8" w:rsidRPr="008E6841">
        <w:rPr>
          <w:rFonts w:hint="eastAsia"/>
          <w:sz w:val="24"/>
        </w:rPr>
        <w:t>景观营造。使本项目物业在使用中有符合其定位的环境和体验。</w:t>
      </w:r>
    </w:p>
    <w:p w:rsidR="00FF0EA8" w:rsidRPr="008E6841" w:rsidRDefault="00FF0EA8" w:rsidP="00FF0EA8">
      <w:pPr>
        <w:rPr>
          <w:rFonts w:hint="eastAsia"/>
          <w:sz w:val="24"/>
        </w:rPr>
      </w:pPr>
    </w:p>
    <w:p w:rsidR="00FF0EA8" w:rsidRPr="008E6841" w:rsidRDefault="00FF0EA8" w:rsidP="00FF0EA8">
      <w:pPr>
        <w:pStyle w:val="a3"/>
        <w:numPr>
          <w:ilvl w:val="0"/>
          <w:numId w:val="1"/>
        </w:numPr>
        <w:ind w:firstLineChars="0"/>
        <w:rPr>
          <w:rFonts w:hint="eastAsia"/>
          <w:sz w:val="24"/>
        </w:rPr>
      </w:pPr>
      <w:r w:rsidRPr="008E6841">
        <w:rPr>
          <w:rFonts w:hint="eastAsia"/>
          <w:sz w:val="24"/>
        </w:rPr>
        <w:t>总平面设计</w:t>
      </w:r>
    </w:p>
    <w:p w:rsidR="000527BA" w:rsidRPr="008E6841" w:rsidRDefault="00FF0EA8" w:rsidP="000527BA">
      <w:pPr>
        <w:pStyle w:val="a3"/>
        <w:numPr>
          <w:ilvl w:val="0"/>
          <w:numId w:val="4"/>
        </w:numPr>
        <w:ind w:firstLineChars="0"/>
        <w:rPr>
          <w:rFonts w:hint="eastAsia"/>
          <w:sz w:val="24"/>
        </w:rPr>
      </w:pPr>
      <w:r w:rsidRPr="008E6841">
        <w:rPr>
          <w:rFonts w:hint="eastAsia"/>
          <w:sz w:val="24"/>
        </w:rPr>
        <w:t>总体布局：</w:t>
      </w:r>
      <w:r w:rsidR="000D389A" w:rsidRPr="008E6841">
        <w:rPr>
          <w:rFonts w:hint="eastAsia"/>
          <w:sz w:val="24"/>
        </w:rPr>
        <w:t>基地分为南、北两个地块，中间有一条下穿通道从地下穿过。</w:t>
      </w:r>
      <w:r w:rsidRPr="008E6841">
        <w:rPr>
          <w:rFonts w:hint="eastAsia"/>
          <w:sz w:val="24"/>
        </w:rPr>
        <w:t>由于项目周边目前无较好的景观资源，总平面建筑布置采用围合布局、集中造景的原则。主要建筑围绕中心景观布置，形成类似传统民居“内院”的空间效果。由于用地北侧未来将开发</w:t>
      </w:r>
      <w:r w:rsidR="00A92924" w:rsidRPr="008E6841">
        <w:rPr>
          <w:rFonts w:hint="eastAsia"/>
          <w:sz w:val="24"/>
        </w:rPr>
        <w:t>大型商业综合项目，本案酒店大堂、正立面以及前场</w:t>
      </w:r>
      <w:r w:rsidR="002470BA" w:rsidRPr="008E6841">
        <w:rPr>
          <w:rFonts w:hint="eastAsia"/>
          <w:sz w:val="24"/>
        </w:rPr>
        <w:t>朝向北侧布置，主要景观面则向</w:t>
      </w:r>
      <w:proofErr w:type="gramStart"/>
      <w:r w:rsidR="002470BA" w:rsidRPr="008E6841">
        <w:rPr>
          <w:rFonts w:hint="eastAsia"/>
          <w:sz w:val="24"/>
        </w:rPr>
        <w:t>南朝向</w:t>
      </w:r>
      <w:proofErr w:type="gramEnd"/>
      <w:r w:rsidR="002470BA" w:rsidRPr="008E6841">
        <w:rPr>
          <w:rFonts w:hint="eastAsia"/>
          <w:sz w:val="24"/>
        </w:rPr>
        <w:t>中心景观。办公楼围绕中心景观布置。</w:t>
      </w:r>
      <w:r w:rsidR="000D389A" w:rsidRPr="008E6841">
        <w:rPr>
          <w:rFonts w:hint="eastAsia"/>
          <w:sz w:val="24"/>
        </w:rPr>
        <w:t>北地块</w:t>
      </w:r>
      <w:r w:rsidR="000527BA" w:rsidRPr="008E6841">
        <w:rPr>
          <w:rFonts w:hint="eastAsia"/>
          <w:sz w:val="24"/>
        </w:rPr>
        <w:t>西侧为酒店，</w:t>
      </w:r>
      <w:r w:rsidR="000527BA" w:rsidRPr="008E6841">
        <w:rPr>
          <w:rFonts w:hint="eastAsia"/>
          <w:sz w:val="24"/>
        </w:rPr>
        <w:t>11</w:t>
      </w:r>
      <w:r w:rsidR="000527BA" w:rsidRPr="008E6841">
        <w:rPr>
          <w:rFonts w:hint="eastAsia"/>
          <w:sz w:val="24"/>
        </w:rPr>
        <w:t>层，中间</w:t>
      </w:r>
      <w:r w:rsidR="000527BA" w:rsidRPr="008E6841">
        <w:rPr>
          <w:rFonts w:hint="eastAsia"/>
          <w:sz w:val="24"/>
        </w:rPr>
        <w:t>3</w:t>
      </w:r>
      <w:r w:rsidR="000527BA" w:rsidRPr="008E6841">
        <w:rPr>
          <w:rFonts w:hint="eastAsia"/>
          <w:sz w:val="24"/>
        </w:rPr>
        <w:t>层的体量为酒店大堂及宴会厅等功能空间，东侧为办公楼，</w:t>
      </w:r>
      <w:r w:rsidR="000527BA" w:rsidRPr="008E6841">
        <w:rPr>
          <w:rFonts w:hint="eastAsia"/>
          <w:sz w:val="24"/>
        </w:rPr>
        <w:t>11</w:t>
      </w:r>
      <w:r w:rsidR="000527BA" w:rsidRPr="008E6841">
        <w:rPr>
          <w:rFonts w:hint="eastAsia"/>
          <w:sz w:val="24"/>
        </w:rPr>
        <w:t>层，主要用作</w:t>
      </w:r>
      <w:proofErr w:type="gramStart"/>
      <w:r w:rsidR="000527BA" w:rsidRPr="008E6841">
        <w:rPr>
          <w:rFonts w:hint="eastAsia"/>
          <w:sz w:val="24"/>
        </w:rPr>
        <w:t>自持</w:t>
      </w:r>
      <w:proofErr w:type="gramEnd"/>
      <w:r w:rsidR="000527BA" w:rsidRPr="008E6841">
        <w:rPr>
          <w:rFonts w:hint="eastAsia"/>
          <w:sz w:val="24"/>
        </w:rPr>
        <w:t>出租。南侧四栋办公楼围绕中心景观布置，均为</w:t>
      </w:r>
      <w:r w:rsidR="000527BA" w:rsidRPr="008E6841">
        <w:rPr>
          <w:rFonts w:hint="eastAsia"/>
          <w:sz w:val="24"/>
        </w:rPr>
        <w:t>11</w:t>
      </w:r>
      <w:r w:rsidR="000527BA" w:rsidRPr="008E6841">
        <w:rPr>
          <w:rFonts w:hint="eastAsia"/>
          <w:sz w:val="24"/>
        </w:rPr>
        <w:t>层。其中南侧两栋以玻璃体量连接，可分开也可合并出售。</w:t>
      </w:r>
      <w:r w:rsidR="008C4A90" w:rsidRPr="008E6841">
        <w:rPr>
          <w:rFonts w:hint="eastAsia"/>
          <w:sz w:val="24"/>
        </w:rPr>
        <w:t>为强调中原传统建筑的空间形态，本案采用了中轴对称的空间布局，强调中轴线上层层递进的空间序列。此序列从入口前广场的构筑物、景观元素开始，通过入口雨棚、</w:t>
      </w:r>
      <w:proofErr w:type="gramStart"/>
      <w:r w:rsidR="008C4A90" w:rsidRPr="008E6841">
        <w:rPr>
          <w:rFonts w:hint="eastAsia"/>
          <w:sz w:val="24"/>
        </w:rPr>
        <w:t>挑空大堂</w:t>
      </w:r>
      <w:proofErr w:type="gramEnd"/>
      <w:r w:rsidR="008C4A90" w:rsidRPr="008E6841">
        <w:rPr>
          <w:rFonts w:hint="eastAsia"/>
          <w:sz w:val="24"/>
        </w:rPr>
        <w:t>，一直到中心景观的核心区域以及最南侧办公口的入口空间，形成一条完整的，收放有度的，精彩的空间序列。</w:t>
      </w:r>
    </w:p>
    <w:p w:rsidR="004D32FC" w:rsidRPr="008E6841" w:rsidRDefault="000527BA" w:rsidP="000527BA">
      <w:pPr>
        <w:pStyle w:val="a3"/>
        <w:numPr>
          <w:ilvl w:val="0"/>
          <w:numId w:val="4"/>
        </w:numPr>
        <w:ind w:firstLineChars="0"/>
        <w:rPr>
          <w:rFonts w:hint="eastAsia"/>
          <w:sz w:val="24"/>
        </w:rPr>
      </w:pPr>
      <w:r w:rsidRPr="008E6841">
        <w:rPr>
          <w:rFonts w:hint="eastAsia"/>
          <w:sz w:val="24"/>
        </w:rPr>
        <w:t>交通设计：</w:t>
      </w:r>
      <w:r w:rsidR="00283F49" w:rsidRPr="008E6841">
        <w:rPr>
          <w:rFonts w:hint="eastAsia"/>
          <w:sz w:val="24"/>
        </w:rPr>
        <w:t>场地</w:t>
      </w:r>
      <w:proofErr w:type="gramStart"/>
      <w:r w:rsidR="00283F49" w:rsidRPr="008E6841">
        <w:rPr>
          <w:rFonts w:hint="eastAsia"/>
          <w:sz w:val="24"/>
        </w:rPr>
        <w:t>西侧郑港四</w:t>
      </w:r>
      <w:proofErr w:type="gramEnd"/>
      <w:r w:rsidR="00283F49" w:rsidRPr="008E6841">
        <w:rPr>
          <w:rFonts w:hint="eastAsia"/>
          <w:sz w:val="24"/>
        </w:rPr>
        <w:t>街、北侧</w:t>
      </w:r>
      <w:proofErr w:type="gramStart"/>
      <w:r w:rsidR="00283F49" w:rsidRPr="008E6841">
        <w:rPr>
          <w:rFonts w:hint="eastAsia"/>
          <w:sz w:val="24"/>
        </w:rPr>
        <w:t>秋实路</w:t>
      </w:r>
      <w:proofErr w:type="gramEnd"/>
      <w:r w:rsidR="00283F49" w:rsidRPr="008E6841">
        <w:rPr>
          <w:rFonts w:hint="eastAsia"/>
          <w:sz w:val="24"/>
        </w:rPr>
        <w:t>为城市主要道路，东侧规划航城西路</w:t>
      </w:r>
      <w:r w:rsidR="003B6CC3" w:rsidRPr="008E6841">
        <w:rPr>
          <w:rFonts w:hint="eastAsia"/>
          <w:sz w:val="24"/>
        </w:rPr>
        <w:t>等级</w:t>
      </w:r>
      <w:r w:rsidR="00283F49" w:rsidRPr="008E6841">
        <w:rPr>
          <w:rFonts w:hint="eastAsia"/>
          <w:sz w:val="24"/>
        </w:rPr>
        <w:t>相对较低，南侧与相邻地块之间有一条辅助道路。北地块酒店用地朝向</w:t>
      </w:r>
      <w:proofErr w:type="gramStart"/>
      <w:r w:rsidR="00283F49" w:rsidRPr="008E6841">
        <w:rPr>
          <w:rFonts w:hint="eastAsia"/>
          <w:sz w:val="24"/>
        </w:rPr>
        <w:t>秋实路</w:t>
      </w:r>
      <w:proofErr w:type="gramEnd"/>
      <w:r w:rsidR="00283F49" w:rsidRPr="008E6841">
        <w:rPr>
          <w:rFonts w:hint="eastAsia"/>
          <w:sz w:val="24"/>
        </w:rPr>
        <w:t>开设车行主入口，</w:t>
      </w:r>
      <w:proofErr w:type="gramStart"/>
      <w:r w:rsidR="003B6CC3" w:rsidRPr="008E6841">
        <w:rPr>
          <w:rFonts w:hint="eastAsia"/>
          <w:sz w:val="24"/>
        </w:rPr>
        <w:t>供酒店</w:t>
      </w:r>
      <w:proofErr w:type="gramEnd"/>
      <w:r w:rsidR="003B6CC3" w:rsidRPr="008E6841">
        <w:rPr>
          <w:rFonts w:hint="eastAsia"/>
          <w:sz w:val="24"/>
        </w:rPr>
        <w:t>客人车辆、出租车辆进出。由于酒店功能需要，须</w:t>
      </w:r>
      <w:proofErr w:type="gramStart"/>
      <w:r w:rsidR="003B6CC3" w:rsidRPr="008E6841">
        <w:rPr>
          <w:rFonts w:hint="eastAsia"/>
          <w:sz w:val="24"/>
        </w:rPr>
        <w:t>向郑港四</w:t>
      </w:r>
      <w:proofErr w:type="gramEnd"/>
      <w:r w:rsidR="003B6CC3" w:rsidRPr="008E6841">
        <w:rPr>
          <w:rFonts w:hint="eastAsia"/>
          <w:sz w:val="24"/>
        </w:rPr>
        <w:t>街开设货运车</w:t>
      </w:r>
      <w:r w:rsidR="004D32FC" w:rsidRPr="008E6841">
        <w:rPr>
          <w:rFonts w:hint="eastAsia"/>
          <w:sz w:val="24"/>
        </w:rPr>
        <w:t>行</w:t>
      </w:r>
      <w:r w:rsidR="003B6CC3" w:rsidRPr="008E6841">
        <w:rPr>
          <w:rFonts w:hint="eastAsia"/>
          <w:sz w:val="24"/>
        </w:rPr>
        <w:t>入口，</w:t>
      </w:r>
      <w:proofErr w:type="gramStart"/>
      <w:r w:rsidR="003B6CC3" w:rsidRPr="008E6841">
        <w:rPr>
          <w:rFonts w:hint="eastAsia"/>
          <w:sz w:val="24"/>
        </w:rPr>
        <w:t>而此开口须</w:t>
      </w:r>
      <w:proofErr w:type="gramEnd"/>
      <w:r w:rsidR="003B6CC3" w:rsidRPr="008E6841">
        <w:rPr>
          <w:rFonts w:hint="eastAsia"/>
          <w:sz w:val="24"/>
        </w:rPr>
        <w:t>与道路交叉口有一定距离，所以采取南地块办公主入口与酒店后勤入口错时合用的方式，在西侧两地块之间</w:t>
      </w:r>
      <w:proofErr w:type="gramStart"/>
      <w:r w:rsidR="003B6CC3" w:rsidRPr="008E6841">
        <w:rPr>
          <w:rFonts w:hint="eastAsia"/>
          <w:sz w:val="24"/>
        </w:rPr>
        <w:t>面向郑港四</w:t>
      </w:r>
      <w:proofErr w:type="gramEnd"/>
      <w:r w:rsidR="003B6CC3" w:rsidRPr="008E6841">
        <w:rPr>
          <w:rFonts w:hint="eastAsia"/>
          <w:sz w:val="24"/>
        </w:rPr>
        <w:t>街开设车行入口，此入口</w:t>
      </w:r>
      <w:proofErr w:type="gramStart"/>
      <w:r w:rsidR="003B6CC3" w:rsidRPr="008E6841">
        <w:rPr>
          <w:rFonts w:hint="eastAsia"/>
          <w:sz w:val="24"/>
        </w:rPr>
        <w:t>距离郑港四</w:t>
      </w:r>
      <w:proofErr w:type="gramEnd"/>
      <w:r w:rsidR="003B6CC3" w:rsidRPr="008E6841">
        <w:rPr>
          <w:rFonts w:hint="eastAsia"/>
          <w:sz w:val="24"/>
        </w:rPr>
        <w:t>街</w:t>
      </w:r>
      <w:r w:rsidR="003B6CC3" w:rsidRPr="008E6841">
        <w:rPr>
          <w:rFonts w:hint="eastAsia"/>
          <w:sz w:val="24"/>
        </w:rPr>
        <w:t>/</w:t>
      </w:r>
      <w:r w:rsidR="003B6CC3" w:rsidRPr="008E6841">
        <w:rPr>
          <w:rFonts w:hint="eastAsia"/>
          <w:sz w:val="24"/>
        </w:rPr>
        <w:t>秋实路道路交叉口切点</w:t>
      </w:r>
      <w:r w:rsidR="003B6CC3" w:rsidRPr="008E6841">
        <w:rPr>
          <w:rFonts w:hint="eastAsia"/>
          <w:sz w:val="24"/>
        </w:rPr>
        <w:t>71.5</w:t>
      </w:r>
      <w:r w:rsidR="003B6CC3" w:rsidRPr="008E6841">
        <w:rPr>
          <w:rFonts w:hint="eastAsia"/>
          <w:sz w:val="24"/>
        </w:rPr>
        <w:t>米。东侧杭城西路道路标高低于场地标高</w:t>
      </w:r>
      <w:r w:rsidR="003B6CC3" w:rsidRPr="008E6841">
        <w:rPr>
          <w:rFonts w:hint="eastAsia"/>
          <w:sz w:val="24"/>
        </w:rPr>
        <w:t>4</w:t>
      </w:r>
      <w:r w:rsidR="003B6CC3" w:rsidRPr="008E6841">
        <w:rPr>
          <w:rFonts w:hint="eastAsia"/>
          <w:sz w:val="24"/>
        </w:rPr>
        <w:t>米以上，难以开设车行口直接进入场地，所以考虑在两地块之间设置车行出入口直接进入两地块地下室。南侧地下室停车位超过</w:t>
      </w:r>
      <w:r w:rsidR="003B6CC3" w:rsidRPr="008E6841">
        <w:rPr>
          <w:rFonts w:hint="eastAsia"/>
          <w:sz w:val="24"/>
        </w:rPr>
        <w:t>500</w:t>
      </w:r>
      <w:r w:rsidR="003B6CC3" w:rsidRPr="008E6841">
        <w:rPr>
          <w:rFonts w:hint="eastAsia"/>
          <w:sz w:val="24"/>
        </w:rPr>
        <w:t>辆，需要三个车行出入口，所以在南侧辅道靠近</w:t>
      </w:r>
      <w:r w:rsidR="004D32FC" w:rsidRPr="008E6841">
        <w:rPr>
          <w:rFonts w:hint="eastAsia"/>
          <w:sz w:val="24"/>
        </w:rPr>
        <w:t>杭城西路一侧开设直接进入地下室的车型入口供货车使用。由于南侧辅导作为南地块办公建筑消防环道的一部分，所以在</w:t>
      </w:r>
      <w:proofErr w:type="gramStart"/>
      <w:r w:rsidR="004D32FC" w:rsidRPr="008E6841">
        <w:rPr>
          <w:rFonts w:hint="eastAsia"/>
          <w:sz w:val="24"/>
        </w:rPr>
        <w:t>靠近郑港四</w:t>
      </w:r>
      <w:proofErr w:type="gramEnd"/>
      <w:r w:rsidR="004D32FC" w:rsidRPr="008E6841">
        <w:rPr>
          <w:rFonts w:hint="eastAsia"/>
          <w:sz w:val="24"/>
        </w:rPr>
        <w:t>街一侧开设消防临时出入口。</w:t>
      </w:r>
    </w:p>
    <w:p w:rsidR="000527BA" w:rsidRPr="008E6841" w:rsidRDefault="004D32FC" w:rsidP="008E6841">
      <w:pPr>
        <w:pStyle w:val="a3"/>
        <w:ind w:left="720" w:firstLine="480"/>
        <w:rPr>
          <w:rFonts w:hint="eastAsia"/>
          <w:sz w:val="24"/>
        </w:rPr>
      </w:pPr>
      <w:r w:rsidRPr="008E6841">
        <w:rPr>
          <w:rFonts w:hint="eastAsia"/>
          <w:sz w:val="24"/>
        </w:rPr>
        <w:t>场地内道路做到环通，北地块建筑长度超过</w:t>
      </w:r>
      <w:r w:rsidRPr="008E6841">
        <w:rPr>
          <w:rFonts w:hint="eastAsia"/>
          <w:sz w:val="24"/>
        </w:rPr>
        <w:t>150</w:t>
      </w:r>
      <w:r w:rsidRPr="008E6841">
        <w:rPr>
          <w:rFonts w:hint="eastAsia"/>
          <w:sz w:val="24"/>
        </w:rPr>
        <w:t>米，根据消防要求在一层设置消防穿越通道，结合场地内道路形成消防环道。南区利用中心景观形成环道，外来车辆可通过环道由西侧出入口进出，地下室车辆可直接通过东侧出入口进入航城西路。</w:t>
      </w:r>
    </w:p>
    <w:p w:rsidR="004D32FC" w:rsidRPr="008E6841" w:rsidRDefault="004D32FC" w:rsidP="008E6841">
      <w:pPr>
        <w:pStyle w:val="a3"/>
        <w:ind w:left="720" w:firstLine="480"/>
        <w:rPr>
          <w:rFonts w:hint="eastAsia"/>
          <w:sz w:val="24"/>
        </w:rPr>
      </w:pPr>
      <w:r w:rsidRPr="008E6841">
        <w:rPr>
          <w:rFonts w:hint="eastAsia"/>
          <w:sz w:val="24"/>
        </w:rPr>
        <w:t>停车方面，南地块全部使用地下室停车，两层地下室车位数可达</w:t>
      </w:r>
      <w:r w:rsidRPr="008E6841">
        <w:rPr>
          <w:rFonts w:hint="eastAsia"/>
          <w:sz w:val="24"/>
        </w:rPr>
        <w:t>758</w:t>
      </w:r>
      <w:r w:rsidRPr="008E6841">
        <w:rPr>
          <w:rFonts w:hint="eastAsia"/>
          <w:sz w:val="24"/>
        </w:rPr>
        <w:t>辆。北地块由于酒</w:t>
      </w:r>
      <w:r w:rsidRPr="008E6841">
        <w:rPr>
          <w:rFonts w:hint="eastAsia"/>
          <w:sz w:val="24"/>
        </w:rPr>
        <w:lastRenderedPageBreak/>
        <w:t>店运营需要设置</w:t>
      </w:r>
      <w:r w:rsidRPr="008E6841">
        <w:rPr>
          <w:rFonts w:hint="eastAsia"/>
          <w:sz w:val="24"/>
        </w:rPr>
        <w:t>15</w:t>
      </w:r>
      <w:r w:rsidRPr="008E6841">
        <w:rPr>
          <w:rFonts w:hint="eastAsia"/>
          <w:sz w:val="24"/>
        </w:rPr>
        <w:t>个地面临时停车位，其中</w:t>
      </w:r>
      <w:r w:rsidRPr="008E6841">
        <w:rPr>
          <w:rFonts w:hint="eastAsia"/>
          <w:sz w:val="24"/>
        </w:rPr>
        <w:t>3</w:t>
      </w:r>
      <w:r w:rsidRPr="008E6841">
        <w:rPr>
          <w:rFonts w:hint="eastAsia"/>
          <w:sz w:val="24"/>
        </w:rPr>
        <w:t>个大巴停车位，其他全部使用地下停车位，两层地下室车位数可达</w:t>
      </w:r>
      <w:r w:rsidRPr="008E6841">
        <w:rPr>
          <w:rFonts w:hint="eastAsia"/>
          <w:sz w:val="24"/>
        </w:rPr>
        <w:t>482</w:t>
      </w:r>
      <w:r w:rsidRPr="008E6841">
        <w:rPr>
          <w:rFonts w:hint="eastAsia"/>
          <w:sz w:val="24"/>
        </w:rPr>
        <w:t>辆。</w:t>
      </w:r>
    </w:p>
    <w:p w:rsidR="004D32FC" w:rsidRPr="008E6841" w:rsidRDefault="004D32FC" w:rsidP="004D32FC">
      <w:pPr>
        <w:pStyle w:val="a3"/>
        <w:numPr>
          <w:ilvl w:val="0"/>
          <w:numId w:val="4"/>
        </w:numPr>
        <w:ind w:firstLineChars="0"/>
        <w:rPr>
          <w:rFonts w:hint="eastAsia"/>
          <w:sz w:val="24"/>
        </w:rPr>
      </w:pPr>
      <w:r w:rsidRPr="008E6841">
        <w:rPr>
          <w:rFonts w:hint="eastAsia"/>
          <w:sz w:val="24"/>
        </w:rPr>
        <w:t>竖向设计：场地内大部分区域地势较为平坦，最大坡度小于</w:t>
      </w:r>
      <w:r w:rsidRPr="008E6841">
        <w:rPr>
          <w:rFonts w:hint="eastAsia"/>
          <w:sz w:val="24"/>
        </w:rPr>
        <w:t>0.7%</w:t>
      </w:r>
      <w:r w:rsidRPr="008E6841">
        <w:rPr>
          <w:rFonts w:hint="eastAsia"/>
          <w:sz w:val="24"/>
        </w:rPr>
        <w:t>。只有北侧靠近</w:t>
      </w:r>
      <w:proofErr w:type="gramStart"/>
      <w:r w:rsidRPr="008E6841">
        <w:rPr>
          <w:rFonts w:hint="eastAsia"/>
          <w:sz w:val="24"/>
        </w:rPr>
        <w:t>秋实路</w:t>
      </w:r>
      <w:proofErr w:type="gramEnd"/>
      <w:r w:rsidRPr="008E6841">
        <w:rPr>
          <w:rFonts w:hint="eastAsia"/>
          <w:sz w:val="24"/>
        </w:rPr>
        <w:t>30m</w:t>
      </w:r>
      <w:r w:rsidRPr="008E6841">
        <w:rPr>
          <w:rFonts w:hint="eastAsia"/>
          <w:sz w:val="24"/>
        </w:rPr>
        <w:t>范围内坡度较大，达到</w:t>
      </w:r>
      <w:r w:rsidRPr="008E6841">
        <w:rPr>
          <w:rFonts w:hint="eastAsia"/>
          <w:sz w:val="24"/>
        </w:rPr>
        <w:t>11%</w:t>
      </w:r>
      <w:r w:rsidRPr="008E6841">
        <w:rPr>
          <w:rFonts w:hint="eastAsia"/>
          <w:sz w:val="24"/>
        </w:rPr>
        <w:t>以上。而这片区域</w:t>
      </w:r>
      <w:r w:rsidR="008549BB" w:rsidRPr="008E6841">
        <w:rPr>
          <w:rFonts w:hint="eastAsia"/>
          <w:sz w:val="24"/>
        </w:rPr>
        <w:t>在建筑退</w:t>
      </w:r>
      <w:proofErr w:type="gramStart"/>
      <w:r w:rsidR="008549BB" w:rsidRPr="008E6841">
        <w:rPr>
          <w:rFonts w:hint="eastAsia"/>
          <w:sz w:val="24"/>
        </w:rPr>
        <w:t>秋实路</w:t>
      </w:r>
      <w:proofErr w:type="gramEnd"/>
      <w:r w:rsidR="008549BB" w:rsidRPr="008E6841">
        <w:rPr>
          <w:rFonts w:hint="eastAsia"/>
          <w:sz w:val="24"/>
        </w:rPr>
        <w:t>50m</w:t>
      </w:r>
      <w:r w:rsidR="008549BB" w:rsidRPr="008E6841">
        <w:rPr>
          <w:rFonts w:hint="eastAsia"/>
          <w:sz w:val="24"/>
        </w:rPr>
        <w:t>的范围内，为不可建设区域，所以场地内建筑设计仍然考虑作为平地处理，以减少建筑低标高错落带来的经济投入、施工难度以及地下室交通组织的难度。根据西侧已建成</w:t>
      </w:r>
      <w:proofErr w:type="gramStart"/>
      <w:r w:rsidR="008549BB" w:rsidRPr="008E6841">
        <w:rPr>
          <w:rFonts w:hint="eastAsia"/>
          <w:sz w:val="24"/>
        </w:rPr>
        <w:t>的郑港四</w:t>
      </w:r>
      <w:proofErr w:type="gramEnd"/>
      <w:r w:rsidR="008549BB" w:rsidRPr="008E6841">
        <w:rPr>
          <w:rFonts w:hint="eastAsia"/>
          <w:sz w:val="24"/>
        </w:rPr>
        <w:t>街的道路标高，将场地内室外地平的绝对标高定为北地块</w:t>
      </w:r>
      <w:r w:rsidR="008549BB" w:rsidRPr="008E6841">
        <w:rPr>
          <w:rFonts w:hint="eastAsia"/>
          <w:sz w:val="24"/>
        </w:rPr>
        <w:t>144.7m,</w:t>
      </w:r>
      <w:r w:rsidR="008549BB" w:rsidRPr="008E6841">
        <w:rPr>
          <w:rFonts w:hint="eastAsia"/>
          <w:sz w:val="24"/>
        </w:rPr>
        <w:t>南地块</w:t>
      </w:r>
      <w:r w:rsidR="008549BB" w:rsidRPr="008E6841">
        <w:rPr>
          <w:rFonts w:hint="eastAsia"/>
          <w:sz w:val="24"/>
        </w:rPr>
        <w:t>144.9m</w:t>
      </w:r>
      <w:r w:rsidR="008549BB" w:rsidRPr="008E6841">
        <w:rPr>
          <w:rFonts w:hint="eastAsia"/>
          <w:sz w:val="24"/>
        </w:rPr>
        <w:t>。而</w:t>
      </w:r>
      <w:proofErr w:type="gramStart"/>
      <w:r w:rsidR="008549BB" w:rsidRPr="008E6841">
        <w:rPr>
          <w:rFonts w:hint="eastAsia"/>
          <w:sz w:val="24"/>
        </w:rPr>
        <w:t>东侧航</w:t>
      </w:r>
      <w:proofErr w:type="gramEnd"/>
      <w:r w:rsidR="008549BB" w:rsidRPr="008E6841">
        <w:rPr>
          <w:rFonts w:hint="eastAsia"/>
          <w:sz w:val="24"/>
        </w:rPr>
        <w:t>城西路规划标高在本地块东侧为</w:t>
      </w:r>
      <w:r w:rsidR="008549BB" w:rsidRPr="008E6841">
        <w:rPr>
          <w:rFonts w:hint="eastAsia"/>
          <w:sz w:val="24"/>
        </w:rPr>
        <w:t>140.2~139.2m</w:t>
      </w:r>
      <w:r w:rsidR="008549BB" w:rsidRPr="008E6841">
        <w:rPr>
          <w:rFonts w:hint="eastAsia"/>
          <w:sz w:val="24"/>
        </w:rPr>
        <w:t>。整体低于地块内室外地平</w:t>
      </w:r>
      <w:r w:rsidR="008549BB" w:rsidRPr="008E6841">
        <w:rPr>
          <w:rFonts w:hint="eastAsia"/>
          <w:sz w:val="24"/>
        </w:rPr>
        <w:t>5.5m</w:t>
      </w:r>
      <w:r w:rsidR="008549BB" w:rsidRPr="008E6841">
        <w:rPr>
          <w:rFonts w:hint="eastAsia"/>
          <w:sz w:val="24"/>
        </w:rPr>
        <w:t>左右。此高差无法在较小的距离内利用坡度解决，而地下室一层的楼板顶标</w:t>
      </w:r>
      <w:proofErr w:type="gramStart"/>
      <w:r w:rsidR="008549BB" w:rsidRPr="008E6841">
        <w:rPr>
          <w:rFonts w:hint="eastAsia"/>
          <w:sz w:val="24"/>
        </w:rPr>
        <w:t>高已经</w:t>
      </w:r>
      <w:proofErr w:type="gramEnd"/>
      <w:r w:rsidR="008549BB" w:rsidRPr="008E6841">
        <w:rPr>
          <w:rFonts w:hint="eastAsia"/>
          <w:sz w:val="24"/>
        </w:rPr>
        <w:t>高于杭城西路标高，所以在航城西路开设出入口直接进入南北地块的地下一层。在开口位置附近区域</w:t>
      </w:r>
      <w:proofErr w:type="gramStart"/>
      <w:r w:rsidR="008549BB" w:rsidRPr="008E6841">
        <w:rPr>
          <w:rFonts w:hint="eastAsia"/>
          <w:sz w:val="24"/>
        </w:rPr>
        <w:t>设置于航城西</w:t>
      </w:r>
      <w:proofErr w:type="gramEnd"/>
      <w:r w:rsidR="008549BB" w:rsidRPr="008E6841">
        <w:rPr>
          <w:rFonts w:hint="eastAsia"/>
          <w:sz w:val="24"/>
        </w:rPr>
        <w:t>路同标高的交通环道岛，以组织场地东侧的车行出入及落客。</w:t>
      </w:r>
    </w:p>
    <w:p w:rsidR="008549BB" w:rsidRPr="008E6841" w:rsidRDefault="008549BB" w:rsidP="004D32FC">
      <w:pPr>
        <w:pStyle w:val="a3"/>
        <w:numPr>
          <w:ilvl w:val="0"/>
          <w:numId w:val="4"/>
        </w:numPr>
        <w:ind w:firstLineChars="0"/>
        <w:rPr>
          <w:rFonts w:hint="eastAsia"/>
          <w:sz w:val="24"/>
        </w:rPr>
      </w:pPr>
      <w:r w:rsidRPr="008E6841">
        <w:rPr>
          <w:rFonts w:hint="eastAsia"/>
          <w:sz w:val="24"/>
        </w:rPr>
        <w:t>绿地系统设计：</w:t>
      </w:r>
      <w:r w:rsidR="008C4A90" w:rsidRPr="008E6841">
        <w:rPr>
          <w:rFonts w:hint="eastAsia"/>
          <w:sz w:val="24"/>
        </w:rPr>
        <w:t>基地内绿地系统分为三个部分</w:t>
      </w:r>
      <w:r w:rsidR="000921A1" w:rsidRPr="008E6841">
        <w:rPr>
          <w:rFonts w:hint="eastAsia"/>
          <w:sz w:val="24"/>
        </w:rPr>
        <w:t>：中央核心景观绿地、中轴线景观绿地以及沿道路带状景观绿地。中央核心景观绿地为内部庭院</w:t>
      </w:r>
      <w:r w:rsidR="00FE526A" w:rsidRPr="008E6841">
        <w:rPr>
          <w:rFonts w:hint="eastAsia"/>
          <w:sz w:val="24"/>
        </w:rPr>
        <w:t>式绿地，是整个地块所有业态</w:t>
      </w:r>
      <w:r w:rsidR="000921A1" w:rsidRPr="008E6841">
        <w:rPr>
          <w:rFonts w:hint="eastAsia"/>
          <w:sz w:val="24"/>
        </w:rPr>
        <w:t>的视线焦点</w:t>
      </w:r>
      <w:r w:rsidR="00FE526A" w:rsidRPr="008E6841">
        <w:rPr>
          <w:rFonts w:hint="eastAsia"/>
          <w:sz w:val="24"/>
        </w:rPr>
        <w:t>。在建筑物的环绕中，这片集中的绿地系统将形成一个独特的微气候，</w:t>
      </w:r>
      <w:proofErr w:type="gramStart"/>
      <w:r w:rsidR="00FE526A" w:rsidRPr="008E6841">
        <w:rPr>
          <w:rFonts w:hint="eastAsia"/>
          <w:sz w:val="24"/>
        </w:rPr>
        <w:t>通过绿植的</w:t>
      </w:r>
      <w:proofErr w:type="gramEnd"/>
      <w:r w:rsidR="00FE526A" w:rsidRPr="008E6841">
        <w:rPr>
          <w:rFonts w:hint="eastAsia"/>
          <w:sz w:val="24"/>
        </w:rPr>
        <w:t>空气净化及降温功能，形成一个“景观绿岛”，使地块内部和外部形成温差和气压差，同时建筑的内侧和外侧形成压差，净化的空气穿过建筑扩散至周边。中轴线景观绿地以打造高端静谧的空间效果为原则，以水景和构筑物为主，</w:t>
      </w:r>
      <w:r w:rsidR="00D66555" w:rsidRPr="008E6841">
        <w:rPr>
          <w:rFonts w:hint="eastAsia"/>
          <w:sz w:val="24"/>
        </w:rPr>
        <w:t>配合点缀式的灯光效果，成为整个地块提升品质感的核心区域。沿道路的带状景观绿地也是整个项目绿地系统设计的重要组成部分。其中，</w:t>
      </w:r>
      <w:proofErr w:type="gramStart"/>
      <w:r w:rsidR="00D66555" w:rsidRPr="008E6841">
        <w:rPr>
          <w:rFonts w:hint="eastAsia"/>
          <w:sz w:val="24"/>
        </w:rPr>
        <w:t>沿郑港</w:t>
      </w:r>
      <w:proofErr w:type="gramEnd"/>
      <w:r w:rsidR="00D66555" w:rsidRPr="008E6841">
        <w:rPr>
          <w:rFonts w:hint="eastAsia"/>
          <w:sz w:val="24"/>
        </w:rPr>
        <w:t>四街和</w:t>
      </w:r>
      <w:proofErr w:type="gramStart"/>
      <w:r w:rsidR="00D66555" w:rsidRPr="008E6841">
        <w:rPr>
          <w:rFonts w:hint="eastAsia"/>
          <w:sz w:val="24"/>
        </w:rPr>
        <w:t>秋实路</w:t>
      </w:r>
      <w:proofErr w:type="gramEnd"/>
      <w:r w:rsidR="00D66555" w:rsidRPr="008E6841">
        <w:rPr>
          <w:rFonts w:hint="eastAsia"/>
          <w:sz w:val="24"/>
        </w:rPr>
        <w:t>两侧的绿化带达到</w:t>
      </w:r>
      <w:r w:rsidR="00D66555" w:rsidRPr="008E6841">
        <w:rPr>
          <w:rFonts w:hint="eastAsia"/>
          <w:sz w:val="24"/>
        </w:rPr>
        <w:t>50m</w:t>
      </w:r>
      <w:r w:rsidR="00D66555" w:rsidRPr="008E6841">
        <w:rPr>
          <w:rFonts w:hint="eastAsia"/>
          <w:sz w:val="24"/>
        </w:rPr>
        <w:t>宽度，是这两条道路两侧绿化空间的重要组成部分。该区域内景观绿地主要以线性元素为主要内容，长条状展开的绿地系统配合线性的矮墙、座椅，使这片区域的空间具有强烈的方向感，市民进入这块场地锻炼休憩，但总体保持与道路平行的运动轨迹，不会进一步进入地块内部。</w:t>
      </w:r>
    </w:p>
    <w:p w:rsidR="00E77CE2" w:rsidRPr="008E6841" w:rsidRDefault="00E77CE2" w:rsidP="00E77CE2">
      <w:pPr>
        <w:pStyle w:val="a3"/>
        <w:ind w:left="720" w:firstLineChars="0" w:firstLine="0"/>
        <w:rPr>
          <w:rFonts w:hint="eastAsia"/>
          <w:sz w:val="24"/>
        </w:rPr>
      </w:pPr>
    </w:p>
    <w:p w:rsidR="00E77CE2" w:rsidRPr="008E6841" w:rsidRDefault="00E77CE2" w:rsidP="00E77CE2">
      <w:pPr>
        <w:pStyle w:val="a3"/>
        <w:numPr>
          <w:ilvl w:val="0"/>
          <w:numId w:val="1"/>
        </w:numPr>
        <w:ind w:firstLineChars="0"/>
        <w:rPr>
          <w:rFonts w:hint="eastAsia"/>
          <w:sz w:val="24"/>
        </w:rPr>
      </w:pPr>
      <w:r w:rsidRPr="008E6841">
        <w:rPr>
          <w:rFonts w:hint="eastAsia"/>
          <w:sz w:val="24"/>
        </w:rPr>
        <w:t>建筑设计</w:t>
      </w:r>
    </w:p>
    <w:p w:rsidR="00E77CE2" w:rsidRPr="008E6841" w:rsidRDefault="00E77CE2" w:rsidP="00E77CE2">
      <w:pPr>
        <w:pStyle w:val="a3"/>
        <w:ind w:leftChars="350" w:left="735" w:firstLineChars="0" w:firstLine="0"/>
        <w:rPr>
          <w:rFonts w:hint="eastAsia"/>
          <w:sz w:val="24"/>
        </w:rPr>
      </w:pPr>
      <w:r w:rsidRPr="008E6841">
        <w:rPr>
          <w:rFonts w:hint="eastAsia"/>
          <w:sz w:val="24"/>
        </w:rPr>
        <w:t>本案的建筑设计以规划条件为基础，在平面布局基本确定的基础上，以打造项目整体品质感与实用性为主要目标，力求将本项目营造成整个港区内同一风格与定位建筑中的代表作品。酒店定位为高端商务四星，而在建筑设计中我们极力营造五星级酒店的品质感及景观效果。建筑风格选用结合现代主义简约表达与古典和谐比例关系的经典现代主义风格。在突出港区现代、时尚、充满活力氛围的同时，恰到好处地把握住项目的整体定位，在整体比例及细节的处理上处处彰显大气高端的品质感。建筑外立面采用干挂石材结合玻璃幕墙以及深色金属饰边，石材的选用和拼法将体现出项目整体的定位，金属饰边将作为</w:t>
      </w:r>
      <w:proofErr w:type="gramStart"/>
      <w:r w:rsidRPr="008E6841">
        <w:rPr>
          <w:rFonts w:hint="eastAsia"/>
          <w:sz w:val="24"/>
        </w:rPr>
        <w:t>点缀让</w:t>
      </w:r>
      <w:proofErr w:type="gramEnd"/>
      <w:r w:rsidRPr="008E6841">
        <w:rPr>
          <w:rFonts w:hint="eastAsia"/>
          <w:sz w:val="24"/>
        </w:rPr>
        <w:t>建筑整体更为挺拔。</w:t>
      </w:r>
    </w:p>
    <w:p w:rsidR="00E77CE2" w:rsidRPr="008E6841" w:rsidRDefault="00E77CE2" w:rsidP="00E77CE2">
      <w:pPr>
        <w:rPr>
          <w:rFonts w:hint="eastAsia"/>
          <w:sz w:val="24"/>
        </w:rPr>
      </w:pPr>
    </w:p>
    <w:p w:rsidR="00E77CE2" w:rsidRPr="008E6841" w:rsidRDefault="00E77CE2" w:rsidP="00E77CE2">
      <w:pPr>
        <w:pStyle w:val="a3"/>
        <w:numPr>
          <w:ilvl w:val="0"/>
          <w:numId w:val="1"/>
        </w:numPr>
        <w:ind w:firstLineChars="0"/>
        <w:rPr>
          <w:rFonts w:hint="eastAsia"/>
          <w:sz w:val="24"/>
        </w:rPr>
      </w:pPr>
      <w:r w:rsidRPr="008E6841">
        <w:rPr>
          <w:rFonts w:hint="eastAsia"/>
          <w:sz w:val="24"/>
        </w:rPr>
        <w:t>综合管线设计</w:t>
      </w:r>
    </w:p>
    <w:p w:rsidR="002D4D27" w:rsidRPr="008E6841" w:rsidRDefault="008E6841" w:rsidP="008E6841">
      <w:pPr>
        <w:pStyle w:val="a3"/>
        <w:ind w:left="360" w:firstLineChars="0"/>
        <w:rPr>
          <w:rFonts w:hint="eastAsia"/>
          <w:sz w:val="24"/>
        </w:rPr>
      </w:pPr>
      <w:r w:rsidRPr="008E6841">
        <w:rPr>
          <w:rFonts w:hint="eastAsia"/>
          <w:sz w:val="24"/>
        </w:rPr>
        <w:t>（详见“综合管线设计”）</w:t>
      </w:r>
    </w:p>
    <w:p w:rsidR="008E6841" w:rsidRDefault="008E6841" w:rsidP="008E6841">
      <w:pPr>
        <w:rPr>
          <w:rFonts w:hint="eastAsia"/>
        </w:rPr>
      </w:pPr>
    </w:p>
    <w:p w:rsidR="008E6841" w:rsidRDefault="008E6841" w:rsidP="008E6841">
      <w:pPr>
        <w:rPr>
          <w:rFonts w:hint="eastAsia"/>
        </w:rPr>
      </w:pPr>
    </w:p>
    <w:p w:rsidR="008E6841" w:rsidRDefault="008E6841" w:rsidP="008E6841">
      <w:pPr>
        <w:rPr>
          <w:rFonts w:hint="eastAsia"/>
        </w:rPr>
      </w:pPr>
    </w:p>
    <w:p w:rsidR="008E6841" w:rsidRDefault="008E6841" w:rsidP="008E6841">
      <w:pPr>
        <w:rPr>
          <w:rFonts w:hint="eastAsia"/>
        </w:rPr>
      </w:pPr>
    </w:p>
    <w:p w:rsidR="008E6841" w:rsidRDefault="008E6841" w:rsidP="008E6841">
      <w:pPr>
        <w:rPr>
          <w:rFonts w:hint="eastAsia"/>
        </w:rPr>
      </w:pPr>
    </w:p>
    <w:p w:rsidR="008E6841" w:rsidRDefault="008E6841" w:rsidP="008E6841">
      <w:pPr>
        <w:rPr>
          <w:rFonts w:hint="eastAsia"/>
        </w:rPr>
      </w:pPr>
    </w:p>
    <w:p w:rsidR="008E6841" w:rsidRDefault="008E6841" w:rsidP="008E6841">
      <w:pPr>
        <w:rPr>
          <w:rFonts w:hint="eastAsia"/>
        </w:rPr>
      </w:pPr>
      <w:bookmarkStart w:id="0" w:name="_GoBack"/>
      <w:bookmarkEnd w:id="0"/>
    </w:p>
    <w:p w:rsidR="008E6841" w:rsidRDefault="008E6841" w:rsidP="008E6841">
      <w:pPr>
        <w:pStyle w:val="a3"/>
        <w:numPr>
          <w:ilvl w:val="0"/>
          <w:numId w:val="1"/>
        </w:numPr>
        <w:ind w:firstLineChars="0"/>
        <w:rPr>
          <w:rFonts w:hint="eastAsia"/>
        </w:rPr>
      </w:pPr>
      <w:r>
        <w:rPr>
          <w:rFonts w:hint="eastAsia"/>
        </w:rPr>
        <w:lastRenderedPageBreak/>
        <w:t>经济技术指标</w:t>
      </w:r>
    </w:p>
    <w:p w:rsidR="008E6841" w:rsidRDefault="008E6841" w:rsidP="008E6841">
      <w:pPr>
        <w:rPr>
          <w:rFonts w:hint="eastAsia"/>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0"/>
        <w:gridCol w:w="5506"/>
      </w:tblGrid>
      <w:tr w:rsidR="008E6841" w:rsidRPr="008E6841" w:rsidTr="00CC3512">
        <w:tc>
          <w:tcPr>
            <w:tcW w:w="9606" w:type="dxa"/>
            <w:gridSpan w:val="2"/>
            <w:shd w:val="clear" w:color="auto" w:fill="auto"/>
            <w:vAlign w:val="center"/>
          </w:tcPr>
          <w:p w:rsidR="008E6841" w:rsidRPr="008E6841" w:rsidRDefault="008E6841" w:rsidP="008E6841">
            <w:pPr>
              <w:pStyle w:val="a3"/>
              <w:numPr>
                <w:ilvl w:val="0"/>
                <w:numId w:val="1"/>
              </w:numPr>
              <w:spacing w:line="200" w:lineRule="auto"/>
              <w:ind w:firstLineChars="0"/>
              <w:jc w:val="center"/>
              <w:rPr>
                <w:rFonts w:asciiTheme="minorEastAsia" w:hAnsiTheme="minorEastAsia"/>
                <w:sz w:val="24"/>
              </w:rPr>
            </w:pPr>
            <w:r w:rsidRPr="008E6841">
              <w:rPr>
                <w:rFonts w:asciiTheme="minorEastAsia" w:hAnsiTheme="minorEastAsia" w:hint="eastAsia"/>
                <w:sz w:val="24"/>
              </w:rPr>
              <w:t>（北区）经济技术指标</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用地面积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2231</w:t>
            </w:r>
            <w:r w:rsidRPr="008E6841">
              <w:rPr>
                <w:rFonts w:asciiTheme="minorEastAsia" w:hAnsiTheme="minorEastAsia" w:hint="eastAsia"/>
                <w:sz w:val="24"/>
              </w:rPr>
              <w:t>2</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总建筑面积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70167平方米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容积率</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2.0</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地上计容建筑面积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44855平方米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地下建筑面积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25312平方米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建筑密度</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3</w:t>
            </w:r>
            <w:r w:rsidRPr="008E6841">
              <w:rPr>
                <w:rFonts w:asciiTheme="minorEastAsia" w:hAnsiTheme="minorEastAsia" w:hint="eastAsia"/>
                <w:sz w:val="24"/>
              </w:rPr>
              <w:t>5</w:t>
            </w:r>
            <w:r w:rsidRPr="008E6841">
              <w:rPr>
                <w:rFonts w:asciiTheme="minorEastAsia" w:hAnsiTheme="minorEastAsia"/>
                <w:sz w:val="24"/>
              </w:rPr>
              <w:t>%</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建筑高度</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45米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建筑层数</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11层，局部3层（地下2层）</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绿地率</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25</w:t>
            </w:r>
            <w:r w:rsidRPr="008E6841">
              <w:rPr>
                <w:rFonts w:asciiTheme="minorEastAsia" w:hAnsiTheme="minorEastAsia"/>
                <w:sz w:val="24"/>
              </w:rPr>
              <w:t>%</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地上停车数量</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15辆</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地下停车数量</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482辆</w:t>
            </w:r>
          </w:p>
        </w:tc>
      </w:tr>
      <w:tr w:rsidR="008E6841" w:rsidRPr="008E6841" w:rsidTr="00CC3512">
        <w:tc>
          <w:tcPr>
            <w:tcW w:w="9606" w:type="dxa"/>
            <w:gridSpan w:val="2"/>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（南区）经济技术指标</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用地面积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2180</w:t>
            </w:r>
            <w:r w:rsidRPr="008E6841">
              <w:rPr>
                <w:rFonts w:asciiTheme="minorEastAsia" w:hAnsiTheme="minorEastAsia" w:hint="eastAsia"/>
                <w:sz w:val="24"/>
              </w:rPr>
              <w:t>2</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总建筑面积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1100</w:t>
            </w:r>
            <w:r w:rsidRPr="008E6841">
              <w:rPr>
                <w:rFonts w:asciiTheme="minorEastAsia" w:hAnsiTheme="minorEastAsia" w:hint="eastAsia"/>
                <w:sz w:val="24"/>
              </w:rPr>
              <w:t>10</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容积率</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3.5</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地上计容建筑面积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7630</w:t>
            </w:r>
            <w:r w:rsidRPr="008E6841">
              <w:rPr>
                <w:rFonts w:asciiTheme="minorEastAsia" w:hAnsiTheme="minorEastAsia" w:hint="eastAsia"/>
                <w:sz w:val="24"/>
              </w:rPr>
              <w:t>2</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地下建筑面积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3370</w:t>
            </w:r>
            <w:r w:rsidRPr="008E6841">
              <w:rPr>
                <w:rFonts w:asciiTheme="minorEastAsia" w:hAnsiTheme="minorEastAsia" w:hint="eastAsia"/>
                <w:sz w:val="24"/>
              </w:rPr>
              <w:t>8</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建筑密度</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40</w:t>
            </w:r>
            <w:r w:rsidRPr="008E6841">
              <w:rPr>
                <w:rFonts w:asciiTheme="minorEastAsia" w:hAnsiTheme="minorEastAsia"/>
                <w:sz w:val="24"/>
              </w:rPr>
              <w:t>%</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建筑高度</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45米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建筑层数</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11层（地下2层）</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绿地率</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25</w:t>
            </w:r>
            <w:r w:rsidRPr="008E6841">
              <w:rPr>
                <w:rFonts w:asciiTheme="minorEastAsia" w:hAnsiTheme="minorEastAsia"/>
                <w:sz w:val="24"/>
              </w:rPr>
              <w:t>%</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地下停车数量</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758辆</w:t>
            </w:r>
          </w:p>
        </w:tc>
      </w:tr>
      <w:tr w:rsidR="008E6841" w:rsidRPr="008E6841" w:rsidTr="00CC3512">
        <w:tc>
          <w:tcPr>
            <w:tcW w:w="9606" w:type="dxa"/>
            <w:gridSpan w:val="2"/>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总经济技术指标</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总用地面积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33114</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总建筑面积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180177</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地上计容建筑面积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121157</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地下建筑面积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59020</w:t>
            </w:r>
            <w:r w:rsidRPr="008E6841">
              <w:rPr>
                <w:rFonts w:asciiTheme="minorEastAsia" w:hAnsiTheme="minorEastAsia"/>
                <w:sz w:val="24"/>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hint="eastAsia"/>
                <w:sz w:val="24"/>
              </w:rPr>
              <w:t>总停车数量</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4"/>
              </w:rPr>
            </w:pPr>
            <w:r w:rsidRPr="008E6841">
              <w:rPr>
                <w:rFonts w:asciiTheme="minorEastAsia" w:hAnsiTheme="minorEastAsia"/>
                <w:sz w:val="24"/>
              </w:rPr>
              <w:t>1255辆（其中地上15辆）</w:t>
            </w:r>
          </w:p>
        </w:tc>
      </w:tr>
    </w:tbl>
    <w:p w:rsidR="008E6841" w:rsidRDefault="008E6841" w:rsidP="008E6841">
      <w:pPr>
        <w:spacing w:line="200" w:lineRule="auto"/>
        <w:jc w:val="center"/>
        <w:rPr>
          <w:rFonts w:ascii="宋体" w:eastAsia="宋体" w:hAnsi="宋体"/>
          <w:sz w:val="24"/>
        </w:rPr>
      </w:pPr>
      <w:r>
        <w:rPr>
          <w:rFonts w:ascii="宋体" w:eastAsia="宋体" w:hAnsi="宋体"/>
          <w:sz w:val="24"/>
        </w:rPr>
        <w:t xml:space="preserve"> </w:t>
      </w:r>
    </w:p>
    <w:p w:rsidR="008E6841" w:rsidRDefault="008E6841" w:rsidP="008E6841">
      <w:pPr>
        <w:spacing w:line="200" w:lineRule="auto"/>
        <w:jc w:val="center"/>
        <w:rPr>
          <w:rFonts w:ascii="宋体" w:eastAsia="宋体" w:hAnsi="宋体"/>
          <w:sz w:val="24"/>
        </w:rPr>
      </w:pPr>
    </w:p>
    <w:p w:rsidR="008E6841" w:rsidRDefault="008E6841" w:rsidP="008E6841">
      <w:pPr>
        <w:spacing w:line="200" w:lineRule="auto"/>
        <w:jc w:val="center"/>
        <w:rPr>
          <w:rFonts w:ascii="宋体" w:eastAsia="宋体" w:hAnsi="宋体"/>
          <w:sz w:val="24"/>
        </w:rPr>
      </w:pPr>
    </w:p>
    <w:p w:rsidR="008E6841" w:rsidRDefault="008E6841" w:rsidP="008E6841">
      <w:pPr>
        <w:spacing w:line="200" w:lineRule="auto"/>
        <w:jc w:val="center"/>
        <w:rPr>
          <w:rFonts w:ascii="宋体" w:eastAsia="宋体" w:hAnsi="宋体"/>
          <w:sz w:val="24"/>
        </w:rPr>
      </w:pPr>
      <w:r>
        <w:rPr>
          <w:rFonts w:ascii="宋体" w:eastAsia="宋体" w:hAnsi="宋体"/>
          <w:sz w:val="24"/>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0"/>
        <w:gridCol w:w="5506"/>
      </w:tblGrid>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hint="eastAsia"/>
                <w:sz w:val="22"/>
              </w:rPr>
              <w:t>酒店建筑面积</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hint="eastAsia"/>
                <w:sz w:val="22"/>
              </w:rPr>
              <w:t>24238</w:t>
            </w:r>
            <w:r w:rsidRPr="008E6841">
              <w:rPr>
                <w:rFonts w:asciiTheme="minorEastAsia" w:hAnsiTheme="minorEastAsia"/>
                <w:sz w:val="22"/>
              </w:rPr>
              <w:t>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hint="eastAsia"/>
                <w:sz w:val="22"/>
              </w:rPr>
              <w:t>酒店客房数</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hint="eastAsia"/>
                <w:sz w:val="22"/>
              </w:rPr>
              <w:t>270间</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proofErr w:type="gramStart"/>
            <w:r w:rsidRPr="008E6841">
              <w:rPr>
                <w:rFonts w:asciiTheme="minorEastAsia" w:hAnsiTheme="minorEastAsia" w:hint="eastAsia"/>
                <w:sz w:val="22"/>
              </w:rPr>
              <w:t>自持</w:t>
            </w:r>
            <w:proofErr w:type="gramEnd"/>
            <w:r w:rsidRPr="008E6841">
              <w:rPr>
                <w:rFonts w:asciiTheme="minorEastAsia" w:hAnsiTheme="minorEastAsia" w:hint="eastAsia"/>
                <w:sz w:val="22"/>
              </w:rPr>
              <w:t>办公建筑面积（1栋）</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hint="eastAsia"/>
                <w:sz w:val="22"/>
              </w:rPr>
              <w:t>20617平方米</w:t>
            </w:r>
          </w:p>
        </w:tc>
      </w:tr>
      <w:tr w:rsidR="008E6841" w:rsidRPr="008E6841" w:rsidTr="00CC3512">
        <w:tc>
          <w:tcPr>
            <w:tcW w:w="4100"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hint="eastAsia"/>
                <w:sz w:val="22"/>
              </w:rPr>
              <w:t>出售办公建筑面积（4栋）</w:t>
            </w:r>
          </w:p>
        </w:tc>
        <w:tc>
          <w:tcPr>
            <w:tcW w:w="5506" w:type="dxa"/>
            <w:shd w:val="clear" w:color="auto" w:fill="auto"/>
            <w:vAlign w:val="center"/>
          </w:tcPr>
          <w:p w:rsidR="008E6841" w:rsidRPr="008E6841" w:rsidRDefault="008E6841" w:rsidP="00CC3512">
            <w:pPr>
              <w:spacing w:line="200" w:lineRule="auto"/>
              <w:jc w:val="center"/>
              <w:rPr>
                <w:rFonts w:asciiTheme="minorEastAsia" w:hAnsiTheme="minorEastAsia"/>
                <w:sz w:val="22"/>
              </w:rPr>
            </w:pPr>
            <w:r w:rsidRPr="008E6841">
              <w:rPr>
                <w:rFonts w:asciiTheme="minorEastAsia" w:hAnsiTheme="minorEastAsia"/>
                <w:sz w:val="22"/>
              </w:rPr>
              <w:t>7630</w:t>
            </w:r>
            <w:r w:rsidRPr="008E6841">
              <w:rPr>
                <w:rFonts w:asciiTheme="minorEastAsia" w:hAnsiTheme="minorEastAsia" w:hint="eastAsia"/>
                <w:sz w:val="22"/>
              </w:rPr>
              <w:t>2</w:t>
            </w:r>
            <w:r w:rsidRPr="008E6841">
              <w:rPr>
                <w:rFonts w:asciiTheme="minorEastAsia" w:hAnsiTheme="minorEastAsia"/>
                <w:sz w:val="22"/>
              </w:rPr>
              <w:t>平方米</w:t>
            </w:r>
          </w:p>
        </w:tc>
      </w:tr>
    </w:tbl>
    <w:p w:rsidR="008E6841" w:rsidRDefault="008E6841" w:rsidP="008E6841">
      <w:pPr>
        <w:spacing w:line="200" w:lineRule="auto"/>
        <w:jc w:val="center"/>
        <w:rPr>
          <w:rFonts w:ascii="宋体" w:eastAsia="宋体" w:hAnsi="宋体"/>
          <w:sz w:val="24"/>
        </w:rPr>
      </w:pPr>
      <w:r>
        <w:rPr>
          <w:rFonts w:ascii="宋体" w:eastAsia="宋体" w:hAnsi="宋体"/>
          <w:sz w:val="24"/>
        </w:rPr>
        <w:t xml:space="preserve"> </w:t>
      </w:r>
    </w:p>
    <w:p w:rsidR="008E6841" w:rsidRDefault="008E6841" w:rsidP="008E6841">
      <w:pPr>
        <w:spacing w:line="200" w:lineRule="auto"/>
        <w:jc w:val="center"/>
        <w:rPr>
          <w:rFonts w:ascii="宋体" w:eastAsia="宋体" w:hAnsi="宋体"/>
          <w:sz w:val="24"/>
        </w:rPr>
      </w:pPr>
      <w:r>
        <w:rPr>
          <w:rFonts w:ascii="宋体" w:eastAsia="宋体" w:hAnsi="宋体"/>
          <w:sz w:val="24"/>
        </w:rPr>
        <w:t xml:space="preserve"> </w:t>
      </w:r>
    </w:p>
    <w:p w:rsidR="008E6841" w:rsidRPr="008E6841" w:rsidRDefault="008E6841" w:rsidP="008E6841">
      <w:pPr>
        <w:pStyle w:val="a3"/>
        <w:ind w:left="360" w:firstLineChars="0" w:firstLine="0"/>
        <w:rPr>
          <w:rFonts w:hint="eastAsia"/>
        </w:rPr>
      </w:pPr>
    </w:p>
    <w:sectPr w:rsidR="008E6841" w:rsidRPr="008E6841" w:rsidSect="008E6841">
      <w:pgSz w:w="23814" w:h="16839" w:orient="landscape" w:code="8"/>
      <w:pgMar w:top="1800" w:right="1440" w:bottom="1800" w:left="144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15A7"/>
    <w:multiLevelType w:val="hybridMultilevel"/>
    <w:tmpl w:val="3F1C6DF2"/>
    <w:lvl w:ilvl="0" w:tplc="D05E40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10F74"/>
    <w:multiLevelType w:val="hybridMultilevel"/>
    <w:tmpl w:val="92206D0E"/>
    <w:lvl w:ilvl="0" w:tplc="2F74E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42216D"/>
    <w:multiLevelType w:val="hybridMultilevel"/>
    <w:tmpl w:val="A1247B28"/>
    <w:lvl w:ilvl="0" w:tplc="B0FE714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422D021B"/>
    <w:multiLevelType w:val="hybridMultilevel"/>
    <w:tmpl w:val="028E46E8"/>
    <w:lvl w:ilvl="0" w:tplc="7F185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C0"/>
    <w:rsid w:val="000527BA"/>
    <w:rsid w:val="000921A1"/>
    <w:rsid w:val="000D389A"/>
    <w:rsid w:val="002470BA"/>
    <w:rsid w:val="00283F49"/>
    <w:rsid w:val="002D4D27"/>
    <w:rsid w:val="003B6CC3"/>
    <w:rsid w:val="004D32FC"/>
    <w:rsid w:val="0062123B"/>
    <w:rsid w:val="008225C0"/>
    <w:rsid w:val="008549BB"/>
    <w:rsid w:val="008C4A90"/>
    <w:rsid w:val="008E6841"/>
    <w:rsid w:val="009F0366"/>
    <w:rsid w:val="00A92924"/>
    <w:rsid w:val="00C07F76"/>
    <w:rsid w:val="00C652A0"/>
    <w:rsid w:val="00D66555"/>
    <w:rsid w:val="00E77CE2"/>
    <w:rsid w:val="00FE526A"/>
    <w:rsid w:val="00FF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F76"/>
    <w:pPr>
      <w:ind w:firstLineChars="200" w:firstLine="420"/>
    </w:pPr>
  </w:style>
  <w:style w:type="paragraph" w:styleId="a4">
    <w:name w:val="Balloon Text"/>
    <w:basedOn w:val="a"/>
    <w:link w:val="Char"/>
    <w:uiPriority w:val="99"/>
    <w:semiHidden/>
    <w:unhideWhenUsed/>
    <w:rsid w:val="008549BB"/>
    <w:rPr>
      <w:sz w:val="18"/>
      <w:szCs w:val="18"/>
    </w:rPr>
  </w:style>
  <w:style w:type="character" w:customStyle="1" w:styleId="Char">
    <w:name w:val="批注框文本 Char"/>
    <w:basedOn w:val="a0"/>
    <w:link w:val="a4"/>
    <w:uiPriority w:val="99"/>
    <w:semiHidden/>
    <w:rsid w:val="008549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F76"/>
    <w:pPr>
      <w:ind w:firstLineChars="200" w:firstLine="420"/>
    </w:pPr>
  </w:style>
  <w:style w:type="paragraph" w:styleId="a4">
    <w:name w:val="Balloon Text"/>
    <w:basedOn w:val="a"/>
    <w:link w:val="Char"/>
    <w:uiPriority w:val="99"/>
    <w:semiHidden/>
    <w:unhideWhenUsed/>
    <w:rsid w:val="008549BB"/>
    <w:rPr>
      <w:sz w:val="18"/>
      <w:szCs w:val="18"/>
    </w:rPr>
  </w:style>
  <w:style w:type="character" w:customStyle="1" w:styleId="Char">
    <w:name w:val="批注框文本 Char"/>
    <w:basedOn w:val="a0"/>
    <w:link w:val="a4"/>
    <w:uiPriority w:val="99"/>
    <w:semiHidden/>
    <w:rsid w:val="00854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0732-21545都市院商业地产设计研究室S-史晟</dc:creator>
  <cp:keywords/>
  <dc:description/>
  <cp:lastModifiedBy>0732-21545都市院商业地产设计研究室S-史晟</cp:lastModifiedBy>
  <cp:revision>7</cp:revision>
  <dcterms:created xsi:type="dcterms:W3CDTF">2013-11-12T02:55:00Z</dcterms:created>
  <dcterms:modified xsi:type="dcterms:W3CDTF">2013-11-12T08:47:00Z</dcterms:modified>
</cp:coreProperties>
</file>