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60"/>
      </w:pPr>
      <w:r>
        <w:rPr>
          <w:rFonts w:ascii="Calibri" w:hAnsi="Calibri"/>
          <w:b/>
          <w:i w:val="0"/>
          <w:color w:val="EE6B4D"/>
          <w:sz w:val="20"/>
        </w:rPr>
        <w:t>CUSTOMER ONBOARDING BRIEF</w:t>
      </w:r>
    </w:p>
    <w:p>
      <w:pPr>
        <w:pStyle w:val="Title"/>
        <w:keepNext/>
        <w:spacing w:before="0" w:after="120"/>
      </w:pPr>
      <w:r>
        <w:rPr>
          <w:rFonts w:ascii="Calibri" w:hAnsi="Calibri"/>
          <w:b/>
          <w:i w:val="0"/>
          <w:color w:val="0B2545"/>
          <w:sz w:val="56"/>
        </w:rPr>
        <w:t>Denali Proof of Concept</w:t>
      </w:r>
    </w:p>
    <w:p>
      <w:pPr>
        <w:spacing w:after="360"/>
      </w:pPr>
      <w:r>
        <w:rPr>
          <w:rFonts w:ascii="Calibri" w:hAnsi="Calibri"/>
          <w:b w:val="0"/>
          <w:i w:val="0"/>
          <w:color w:val="1F4D78"/>
          <w:sz w:val="30"/>
        </w:rPr>
        <w:t>BEEAH Azure Microsoft Entra and Azure Repos onboarding plan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820"/>
        <w:gridCol w:w="2600"/>
        <w:gridCol w:w="2200"/>
        <w:gridCol w:w="1740"/>
      </w:tblGrid>
      <w:tr>
        <w:trPr>
          <w:tblHeader/>
          <w:cantSplit/>
        </w:trPr>
        <w:tc>
          <w:tcPr>
            <w:tcW w:type="dxa" w:w="282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Prepared for</w:t>
            </w:r>
          </w:p>
        </w:tc>
        <w:tc>
          <w:tcPr>
            <w:tcW w:type="dxa" w:w="26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Document status</w:t>
            </w:r>
          </w:p>
        </w:tc>
        <w:tc>
          <w:tcPr>
            <w:tcW w:type="dxa" w:w="22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Date</w:t>
            </w:r>
          </w:p>
        </w:tc>
        <w:tc>
          <w:tcPr>
            <w:tcW w:type="dxa" w:w="174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Version</w:t>
            </w:r>
          </w:p>
        </w:tc>
      </w:tr>
      <w:tr>
        <w:trPr>
          <w:cantSplit/>
        </w:trPr>
        <w:tc>
          <w:tcPr>
            <w:tcW w:type="dxa" w:w="2820"/>
            <w:vAlign w:val="center"/>
            <w:tcMar>
              <w:top w:w="80" w:type="dxa"/>
              <w:start w:w="120" w:type="dxa"/>
              <w:bottom w:w="80" w:type="dxa"/>
              <w:end w:w="120" w:type="dxa"/>
            </w:tcMar>
            <w:shd w:fill="F2F4F7"/>
          </w:tcPr>
          <w:p>
            <w:pPr>
              <w:spacing w:before="0" w:after="0" w:line="269" w:lineRule="auto"/>
              <w:jc w:val="left"/>
            </w:pPr>
            <w:r>
              <w:rPr>
                <w:rFonts w:ascii="Calibri" w:hAnsi="Calibri"/>
                <w:b w:val="0"/>
                <w:i w:val="0"/>
                <w:color w:val="233044"/>
                <w:sz w:val="18"/>
              </w:rPr>
              <w:t>BEEAH Chief Information Security Officer</w:t>
            </w:r>
          </w:p>
        </w:tc>
        <w:tc>
          <w:tcPr>
            <w:tcW w:type="dxa" w:w="2600"/>
            <w:vAlign w:val="center"/>
            <w:tcMar>
              <w:top w:w="80" w:type="dxa"/>
              <w:start w:w="120" w:type="dxa"/>
              <w:bottom w:w="80" w:type="dxa"/>
              <w:end w:w="120" w:type="dxa"/>
            </w:tcMar>
            <w:shd w:fill="F2F4F7"/>
          </w:tcPr>
          <w:p>
            <w:pPr>
              <w:spacing w:before="0" w:after="0" w:line="269" w:lineRule="auto"/>
              <w:jc w:val="left"/>
            </w:pPr>
            <w:r>
              <w:rPr>
                <w:rFonts w:ascii="Calibri" w:hAnsi="Calibri"/>
                <w:b w:val="0"/>
                <w:i w:val="0"/>
                <w:color w:val="233044"/>
                <w:sz w:val="18"/>
              </w:rPr>
              <w:t>Ready for controlled onboarding</w:t>
            </w:r>
          </w:p>
        </w:tc>
        <w:tc>
          <w:tcPr>
            <w:tcW w:type="dxa" w:w="2200"/>
            <w:vAlign w:val="center"/>
            <w:tcMar>
              <w:top w:w="80" w:type="dxa"/>
              <w:start w:w="120" w:type="dxa"/>
              <w:bottom w:w="80" w:type="dxa"/>
              <w:end w:w="120" w:type="dxa"/>
            </w:tcMar>
            <w:shd w:fill="F2F4F7"/>
          </w:tcPr>
          <w:p>
            <w:pPr>
              <w:spacing w:before="0" w:after="0" w:line="269" w:lineRule="auto"/>
              <w:jc w:val="left"/>
            </w:pPr>
            <w:r>
              <w:rPr>
                <w:rFonts w:ascii="Calibri" w:hAnsi="Calibri"/>
                <w:b w:val="0"/>
                <w:i w:val="0"/>
                <w:color w:val="233044"/>
                <w:sz w:val="18"/>
              </w:rPr>
              <w:t>10 September 2026</w:t>
            </w:r>
          </w:p>
        </w:tc>
        <w:tc>
          <w:tcPr>
            <w:tcW w:type="dxa" w:w="1740"/>
            <w:vAlign w:val="center"/>
            <w:tcMar>
              <w:top w:w="80" w:type="dxa"/>
              <w:start w:w="120" w:type="dxa"/>
              <w:bottom w:w="80" w:type="dxa"/>
              <w:end w:w="120" w:type="dxa"/>
            </w:tcMar>
            <w:shd w:fill="F2F4F7"/>
          </w:tcPr>
          <w:p>
            <w:pPr>
              <w:spacing w:before="0" w:after="0" w:line="269" w:lineRule="auto"/>
              <w:jc w:val="left"/>
            </w:pPr>
            <w:r>
              <w:rPr>
                <w:rFonts w:ascii="Calibri" w:hAnsi="Calibri"/>
                <w:b w:val="0"/>
                <w:i w:val="0"/>
                <w:color w:val="233044"/>
                <w:sz w:val="18"/>
              </w:rPr>
              <w:t>0.4</w:t>
            </w:r>
          </w:p>
        </w:tc>
      </w:tr>
    </w:tbl>
    <w:p>
      <w:pPr>
        <w:spacing w:after="40"/>
      </w:pPr>
    </w:p>
    <w:p>
      <w:pPr>
        <w:pStyle w:val="Heading1"/>
        <w:keepNext/>
        <w:pageBreakBefore w:val="0"/>
      </w:pPr>
      <w:r>
        <w:rPr>
          <w:rFonts w:ascii="Calibri" w:hAnsi="Calibri"/>
          <w:b/>
          <w:i w:val="0"/>
          <w:color w:val="2E74B5"/>
          <w:sz w:val="32"/>
        </w:rPr>
        <w:t>Executive summary</w:t>
      </w:r>
    </w:p>
    <w:p>
      <w:pPr>
        <w:keepLines w:val="0"/>
        <w:spacing w:before="0" w:after="120" w:line="300" w:lineRule="auto"/>
      </w:pPr>
      <w:r>
        <w:rPr>
          <w:rFonts w:ascii="Calibri" w:hAnsi="Calibri"/>
          <w:b w:val="0"/>
          <w:i w:val="0"/>
          <w:color w:val="233044"/>
          <w:sz w:val="22"/>
        </w:rPr>
        <w:t>Denali is ready to begin a controlled BEEAH proof of concept covering explicitly selected Azure subscriptions, Microsoft Entra application discovery and exact Azure Repos repositories. The production integrations support separate validation and collection with explicit coverage states. BEEAH supplies identifiers and grants bounded read access; it does not upload cloud credentials, access tokens, private keys or Azure DevOps personal access tokens.</w:t>
      </w:r>
    </w:p>
    <w:p>
      <w:pPr>
        <w:keepLines w:val="0"/>
        <w:spacing w:before="0" w:after="120" w:line="300" w:lineRule="auto"/>
      </w:pPr>
      <w:r>
        <w:rPr>
          <w:rFonts w:ascii="Calibri" w:hAnsi="Calibri"/>
          <w:b w:val="0"/>
          <w:i w:val="0"/>
          <w:color w:val="233044"/>
          <w:sz w:val="22"/>
        </w:rPr>
        <w:t>The Microsoft capability covers Entra enterprise applications, service principals, permission grants, sign-ins and application-management audits. Azure Repos adds read-only source evidence for repositories that BEEAH selects explicitly. An optional vulnerability workstream can attach matching native Syft and Grype reports to an independently observed workload without granting repository access. These connections do not collect Exchange mailbox content, SharePoint or OneDrive files, Teams messages, or Microsoft 365 Copilot prompts, responses or usage telemetry.</w:t>
      </w:r>
    </w:p>
    <w:p>
      <w:pPr>
        <w:spacing w:before="100" w:after="200" w:line="283" w:lineRule="auto"/>
        <w:ind w:left="202" w:right="115"/>
        <w:shd w:fill="FFF1EC"/>
        <w:pBdr>
          <w:left w:val="single" w:sz="22" w:space="8" w:color="EE6B4D"/>
        </w:pBdr>
      </w:pPr>
      <w:r>
        <w:rPr>
          <w:rFonts w:ascii="Calibri" w:hAnsi="Calibri"/>
          <w:b/>
          <w:i w:val="0"/>
          <w:color w:val="EE6B4D"/>
          <w:sz w:val="18"/>
        </w:rPr>
        <w:t xml:space="preserve">APPROVAL REQUESTED  </w:t>
      </w:r>
      <w:r>
        <w:rPr>
          <w:rFonts w:ascii="Calibri" w:hAnsi="Calibri"/>
          <w:b w:val="0"/>
          <w:i w:val="0"/>
          <w:color w:val="233044"/>
          <w:sz w:val="21"/>
        </w:rPr>
        <w:t>Approve a time-bounded, read-only sandbox POC and authorize the named BEEAH administrators to complete Azure setup, Entra admin consent and Azure Repos authorization after reviewing the application identities, selected scopes and data-handling terms.</w:t>
      </w:r>
    </w:p>
    <w:p>
      <w:pPr>
        <w:pStyle w:val="Heading2"/>
        <w:keepNext/>
        <w:pageBreakBefore w:val="0"/>
      </w:pPr>
      <w:r>
        <w:rPr>
          <w:rFonts w:ascii="Calibri" w:hAnsi="Calibri"/>
          <w:b/>
          <w:i w:val="0"/>
          <w:color w:val="2E74B5"/>
          <w:sz w:val="26"/>
        </w:rPr>
        <w:t>What BEEAH is not being asked to do</w:t>
      </w:r>
    </w:p>
    <w:p>
      <w:pPr>
        <w:keepLines w:val="0"/>
        <w:numPr>
          <w:ilvl w:val="0"/>
          <w:numId w:val="51"/>
        </w:numPr>
        <w:spacing w:before="0" w:after="80" w:line="300" w:lineRule="auto"/>
      </w:pPr>
      <w:r>
        <w:rPr>
          <w:rFonts w:ascii="Calibri" w:hAnsi="Calibri"/>
          <w:b w:val="0"/>
          <w:i w:val="0"/>
          <w:color w:val="233044"/>
          <w:sz w:val="22"/>
        </w:rPr>
        <w:t>Provide an Azure password, client secret, certificate, refresh token or CLI token.</w:t>
      </w:r>
    </w:p>
    <w:p>
      <w:pPr>
        <w:keepLines w:val="0"/>
        <w:numPr>
          <w:ilvl w:val="0"/>
          <w:numId w:val="51"/>
        </w:numPr>
        <w:spacing w:before="0" w:after="80" w:line="300" w:lineRule="auto"/>
      </w:pPr>
      <w:r>
        <w:rPr>
          <w:rFonts w:ascii="Calibri" w:hAnsi="Calibri"/>
          <w:b w:val="0"/>
          <w:i w:val="0"/>
          <w:color w:val="233044"/>
          <w:sz w:val="22"/>
        </w:rPr>
        <w:t>Create a broad tenant-wide Azure role assignment or include production subscriptions by default.</w:t>
      </w:r>
    </w:p>
    <w:p>
      <w:pPr>
        <w:keepLines w:val="0"/>
        <w:numPr>
          <w:ilvl w:val="0"/>
          <w:numId w:val="51"/>
        </w:numPr>
        <w:spacing w:before="0" w:after="80" w:line="300" w:lineRule="auto"/>
      </w:pPr>
      <w:r>
        <w:rPr>
          <w:rFonts w:ascii="Calibri" w:hAnsi="Calibri"/>
          <w:b w:val="0"/>
          <w:i w:val="0"/>
          <w:color w:val="233044"/>
          <w:sz w:val="22"/>
        </w:rPr>
        <w:t>Provide an Azure DevOps personal access token, refresh token or repository clone credential.</w:t>
      </w:r>
    </w:p>
    <w:p>
      <w:pPr>
        <w:keepLines w:val="0"/>
        <w:numPr>
          <w:ilvl w:val="0"/>
          <w:numId w:val="51"/>
        </w:numPr>
        <w:spacing w:before="0" w:after="80" w:line="300" w:lineRule="auto"/>
      </w:pPr>
      <w:r>
        <w:rPr>
          <w:rFonts w:ascii="Calibri" w:hAnsi="Calibri"/>
          <w:b w:val="0"/>
          <w:i w:val="0"/>
          <w:color w:val="233044"/>
          <w:sz w:val="22"/>
        </w:rPr>
        <w:t>Authorize access to Exchange mailboxes, SharePoint or OneDrive files, Teams messages, Microsoft 365 Copilot prompts or responses, workload secret values, or other customer content.</w:t>
      </w:r>
    </w:p>
    <w:p/>
    <w:p>
      <w:pPr>
        <w:pStyle w:val="Heading1"/>
        <w:keepNext/>
        <w:pageBreakBefore w:val="0"/>
      </w:pPr>
      <w:r>
        <w:rPr>
          <w:rFonts w:ascii="Calibri" w:hAnsi="Calibri"/>
          <w:b/>
          <w:i w:val="0"/>
          <w:color w:val="2E74B5"/>
          <w:sz w:val="32"/>
        </w:rPr>
        <w:t>1 Proposed POC scope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3300"/>
        <w:gridCol w:w="4360"/>
      </w:tblGrid>
      <w:tr>
        <w:trPr>
          <w:tblHeader/>
          <w:cantSplit/>
        </w:trPr>
        <w:tc>
          <w:tcPr>
            <w:tcW w:type="dxa" w:w="17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Workstream</w:t>
            </w:r>
          </w:p>
        </w:tc>
        <w:tc>
          <w:tcPr>
            <w:tcW w:type="dxa" w:w="33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Proposed scope</w:t>
            </w:r>
          </w:p>
        </w:tc>
        <w:tc>
          <w:tcPr>
            <w:tcW w:type="dxa" w:w="43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Evidence expected</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cloud</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One or more explicitly selected sandbox subscriptions; all Azure locations within those subscriptions.</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AI services accounts, AI Search, Machine Learning workspaces, Bot Service, management Activity Log, Container Apps, Function Apps and AKS inventory, with independent coverage for each enabled plane.</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Entra application discovery</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Separate tenant-wide application-only admin consent for the BEEAH tenant.</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Catalog-matched enterprise applications, service principals, delegated grants, application roles, sign-ins and application-management audits. This is identity and audit metadata, not Microsoft 365 workload content or Copilot usage telemetry.</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Repos</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One Azure DevOps organization and only the exact projects and repositories approved for the POC.</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Repository and project identity, default branch and immutable commit evidence, bounded source inventory, repository posture findings and eligible code-to-cloud correlation. Missing or partial access remains visible.</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Vulnerability evidence</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Optional in phase 1 or phase 2 for an independently observed workload. A BEEAH organization admin submits one matching native Syft report and one native Grype report, each no larger than 16 MiB.</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Normalized component occurrences, containment relationships, vulnerability matches, fix and exploit status, scanner provenance and explicit scan coverage. Raw reports are deleted after terminal processing.</w:t>
            </w:r>
          </w:p>
        </w:tc>
      </w:tr>
    </w:tbl>
    <w:p>
      <w:pPr>
        <w:spacing w:after="40"/>
      </w:pPr>
    </w:p>
    <w:p>
      <w:pPr>
        <w:pStyle w:val="Heading2"/>
        <w:keepNext/>
        <w:pageBreakBefore w:val="0"/>
      </w:pPr>
      <w:r>
        <w:rPr>
          <w:rFonts w:ascii="Calibri" w:hAnsi="Calibri"/>
          <w:b/>
          <w:i w:val="0"/>
          <w:color w:val="2E74B5"/>
          <w:sz w:val="26"/>
        </w:rPr>
        <w:t>Out of scope unless separately approved</w:t>
      </w:r>
    </w:p>
    <w:p>
      <w:pPr>
        <w:keepLines w:val="0"/>
        <w:numPr>
          <w:ilvl w:val="0"/>
          <w:numId w:val="51"/>
        </w:numPr>
        <w:spacing w:before="0" w:after="80" w:line="300" w:lineRule="auto"/>
      </w:pPr>
      <w:r>
        <w:rPr>
          <w:rFonts w:ascii="Calibri" w:hAnsi="Calibri"/>
          <w:b w:val="0"/>
          <w:i w:val="0"/>
          <w:color w:val="233044"/>
          <w:sz w:val="22"/>
        </w:rPr>
        <w:t>Production subscriptions, tenants, projects, repositories or resource groups not named in the agreed scope.</w:t>
      </w:r>
    </w:p>
    <w:p>
      <w:pPr>
        <w:keepLines w:val="0"/>
        <w:numPr>
          <w:ilvl w:val="0"/>
          <w:numId w:val="51"/>
        </w:numPr>
        <w:spacing w:before="0" w:after="80" w:line="300" w:lineRule="auto"/>
      </w:pPr>
      <w:r>
        <w:rPr>
          <w:rFonts w:ascii="Calibri" w:hAnsi="Calibri"/>
          <w:b w:val="0"/>
          <w:i w:val="0"/>
          <w:color w:val="233044"/>
          <w:sz w:val="22"/>
        </w:rPr>
        <w:t>Automated remediation, configuration changes, resource deployment or deletion.</w:t>
      </w:r>
    </w:p>
    <w:p>
      <w:pPr>
        <w:keepLines w:val="0"/>
        <w:numPr>
          <w:ilvl w:val="0"/>
          <w:numId w:val="51"/>
        </w:numPr>
        <w:spacing w:before="0" w:after="80" w:line="300" w:lineRule="auto"/>
      </w:pPr>
      <w:r>
        <w:rPr>
          <w:rFonts w:ascii="Calibri" w:hAnsi="Calibri"/>
          <w:b w:val="0"/>
          <w:i w:val="0"/>
          <w:color w:val="233044"/>
          <w:sz w:val="22"/>
        </w:rPr>
        <w:t>Workload data-plane access, prompt/response content, model inputs/outputs, secret values or customer payloads.</w:t>
      </w:r>
    </w:p>
    <w:p>
      <w:pPr>
        <w:keepLines w:val="0"/>
        <w:numPr>
          <w:ilvl w:val="0"/>
          <w:numId w:val="51"/>
        </w:numPr>
        <w:spacing w:before="0" w:after="80" w:line="300" w:lineRule="auto"/>
      </w:pPr>
      <w:r>
        <w:rPr>
          <w:rFonts w:ascii="Calibri" w:hAnsi="Calibri"/>
          <w:b w:val="0"/>
          <w:i w:val="0"/>
          <w:color w:val="233044"/>
          <w:sz w:val="22"/>
        </w:rPr>
        <w:t>General-purpose repository mirroring or retention of arbitrary raw source snapshots.</w:t>
      </w:r>
    </w:p>
    <w:p>
      <w:pPr>
        <w:pStyle w:val="Heading1"/>
        <w:keepNext/>
        <w:pageBreakBefore w:val="0"/>
      </w:pPr>
      <w:r>
        <w:rPr>
          <w:rFonts w:ascii="Calibri" w:hAnsi="Calibri"/>
          <w:b/>
          <w:i w:val="0"/>
          <w:color w:val="2E74B5"/>
          <w:sz w:val="32"/>
        </w:rPr>
        <w:t>2 Pre kickoff readiness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1500"/>
        <w:gridCol w:w="5960"/>
      </w:tblGrid>
      <w:tr>
        <w:trPr>
          <w:tblHeader/>
          <w:cantSplit/>
        </w:trPr>
        <w:tc>
          <w:tcPr>
            <w:tcW w:type="dxa" w:w="19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Area</w:t>
            </w:r>
          </w:p>
        </w:tc>
        <w:tc>
          <w:tcPr>
            <w:tcW w:type="dxa" w:w="15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Status</w:t>
            </w:r>
          </w:p>
        </w:tc>
        <w:tc>
          <w:tcPr>
            <w:tcW w:type="dxa" w:w="59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Gate before BEEAH action</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Hosted core</w:t>
            </w:r>
          </w:p>
        </w:tc>
        <w:tc>
          <w:tcPr>
            <w:tcW w:type="dxa" w:w="1500"/>
            <w:shd w:fill="EAF5EE"/>
            <w:vAlign w:val="center"/>
            <w:tcMar>
              <w:top w:w="80" w:type="dxa"/>
              <w:start w:w="120" w:type="dxa"/>
              <w:bottom w:w="80" w:type="dxa"/>
              <w:end w:w="120" w:type="dxa"/>
            </w:tcMar>
          </w:tcPr>
          <w:p>
            <w:pPr>
              <w:spacing w:before="0" w:after="0" w:line="269" w:lineRule="auto"/>
              <w:jc w:val="left"/>
            </w:pPr>
            <w:r>
              <w:rPr>
                <w:rFonts w:ascii="Calibri" w:hAnsi="Calibri"/>
                <w:b/>
                <w:i w:val="0"/>
                <w:color w:val="2D7F4E"/>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Production authentication, organization isolation, admin and member authorization, and non-empty tenant evidence are operational. Create the BEEAH organization and invite the initial BEEAH administrator before provider setup.</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cloud</w:t>
            </w:r>
          </w:p>
        </w:tc>
        <w:tc>
          <w:tcPr>
            <w:tcW w:type="dxa" w:w="1500"/>
            <w:shd w:fill="EAF5EE"/>
            <w:vAlign w:val="center"/>
            <w:tcMar>
              <w:top w:w="80" w:type="dxa"/>
              <w:start w:w="120" w:type="dxa"/>
              <w:bottom w:w="80" w:type="dxa"/>
              <w:end w:w="120" w:type="dxa"/>
            </w:tcMar>
          </w:tcPr>
          <w:p>
            <w:pPr>
              <w:spacing w:before="0" w:after="0" w:line="269" w:lineRule="auto"/>
              <w:jc w:val="left"/>
            </w:pPr>
            <w:r>
              <w:rPr>
                <w:rFonts w:ascii="Calibri" w:hAnsi="Calibri"/>
                <w:b/>
                <w:i w:val="0"/>
                <w:color w:val="2D7F4E"/>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production multi-tenant application, private Cloud Shell script, validation and collection paths are operational. BEEAH must review the application identity and select only the approved subscriptions.</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Entra</w:t>
            </w:r>
          </w:p>
        </w:tc>
        <w:tc>
          <w:tcPr>
            <w:tcW w:type="dxa" w:w="1500"/>
            <w:shd w:fill="EAF5EE"/>
            <w:vAlign w:val="center"/>
            <w:tcMar>
              <w:top w:w="80" w:type="dxa"/>
              <w:start w:w="120" w:type="dxa"/>
              <w:bottom w:w="80" w:type="dxa"/>
              <w:end w:w="120" w:type="dxa"/>
            </w:tcMar>
          </w:tcPr>
          <w:p>
            <w:pPr>
              <w:spacing w:before="0" w:after="0" w:line="269" w:lineRule="auto"/>
              <w:jc w:val="left"/>
            </w:pPr>
            <w:r>
              <w:rPr>
                <w:rFonts w:ascii="Calibri" w:hAnsi="Calibri"/>
                <w:b/>
                <w:i w:val="0"/>
                <w:color w:val="2D7F4E"/>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production admin-consent callback, validation and collection paths are operational. A BEEAH Global Administrator must review Directory.Read.All and AuditLog.Read.All before granting tenant-wide consent.</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Repos</w:t>
            </w:r>
          </w:p>
        </w:tc>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i w:val="0"/>
                <w:color w:val="5F6B7A"/>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production Azure Repos callback, exact repository selection, validation and collection paths are operational. BEEAH must connect the Azure DevOps organization to the correct Entra tenant, add Denali's service principal with Basic access and grant Reader access only to the approved projects or repositories.</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Vulnerability evidence</w:t>
            </w:r>
          </w:p>
        </w:tc>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i w:val="0"/>
                <w:color w:val="5F6B7A"/>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hosted organization-admin import and durable processing path are operational. BEEAH must first collect the target cloud workload and produce matching native Syft and Grype reports for the same deployed artifact. Azure Pipelines submission is not automated in this release.</w:t>
            </w:r>
          </w:p>
        </w:tc>
      </w:tr>
    </w:tbl>
    <w:p>
      <w:pPr>
        <w:spacing w:after="40"/>
      </w:pPr>
    </w:p>
    <w:p>
      <w:pPr>
        <w:spacing w:before="100" w:after="200" w:line="283" w:lineRule="auto"/>
        <w:ind w:left="202" w:right="115"/>
        <w:shd w:fill="E8EEF5"/>
        <w:pBdr>
          <w:left w:val="single" w:sz="22" w:space="8" w:color="2E74B5"/>
        </w:pBdr>
      </w:pPr>
      <w:r>
        <w:rPr>
          <w:rFonts w:ascii="Calibri" w:hAnsi="Calibri"/>
          <w:b/>
          <w:i w:val="0"/>
          <w:color w:val="2E74B5"/>
          <w:sz w:val="18"/>
        </w:rPr>
        <w:t xml:space="preserve">DECISION POINT  </w:t>
      </w:r>
      <w:r>
        <w:rPr>
          <w:rFonts w:ascii="Calibri" w:hAnsi="Calibri"/>
          <w:b w:val="0"/>
          <w:i w:val="0"/>
          <w:color w:val="233044"/>
          <w:sz w:val="21"/>
        </w:rPr>
        <w:t>Proceed with Azure control-plane evidence, Microsoft Entra application discovery and exact Azure Repos source evidence in phase 1. Include scanner evidence in phase 1 or phase 2 only when BEEAH can produce a matching Syft and Grype pair for an observed workload. Microsoft 365 workload and Copilot telemetry remain outside scope unless separately approved.</w:t>
      </w:r>
    </w:p>
    <w:p>
      <w:pPr>
        <w:pStyle w:val="Heading1"/>
        <w:keepNext/>
        <w:pageBreakBefore w:val="0"/>
      </w:pPr>
      <w:r>
        <w:rPr>
          <w:rFonts w:ascii="Calibri" w:hAnsi="Calibri"/>
          <w:b/>
          <w:i w:val="0"/>
          <w:color w:val="2E74B5"/>
          <w:sz w:val="32"/>
        </w:rPr>
        <w:t>3 Security and tenancy model</w:t>
      </w:r>
    </w:p>
    <w:p>
      <w:pPr>
        <w:keepLines w:val="0"/>
        <w:spacing w:before="0" w:after="120" w:line="300" w:lineRule="auto"/>
      </w:pPr>
      <w:r>
        <w:rPr>
          <w:rFonts w:ascii="Calibri" w:hAnsi="Calibri"/>
          <w:b w:val="0"/>
          <w:i w:val="0"/>
          <w:color w:val="233044"/>
          <w:sz w:val="22"/>
        </w:rPr>
        <w:t>BEEAH users access Denali through https://denali.transilience.cloud. The browser calls only same-origin /api endpoints; it does not call the application runtime or database directly. Authentication and the active customer organization are resolved by the API, which maps the organization to a separate internal tenant UUID. Client-supplied tenant selectors are not trusted.</w:t>
      </w:r>
    </w:p>
    <w:p>
      <w:pPr>
        <w:keepLines w:val="0"/>
        <w:spacing w:before="0" w:after="120" w:line="300" w:lineRule="auto"/>
      </w:pPr>
      <w:r>
        <w:rPr>
          <w:rFonts w:ascii="Calibri" w:hAnsi="Calibri"/>
          <w:b w:val="0"/>
          <w:i w:val="0"/>
          <w:color w:val="233044"/>
          <w:sz w:val="22"/>
        </w:rPr>
        <w:t>Within Denali, organization members are read-only. Only organization administrators may create, validate, disable or delete connections and change governance decisions. BEEAH should nominate at least one admin and one member so the POC can verify both roles.</w:t>
      </w:r>
    </w:p>
    <w:p>
      <w:pPr>
        <w:pStyle w:val="Heading2"/>
        <w:keepNext/>
        <w:pageBreakBefore w:val="0"/>
      </w:pPr>
      <w:r>
        <w:rPr>
          <w:rFonts w:ascii="Calibri" w:hAnsi="Calibri"/>
          <w:b/>
          <w:i w:val="0"/>
          <w:color w:val="2E74B5"/>
          <w:sz w:val="26"/>
        </w:rPr>
        <w:t>Data retained for evidence</w:t>
      </w:r>
    </w:p>
    <w:p>
      <w:pPr>
        <w:keepLines w:val="0"/>
        <w:numPr>
          <w:ilvl w:val="0"/>
          <w:numId w:val="51"/>
        </w:numPr>
        <w:spacing w:before="0" w:after="80" w:line="300" w:lineRule="auto"/>
      </w:pPr>
      <w:r>
        <w:rPr>
          <w:rFonts w:ascii="Calibri" w:hAnsi="Calibri"/>
          <w:b w:val="0"/>
          <w:i w:val="0"/>
          <w:color w:val="233044"/>
          <w:sz w:val="22"/>
        </w:rPr>
        <w:t>BEEAH tenant, selected subscription and Azure DevOps organization, project and repository identifiers, names and scopes.</w:t>
      </w:r>
    </w:p>
    <w:p>
      <w:pPr>
        <w:keepLines w:val="0"/>
        <w:numPr>
          <w:ilvl w:val="0"/>
          <w:numId w:val="51"/>
        </w:numPr>
        <w:spacing w:before="0" w:after="80" w:line="300" w:lineRule="auto"/>
      </w:pPr>
      <w:r>
        <w:rPr>
          <w:rFonts w:ascii="Calibri" w:hAnsi="Calibri"/>
          <w:b w:val="0"/>
          <w:i w:val="0"/>
          <w:color w:val="233044"/>
          <w:sz w:val="22"/>
        </w:rPr>
        <w:t>Provider resource identifiers, Azure Repos default-branch commit identifiers, evidence locators and bounded metadata required to explain inventory, relationships and coverage.</w:t>
      </w:r>
    </w:p>
    <w:p>
      <w:pPr>
        <w:keepLines w:val="0"/>
        <w:numPr>
          <w:ilvl w:val="0"/>
          <w:numId w:val="51"/>
        </w:numPr>
        <w:spacing w:before="0" w:after="80" w:line="300" w:lineRule="auto"/>
      </w:pPr>
      <w:r>
        <w:rPr>
          <w:rFonts w:ascii="Calibri" w:hAnsi="Calibri"/>
          <w:b w:val="0"/>
          <w:i w:val="0"/>
          <w:color w:val="233044"/>
          <w:sz w:val="22"/>
        </w:rPr>
        <w:t>Hashed one-time setup state, validation results, collection timestamps and explicit complete, partial, failed, not_supported or unknown coverage states.</w:t>
      </w:r>
    </w:p>
    <w:p>
      <w:pPr>
        <w:keepLines w:val="0"/>
        <w:numPr>
          <w:ilvl w:val="0"/>
          <w:numId w:val="51"/>
        </w:numPr>
        <w:spacing w:before="0" w:after="80" w:line="300" w:lineRule="auto"/>
      </w:pPr>
      <w:r>
        <w:rPr>
          <w:rFonts w:ascii="Calibri" w:hAnsi="Calibri"/>
          <w:b w:val="0"/>
          <w:i w:val="0"/>
          <w:color w:val="233044"/>
          <w:sz w:val="22"/>
        </w:rPr>
        <w:t>Evidence-linked inventory, activity, findings, detections and issues produced within the agreed boundary.</w:t>
      </w:r>
    </w:p>
    <w:p>
      <w:pPr>
        <w:pStyle w:val="Heading2"/>
        <w:keepNext/>
        <w:pageBreakBefore w:val="0"/>
      </w:pPr>
      <w:r>
        <w:rPr>
          <w:rFonts w:ascii="Calibri" w:hAnsi="Calibri"/>
          <w:b/>
          <w:i w:val="0"/>
          <w:color w:val="2E74B5"/>
          <w:sz w:val="26"/>
        </w:rPr>
        <w:t>Data not retained</w:t>
      </w:r>
    </w:p>
    <w:p>
      <w:pPr>
        <w:keepLines w:val="0"/>
        <w:numPr>
          <w:ilvl w:val="0"/>
          <w:numId w:val="51"/>
        </w:numPr>
        <w:spacing w:before="0" w:after="80" w:line="300" w:lineRule="auto"/>
      </w:pPr>
      <w:r>
        <w:rPr>
          <w:rFonts w:ascii="Calibri" w:hAnsi="Calibri"/>
          <w:b w:val="0"/>
          <w:i w:val="0"/>
          <w:color w:val="233044"/>
          <w:sz w:val="22"/>
        </w:rPr>
        <w:t>Customer passwords, Azure access keys, CLI tokens, service-account JSON, OAuth access tokens, private keys or Azure DevOps PATs.</w:t>
      </w:r>
    </w:p>
    <w:p>
      <w:pPr>
        <w:keepLines w:val="0"/>
        <w:numPr>
          <w:ilvl w:val="0"/>
          <w:numId w:val="51"/>
        </w:numPr>
        <w:spacing w:before="0" w:after="80" w:line="300" w:lineRule="auto"/>
      </w:pPr>
      <w:r>
        <w:rPr>
          <w:rFonts w:ascii="Calibri" w:hAnsi="Calibri"/>
          <w:b w:val="0"/>
          <w:i w:val="0"/>
          <w:color w:val="233044"/>
          <w:sz w:val="22"/>
        </w:rPr>
        <w:t>Native Syft or Grype report documents after terminal processing. Denali retains only normalized bounded evidence, job status, safe counts and sanitized failure details.</w:t>
      </w:r>
    </w:p>
    <w:p>
      <w:pPr>
        <w:keepLines w:val="0"/>
        <w:numPr>
          <w:ilvl w:val="0"/>
          <w:numId w:val="51"/>
        </w:numPr>
        <w:spacing w:before="0" w:after="80" w:line="300" w:lineRule="auto"/>
      </w:pPr>
      <w:r>
        <w:rPr>
          <w:rFonts w:ascii="Calibri" w:hAnsi="Calibri"/>
          <w:b w:val="0"/>
          <w:i w:val="0"/>
          <w:color w:val="233044"/>
          <w:sz w:val="22"/>
        </w:rPr>
        <w:t>Authorization headers, callback codes, database connection strings or provider secrets in logs.</w:t>
      </w:r>
    </w:p>
    <w:p>
      <w:pPr>
        <w:keepLines w:val="0"/>
        <w:numPr>
          <w:ilvl w:val="0"/>
          <w:numId w:val="51"/>
        </w:numPr>
        <w:spacing w:before="0" w:after="80" w:line="300" w:lineRule="auto"/>
      </w:pPr>
      <w:r>
        <w:rPr>
          <w:rFonts w:ascii="Calibri" w:hAnsi="Calibri"/>
          <w:b w:val="0"/>
          <w:i w:val="0"/>
          <w:color w:val="233044"/>
          <w:sz w:val="22"/>
        </w:rPr>
        <w:t>Prompts, model responses, Exchange email content, SharePoint or OneDrive file content, Teams messages, Microsoft 365 Copilot content, secret values, caller IP addresses or arbitrary provider response bodies.</w:t>
      </w:r>
    </w:p>
    <w:p>
      <w:pPr>
        <w:keepLines w:val="0"/>
        <w:numPr>
          <w:ilvl w:val="0"/>
          <w:numId w:val="51"/>
        </w:numPr>
        <w:spacing w:before="0" w:after="80" w:line="300" w:lineRule="auto"/>
      </w:pPr>
      <w:r>
        <w:rPr>
          <w:rFonts w:ascii="Calibri" w:hAnsi="Calibri"/>
          <w:b w:val="0"/>
          <w:i w:val="0"/>
          <w:color w:val="233044"/>
          <w:sz w:val="22"/>
        </w:rPr>
        <w:t>Raw source archives or general-purpose copies of BEEAH repositories. Eligible source files are processed transiently for the selected immutable revision and are not retained as repository snapshots.</w:t>
      </w:r>
    </w:p>
    <w:p>
      <w:pPr>
        <w:spacing w:before="100" w:after="200" w:line="283" w:lineRule="auto"/>
        <w:ind w:left="202" w:right="115"/>
        <w:shd w:fill="EAF6F3"/>
        <w:pBdr>
          <w:left w:val="single" w:sz="22" w:space="8" w:color="2D7F78"/>
        </w:pBdr>
      </w:pPr>
      <w:r>
        <w:rPr>
          <w:rFonts w:ascii="Calibri" w:hAnsi="Calibri"/>
          <w:b/>
          <w:i w:val="0"/>
          <w:color w:val="2D7F78"/>
          <w:sz w:val="18"/>
        </w:rPr>
        <w:t xml:space="preserve">CUSTOMER CONTROL  </w:t>
      </w:r>
      <w:r>
        <w:rPr>
          <w:rFonts w:ascii="Calibri" w:hAnsi="Calibri"/>
          <w:b w:val="0"/>
          <w:i w:val="0"/>
          <w:color w:val="233044"/>
          <w:sz w:val="21"/>
        </w:rPr>
        <w:t>BEEAH can revoke Azure access by removing Reader assignments, revoke Entra consent independently, and stop Azure Repos access by removing the Denali service principal from the Azure DevOps organization or selected project groups. Deleting a Denali connection does not silently remove BEEAH-side assignments, so offboarding includes both sides.</w:t>
      </w:r>
    </w:p>
    <w:p>
      <w:pPr>
        <w:pStyle w:val="Heading2"/>
        <w:keepNext/>
        <w:pageBreakBefore w:val="0"/>
      </w:pPr>
      <w:r>
        <w:rPr>
          <w:rFonts w:ascii="Calibri" w:hAnsi="Calibri"/>
          <w:b/>
          <w:i w:val="0"/>
          <w:color w:val="2E74B5"/>
          <w:sz w:val="26"/>
        </w:rPr>
        <w:t>Items Denali must disclose before consent</w:t>
      </w:r>
    </w:p>
    <w:p>
      <w:pPr>
        <w:keepLines w:val="0"/>
        <w:numPr>
          <w:ilvl w:val="0"/>
          <w:numId w:val="51"/>
        </w:numPr>
        <w:spacing w:before="0" w:after="80" w:line="300" w:lineRule="auto"/>
      </w:pPr>
      <w:r>
        <w:rPr>
          <w:rFonts w:ascii="Calibri" w:hAnsi="Calibri"/>
          <w:b w:val="0"/>
          <w:i w:val="0"/>
          <w:color w:val="233044"/>
          <w:sz w:val="22"/>
        </w:rPr>
        <w:t>Final Azure, Entra and Azure Repos application names and client IDs, verified publisher or owner identity, callback URLs, Azure setup-script version and hash, Microsoft Graph permissions, Azure DevOps vso.code permission and source collection limits.</w:t>
      </w:r>
    </w:p>
    <w:p>
      <w:pPr>
        <w:keepLines w:val="0"/>
        <w:numPr>
          <w:ilvl w:val="0"/>
          <w:numId w:val="51"/>
        </w:numPr>
        <w:spacing w:before="0" w:after="80" w:line="300" w:lineRule="auto"/>
      </w:pPr>
      <w:r>
        <w:rPr>
          <w:rFonts w:ascii="Calibri" w:hAnsi="Calibri"/>
          <w:b w:val="0"/>
          <w:i w:val="0"/>
          <w:color w:val="233044"/>
          <w:sz w:val="22"/>
        </w:rPr>
        <w:t>If vulnerability evidence is included, the accepted Syft and Grype formats, 16 MiB per-report limit, private encrypted staging controls, terminal deletion behavior and the absence of automated Azure Pipelines submission.</w:t>
      </w:r>
    </w:p>
    <w:p>
      <w:pPr>
        <w:keepLines w:val="0"/>
        <w:numPr>
          <w:ilvl w:val="0"/>
          <w:numId w:val="51"/>
        </w:numPr>
        <w:spacing w:before="0" w:after="80" w:line="300" w:lineRule="auto"/>
      </w:pPr>
      <w:r>
        <w:rPr>
          <w:rFonts w:ascii="Calibri" w:hAnsi="Calibri"/>
          <w:b w:val="0"/>
          <w:i w:val="0"/>
          <w:color w:val="233044"/>
          <w:sz w:val="22"/>
        </w:rPr>
        <w:t>Hosting region, data residency, retention period, deletion process, subprocessors and incident contacts applicable to the POC.</w:t>
      </w:r>
    </w:p>
    <w:p>
      <w:pPr>
        <w:keepLines w:val="0"/>
        <w:numPr>
          <w:ilvl w:val="0"/>
          <w:numId w:val="51"/>
        </w:numPr>
        <w:spacing w:before="0" w:after="80" w:line="300" w:lineRule="auto"/>
      </w:pPr>
      <w:r>
        <w:rPr>
          <w:rFonts w:ascii="Calibri" w:hAnsi="Calibri"/>
          <w:b w:val="0"/>
          <w:i w:val="0"/>
          <w:color w:val="233044"/>
          <w:sz w:val="22"/>
        </w:rPr>
        <w:t>The exact test window, participating Denali operators and a rollback contact.</w:t>
      </w:r>
    </w:p>
    <w:p>
      <w:pPr>
        <w:pStyle w:val="Heading1"/>
        <w:keepNext/>
        <w:pageBreakBefore w:val="0"/>
      </w:pPr>
      <w:r>
        <w:rPr>
          <w:rFonts w:ascii="Calibri" w:hAnsi="Calibri"/>
          <w:b/>
          <w:i w:val="0"/>
          <w:color w:val="2E74B5"/>
          <w:sz w:val="32"/>
        </w:rPr>
        <w:t>4 BEEAH roles and permissions</w:t>
      </w:r>
    </w:p>
    <w:p>
      <w:pPr>
        <w:pStyle w:val="Heading2"/>
        <w:keepNext/>
        <w:pageBreakBefore w:val="0"/>
      </w:pPr>
      <w:r>
        <w:rPr>
          <w:rFonts w:ascii="Calibri" w:hAnsi="Calibri"/>
          <w:b/>
          <w:i w:val="0"/>
          <w:color w:val="2E74B5"/>
          <w:sz w:val="26"/>
        </w:rPr>
        <w:t>Azure subscription onboarding</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50"/>
        <w:gridCol w:w="2700"/>
        <w:gridCol w:w="4310"/>
      </w:tblGrid>
      <w:tr>
        <w:trPr>
          <w:tblHeader/>
          <w:cantSplit/>
        </w:trPr>
        <w:tc>
          <w:tcPr>
            <w:tcW w:type="dxa" w:w="235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Participant</w:t>
            </w:r>
          </w:p>
        </w:tc>
        <w:tc>
          <w:tcPr>
            <w:tcW w:type="dxa" w:w="27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Required authority</w:t>
            </w:r>
          </w:p>
        </w:tc>
        <w:tc>
          <w:tcPr>
            <w:tcW w:type="dxa" w:w="431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Purpose and boundary</w:t>
            </w:r>
          </w:p>
        </w:tc>
      </w:tr>
      <w:tr>
        <w:trPr>
          <w:cantSplit/>
        </w:trPr>
        <w:tc>
          <w:tcPr>
            <w:tcW w:type="dxa" w:w="235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BEEAH tenant administrator</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Global Administrator or Cloud Application Administrator</w:t>
            </w:r>
          </w:p>
        </w:tc>
        <w:tc>
          <w:tcPr>
            <w:tcW w:type="dxa" w:w="431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Creates or confirms the Denali Azure service principal in the BEEAH tenant. The Azure application requests no Microsoft Graph API permissions, and this step grants no subscription access.</w:t>
            </w:r>
          </w:p>
        </w:tc>
      </w:tr>
      <w:tr>
        <w:trPr>
          <w:cantSplit/>
        </w:trPr>
        <w:tc>
          <w:tcPr>
            <w:tcW w:type="dxa" w:w="235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BEEAH Azure operator</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Owner or User Access Administrator on each selected subscription</w:t>
            </w:r>
          </w:p>
        </w:tc>
        <w:tc>
          <w:tcPr>
            <w:tcW w:type="dxa" w:w="431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Runs the reviewable Cloud Shell setup and assigns the built-in Reader role at only the selected subscription scopes.</w:t>
            </w:r>
          </w:p>
        </w:tc>
      </w:tr>
      <w:tr>
        <w:trPr>
          <w:cantSplit/>
        </w:trPr>
        <w:tc>
          <w:tcPr>
            <w:tcW w:type="dxa" w:w="235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Denali enterprise application</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built-in Reader</w:t>
            </w:r>
          </w:p>
        </w:tc>
        <w:tc>
          <w:tcPr>
            <w:tcW w:type="dxa" w:w="431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Reads Azure control-plane inventory and validation entrypoints. No write/remediation role and no workload data-plane role.</w:t>
            </w:r>
          </w:p>
        </w:tc>
      </w:tr>
    </w:tbl>
    <w:p>
      <w:pPr>
        <w:spacing w:after="40"/>
      </w:pPr>
    </w:p>
    <w:p>
      <w:pPr>
        <w:keepLines w:val="0"/>
        <w:spacing w:before="0" w:after="120" w:line="300" w:lineRule="auto"/>
      </w:pPr>
      <w:r>
        <w:rPr>
          <w:rFonts w:ascii="Calibri" w:hAnsi="Calibri"/>
          <w:b w:val="0"/>
          <w:i w:val="0"/>
          <w:color w:val="233044"/>
          <w:sz w:val="22"/>
        </w:rPr>
        <w:t>The connection-specific Cloud Shell script is reviewable before execution and delivered through a short-lived private URL. It creates or confirms the Denali service principal, asks the operator to select subscriptions, assigns the built-in Reader role only at those scopes, and returns a one-time completion code. This Azure setup has no browser consent callback and does not give Denali the operator's Azure credentials.</w:t>
      </w:r>
    </w:p>
    <w:p>
      <w:pPr>
        <w:pStyle w:val="Heading2"/>
        <w:keepNext/>
        <w:pageBreakBefore w:val="0"/>
      </w:pPr>
      <w:r>
        <w:rPr>
          <w:rFonts w:ascii="Calibri" w:hAnsi="Calibri"/>
          <w:b/>
          <w:i w:val="0"/>
          <w:color w:val="2E74B5"/>
          <w:sz w:val="26"/>
        </w:rPr>
        <w:t>Separate Microsoft Entra discovery consent</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500"/>
        <w:gridCol w:w="5460"/>
        <w:gridCol w:w="1400"/>
      </w:tblGrid>
      <w:tr>
        <w:trPr>
          <w:tblHeader/>
          <w:cantSplit/>
        </w:trPr>
        <w:tc>
          <w:tcPr>
            <w:tcW w:type="dxa" w:w="25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Microsoft Graph application permission</w:t>
            </w:r>
          </w:p>
        </w:tc>
        <w:tc>
          <w:tcPr>
            <w:tcW w:type="dxa" w:w="54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Why requested</w:t>
            </w:r>
          </w:p>
        </w:tc>
        <w:tc>
          <w:tcPr>
            <w:tcW w:type="dxa" w:w="14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Write access</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Directory.Read.All</w:t>
            </w:r>
          </w:p>
        </w:tc>
        <w:tc>
          <w:tcPr>
            <w:tcW w:type="dxa" w:w="54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Read enterprise applications/service principals, delegated grants and application-role assignments needed for AI application discovery.</w:t>
            </w:r>
          </w:p>
        </w:tc>
        <w:tc>
          <w:tcPr>
            <w:tcW w:type="dxa" w:w="14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None</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AuditLog.Read.All</w:t>
            </w:r>
          </w:p>
        </w:tc>
        <w:tc>
          <w:tcPr>
            <w:tcW w:type="dxa" w:w="54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Read sign-in and directory-audit metadata for matched applications; availability remains subject to BEEAH licensing and retention.</w:t>
            </w:r>
          </w:p>
        </w:tc>
        <w:tc>
          <w:tcPr>
            <w:tcW w:type="dxa" w:w="14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None</w:t>
            </w:r>
          </w:p>
        </w:tc>
      </w:tr>
    </w:tbl>
    <w:p>
      <w:pPr>
        <w:spacing w:after="40"/>
      </w:pPr>
    </w:p>
    <w:p>
      <w:pPr>
        <w:spacing w:before="100" w:after="200" w:line="283" w:lineRule="auto"/>
        <w:ind w:left="202" w:right="115"/>
        <w:shd w:fill="E8EEF5"/>
        <w:pBdr>
          <w:left w:val="single" w:sz="22" w:space="8" w:color="2E74B5"/>
        </w:pBdr>
      </w:pPr>
      <w:r>
        <w:rPr>
          <w:rFonts w:ascii="Calibri" w:hAnsi="Calibri"/>
          <w:b/>
          <w:i w:val="0"/>
          <w:color w:val="2E74B5"/>
          <w:sz w:val="18"/>
        </w:rPr>
        <w:t xml:space="preserve">EVIDENCE BOUNDARY  </w:t>
      </w:r>
      <w:r>
        <w:rPr>
          <w:rFonts w:ascii="Calibri" w:hAnsi="Calibri"/>
          <w:b w:val="0"/>
          <w:i w:val="0"/>
          <w:color w:val="233044"/>
          <w:sz w:val="21"/>
        </w:rPr>
        <w:t>A catalog match means “review this application.” It does not by itself prove that the application is unauthorized, unsafe, used by BEEAH or processing company data.</w:t>
      </w:r>
    </w:p>
    <w:p>
      <w:pPr>
        <w:pStyle w:val="Heading2"/>
        <w:keepNext/>
        <w:pageBreakBefore w:val="0"/>
      </w:pPr>
      <w:r>
        <w:rPr>
          <w:rFonts w:ascii="Calibri" w:hAnsi="Calibri"/>
          <w:b/>
          <w:i w:val="0"/>
          <w:color w:val="2E74B5"/>
          <w:sz w:val="26"/>
        </w:rPr>
        <w:t>Azure Repos</w:t>
      </w:r>
    </w:p>
    <w:p>
      <w:pPr>
        <w:keepLines w:val="0"/>
        <w:spacing w:before="0" w:after="120" w:line="300" w:lineRule="auto"/>
      </w:pPr>
      <w:r>
        <w:rPr>
          <w:rFonts w:ascii="Calibri" w:hAnsi="Calibri"/>
          <w:b w:val="0"/>
          <w:i w:val="0"/>
          <w:color w:val="233044"/>
          <w:sz w:val="22"/>
        </w:rPr>
        <w:t>Azure Repos is onboarded separately from Azure subscriptions and Microsoft Entra application discovery. A one-time delegated sign-in proves that an authorized user can enumerate the recorded Azure DevOps organization and select exact repositories. Denali discards that delegated token after setup; steady-state validation and collection use Denali's service principal with the read-only vso.code permission.</w:t>
      </w:r>
    </w:p>
    <w:p>
      <w:pPr>
        <w:keepLines w:val="0"/>
        <w:numPr>
          <w:ilvl w:val="0"/>
          <w:numId w:val="51"/>
        </w:numPr>
        <w:spacing w:before="0" w:after="80" w:line="300" w:lineRule="auto"/>
      </w:pPr>
      <w:r>
        <w:rPr>
          <w:rFonts w:ascii="Calibri" w:hAnsi="Calibri"/>
          <w:b w:val="0"/>
          <w:i w:val="0"/>
          <w:color w:val="233044"/>
          <w:sz w:val="22"/>
        </w:rPr>
        <w:t>A BEEAH tenant administrator reviews the Azure DevOps permission and grants consent when BEEAH policy requires administrator approval.</w:t>
      </w:r>
    </w:p>
    <w:p>
      <w:pPr>
        <w:keepLines w:val="0"/>
        <w:numPr>
          <w:ilvl w:val="0"/>
          <w:numId w:val="51"/>
        </w:numPr>
        <w:spacing w:before="0" w:after="80" w:line="300" w:lineRule="auto"/>
      </w:pPr>
      <w:r>
        <w:rPr>
          <w:rFonts w:ascii="Calibri" w:hAnsi="Calibri"/>
          <w:b w:val="0"/>
          <w:i w:val="0"/>
          <w:color w:val="233044"/>
          <w:sz w:val="22"/>
        </w:rPr>
        <w:t>A BEEAH Azure DevOps organization owner adds Denali's service principal with Basic access and Reader membership only for the approved projects or repositories.</w:t>
      </w:r>
    </w:p>
    <w:p>
      <w:pPr>
        <w:keepLines w:val="0"/>
        <w:numPr>
          <w:ilvl w:val="0"/>
          <w:numId w:val="51"/>
        </w:numPr>
        <w:spacing w:before="0" w:after="80" w:line="300" w:lineRule="auto"/>
      </w:pPr>
      <w:r>
        <w:rPr>
          <w:rFonts w:ascii="Calibri" w:hAnsi="Calibri"/>
          <w:b w:val="0"/>
          <w:i w:val="0"/>
          <w:color w:val="233044"/>
          <w:sz w:val="22"/>
        </w:rPr>
        <w:t>An authorized Azure DevOps user completes the one-time sign-in and selects a subset of repositories visible to both that user and Denali's service principal.</w:t>
      </w:r>
    </w:p>
    <w:p>
      <w:pPr>
        <w:keepLines w:val="0"/>
        <w:numPr>
          <w:ilvl w:val="0"/>
          <w:numId w:val="51"/>
        </w:numPr>
        <w:spacing w:before="0" w:after="80" w:line="300" w:lineRule="auto"/>
      </w:pPr>
      <w:r>
        <w:rPr>
          <w:rFonts w:ascii="Calibri" w:hAnsi="Calibri"/>
          <w:b w:val="0"/>
          <w:i w:val="0"/>
          <w:color w:val="233044"/>
          <w:sz w:val="22"/>
        </w:rPr>
        <w:t>Denali resolves each default branch to an immutable commit and processes at most 20,000 tree entries, 2,000 eligible files, 2 MB per file and 25 MB in total per repository. Repository contents are neither executed nor persisted.</w:t>
      </w:r>
    </w:p>
    <w:p>
      <w:pPr>
        <w:pStyle w:val="Heading2"/>
        <w:keepNext/>
        <w:pageBreakBefore w:val="0"/>
      </w:pPr>
      <w:r>
        <w:rPr>
          <w:rFonts w:ascii="Calibri" w:hAnsi="Calibri"/>
          <w:b/>
          <w:i w:val="0"/>
          <w:color w:val="2E74B5"/>
          <w:sz w:val="26"/>
        </w:rPr>
        <w:t>Vulnerability evidence from CI</w:t>
      </w:r>
    </w:p>
    <w:p>
      <w:pPr>
        <w:keepLines w:val="0"/>
        <w:spacing w:before="0" w:after="120" w:line="300" w:lineRule="auto"/>
      </w:pPr>
      <w:r>
        <w:rPr>
          <w:rFonts w:ascii="Calibri" w:hAnsi="Calibri"/>
          <w:b w:val="0"/>
          <w:i w:val="0"/>
          <w:color w:val="233044"/>
          <w:sz w:val="22"/>
        </w:rPr>
        <w:t>Vulnerability evidence does not require an Azure Repos connection or a personal access token. Azure Pipelines or another CI system may generate native Syft and Grype JSON for the deployed artifact. A Denali organization admin then selects the independently observed workload and submits the matching report pair through the authenticated hosted application.</w:t>
      </w:r>
    </w:p>
    <w:p>
      <w:pPr>
        <w:keepLines w:val="0"/>
        <w:numPr>
          <w:ilvl w:val="0"/>
          <w:numId w:val="51"/>
        </w:numPr>
        <w:spacing w:before="0" w:after="80" w:line="300" w:lineRule="auto"/>
      </w:pPr>
      <w:r>
        <w:rPr>
          <w:rFonts w:ascii="Calibri" w:hAnsi="Calibri"/>
          <w:b w:val="0"/>
          <w:i w:val="0"/>
          <w:color w:val="233044"/>
          <w:sz w:val="22"/>
        </w:rPr>
        <w:t>Each report is limited to 16 MiB and is staged in private encrypted object storage. A durable worker validates and normalizes the pair, then deletes the raw report objects after terminal success or failure.</w:t>
      </w:r>
    </w:p>
    <w:p>
      <w:pPr>
        <w:keepLines w:val="0"/>
        <w:numPr>
          <w:ilvl w:val="0"/>
          <w:numId w:val="51"/>
        </w:numPr>
        <w:spacing w:before="0" w:after="80" w:line="300" w:lineRule="auto"/>
      </w:pPr>
      <w:r>
        <w:rPr>
          <w:rFonts w:ascii="Calibri" w:hAnsi="Calibri"/>
          <w:b w:val="0"/>
          <w:i w:val="0"/>
          <w:color w:val="233044"/>
          <w:sz w:val="22"/>
        </w:rPr>
        <w:t>The Syft report may add exact component occurrences and containment relationships, but it cannot create or replace the cloud-observed workload. Vulnerabilities reach code-to-cloud views only when the Grype scan subject exactly matches the artifact observed on that workload.</w:t>
      </w:r>
    </w:p>
    <w:p>
      <w:pPr>
        <w:keepLines w:val="0"/>
        <w:numPr>
          <w:ilvl w:val="0"/>
          <w:numId w:val="51"/>
        </w:numPr>
        <w:spacing w:before="0" w:after="80" w:line="300" w:lineRule="auto"/>
      </w:pPr>
      <w:r>
        <w:rPr>
          <w:rFonts w:ascii="Calibri" w:hAnsi="Calibri"/>
          <w:b w:val="0"/>
          <w:i w:val="0"/>
          <w:color w:val="233044"/>
          <w:sz w:val="22"/>
        </w:rPr>
        <w:t>A complete authoritative report may support a scoped zero-result statement. A partial report, failed job or artifact mismatch remains incomplete and cannot be presented as zero vulnerabilities.</w:t>
      </w:r>
    </w:p>
    <w:p>
      <w:pPr>
        <w:keepLines w:val="0"/>
        <w:numPr>
          <w:ilvl w:val="0"/>
          <w:numId w:val="51"/>
        </w:numPr>
        <w:spacing w:before="0" w:after="80" w:line="300" w:lineRule="auto"/>
      </w:pPr>
      <w:r>
        <w:rPr>
          <w:rFonts w:ascii="Calibri" w:hAnsi="Calibri"/>
          <w:b w:val="0"/>
          <w:i w:val="0"/>
          <w:color w:val="233044"/>
          <w:sz w:val="22"/>
        </w:rPr>
        <w:t>GitHub OIDC submission is available only to GitHub Actions workflows on repositories selected through a healthy GitHub connection. It does not currently extend to Azure DevOps or Azure Pipelines; those pipelines use the organization-admin import path.</w:t>
      </w:r>
    </w:p>
    <w:p>
      <w:pPr>
        <w:pStyle w:val="Heading1"/>
        <w:keepNext/>
        <w:pageBreakBefore w:val="0"/>
      </w:pPr>
      <w:r>
        <w:rPr>
          <w:rFonts w:ascii="Calibri" w:hAnsi="Calibri"/>
          <w:b/>
          <w:i w:val="0"/>
          <w:color w:val="2E74B5"/>
          <w:sz w:val="32"/>
        </w:rPr>
        <w:t>5 Onboarding workflow</w:t>
      </w:r>
    </w:p>
    <w:p>
      <w:pPr>
        <w:pStyle w:val="Heading2"/>
        <w:keepNext/>
        <w:pageBreakBefore w:val="0"/>
      </w:pPr>
      <w:r>
        <w:rPr>
          <w:rFonts w:ascii="Calibri" w:hAnsi="Calibri"/>
          <w:b/>
          <w:i w:val="0"/>
          <w:color w:val="2E74B5"/>
          <w:sz w:val="26"/>
        </w:rPr>
        <w:t>A Denali preparation before inviting BEEAH</w:t>
      </w:r>
    </w:p>
    <w:p>
      <w:pPr>
        <w:keepLines w:val="0"/>
        <w:numPr>
          <w:ilvl w:val="0"/>
          <w:numId w:val="52"/>
        </w:numPr>
        <w:spacing w:before="0" w:after="120" w:line="300" w:lineRule="auto"/>
      </w:pPr>
      <w:r>
        <w:rPr>
          <w:rFonts w:ascii="Calibri" w:hAnsi="Calibri"/>
          <w:b w:val="0"/>
          <w:i w:val="0"/>
          <w:color w:val="233044"/>
          <w:sz w:val="22"/>
        </w:rPr>
        <w:t>Create the dedicated BEEAH organization in the production identity system, invite the initial organization administrator and confirm the admin and member test roles.</w:t>
      </w:r>
    </w:p>
    <w:p>
      <w:pPr>
        <w:keepLines w:val="0"/>
        <w:numPr>
          <w:ilvl w:val="0"/>
          <w:numId w:val="52"/>
        </w:numPr>
        <w:spacing w:before="0" w:after="120" w:line="300" w:lineRule="auto"/>
      </w:pPr>
      <w:r>
        <w:rPr>
          <w:rFonts w:ascii="Calibri" w:hAnsi="Calibri"/>
          <w:b w:val="0"/>
          <w:i w:val="0"/>
          <w:color w:val="233044"/>
          <w:sz w:val="22"/>
        </w:rPr>
        <w:t>Provide the Azure, Entra and Azure Repos application identity pack with application names, client IDs, verified owner or publisher, callback URLs, Azure setup-script hash, Graph permissions, Azure DevOps vso.code permission and source collection limits.</w:t>
      </w:r>
    </w:p>
    <w:p>
      <w:pPr>
        <w:keepLines w:val="0"/>
        <w:numPr>
          <w:ilvl w:val="0"/>
          <w:numId w:val="52"/>
        </w:numPr>
        <w:spacing w:before="0" w:after="120" w:line="300" w:lineRule="auto"/>
      </w:pPr>
      <w:r>
        <w:rPr>
          <w:rFonts w:ascii="Calibri" w:hAnsi="Calibri"/>
          <w:b w:val="0"/>
          <w:i w:val="0"/>
          <w:color w:val="233044"/>
          <w:sz w:val="22"/>
        </w:rPr>
        <w:t>Record the current production release and confirm that Azure, Entra and Azure Repos validation and collection remain healthy against non-empty reference environments before the customer session.</w:t>
      </w:r>
    </w:p>
    <w:p>
      <w:pPr>
        <w:keepLines w:val="0"/>
        <w:numPr>
          <w:ilvl w:val="0"/>
          <w:numId w:val="52"/>
        </w:numPr>
        <w:spacing w:before="0" w:after="120" w:line="300" w:lineRule="auto"/>
      </w:pPr>
      <w:r>
        <w:rPr>
          <w:rFonts w:ascii="Calibri" w:hAnsi="Calibri"/>
          <w:b w:val="0"/>
          <w:i w:val="0"/>
          <w:color w:val="233044"/>
          <w:sz w:val="22"/>
        </w:rPr>
        <w:t>If scanner evidence is in scope, provide the native report requirements, size limit, artifact-matching rule, retention behavior and the manual Azure Pipelines boundary.</w:t>
      </w:r>
    </w:p>
    <w:p>
      <w:pPr>
        <w:keepLines w:val="0"/>
        <w:numPr>
          <w:ilvl w:val="0"/>
          <w:numId w:val="52"/>
        </w:numPr>
        <w:spacing w:before="0" w:after="120" w:line="300" w:lineRule="auto"/>
      </w:pPr>
      <w:r>
        <w:rPr>
          <w:rFonts w:ascii="Calibri" w:hAnsi="Calibri"/>
          <w:b w:val="0"/>
          <w:i w:val="0"/>
          <w:color w:val="233044"/>
          <w:sz w:val="22"/>
        </w:rPr>
        <w:t>Provide the POC data-residency, retention, deletion and incident-response statement.</w:t>
      </w:r>
    </w:p>
    <w:p>
      <w:pPr>
        <w:keepLines w:val="0"/>
        <w:numPr>
          <w:ilvl w:val="0"/>
          <w:numId w:val="52"/>
        </w:numPr>
        <w:spacing w:before="0" w:after="120" w:line="300" w:lineRule="auto"/>
      </w:pPr>
      <w:r>
        <w:rPr>
          <w:rFonts w:ascii="Calibri" w:hAnsi="Calibri"/>
          <w:b w:val="0"/>
          <w:i w:val="0"/>
          <w:color w:val="233044"/>
          <w:sz w:val="22"/>
        </w:rPr>
        <w:t>Confirm the exact Azure DevOps organization, projects and repositories included in phase 1. Microsoft 365 workload and Copilot telemetry remain excluded unless a separate scope is accepted.</w:t>
      </w:r>
    </w:p>
    <w:p>
      <w:pPr>
        <w:pStyle w:val="Heading2"/>
        <w:keepNext/>
        <w:pageBreakBefore w:val="0"/>
      </w:pPr>
      <w:r>
        <w:rPr>
          <w:rFonts w:ascii="Calibri" w:hAnsi="Calibri"/>
          <w:b/>
          <w:i w:val="0"/>
          <w:color w:val="2E74B5"/>
          <w:sz w:val="26"/>
        </w:rPr>
        <w:t>B BEEAH preparation</w:t>
      </w:r>
    </w:p>
    <w:p>
      <w:pPr>
        <w:keepLines w:val="0"/>
        <w:numPr>
          <w:ilvl w:val="0"/>
          <w:numId w:val="52"/>
        </w:numPr>
        <w:spacing w:before="0" w:after="120" w:line="300" w:lineRule="auto"/>
      </w:pPr>
      <w:r>
        <w:rPr>
          <w:rFonts w:ascii="Calibri" w:hAnsi="Calibri"/>
          <w:b w:val="0"/>
          <w:i w:val="0"/>
          <w:color w:val="233044"/>
          <w:sz w:val="22"/>
        </w:rPr>
        <w:t>Confirm the BEEAH Entra tenant ID, list only the sandbox subscriptions proposed for the POC, and identify the Azure DevOps organization, projects and repositories proposed for source onboarding.</w:t>
      </w:r>
    </w:p>
    <w:p>
      <w:pPr>
        <w:keepLines w:val="0"/>
        <w:numPr>
          <w:ilvl w:val="0"/>
          <w:numId w:val="52"/>
        </w:numPr>
        <w:spacing w:before="0" w:after="120" w:line="300" w:lineRule="auto"/>
      </w:pPr>
      <w:r>
        <w:rPr>
          <w:rFonts w:ascii="Calibri" w:hAnsi="Calibri"/>
          <w:b w:val="0"/>
          <w:i w:val="0"/>
          <w:color w:val="233044"/>
          <w:sz w:val="22"/>
        </w:rPr>
        <w:t>Nominate a Global Administrator for Entra consent; a Global Administrator or Cloud Application Administrator for Azure service-principal creation; an Owner or User Access Administrator for each selected subscription; an Azure DevOps organization owner or project administrator; an authorized Azure DevOps user; Denali admin and member test users; and a rollback contact.</w:t>
      </w:r>
    </w:p>
    <w:p>
      <w:pPr>
        <w:keepLines w:val="0"/>
        <w:numPr>
          <w:ilvl w:val="0"/>
          <w:numId w:val="52"/>
        </w:numPr>
        <w:spacing w:before="0" w:after="120" w:line="300" w:lineRule="auto"/>
      </w:pPr>
      <w:r>
        <w:rPr>
          <w:rFonts w:ascii="Calibri" w:hAnsi="Calibri"/>
          <w:b w:val="0"/>
          <w:i w:val="0"/>
          <w:color w:val="233044"/>
          <w:sz w:val="22"/>
        </w:rPr>
        <w:t>Review the application identity pack, Graph permissions, Azure Reader boundary, Azure DevOps vso.code permission and exact repository boundary. Record excluded subscriptions, resource groups, services, projects and repositories.</w:t>
      </w:r>
    </w:p>
    <w:p>
      <w:pPr>
        <w:keepLines w:val="0"/>
        <w:numPr>
          <w:ilvl w:val="0"/>
          <w:numId w:val="52"/>
        </w:numPr>
        <w:spacing w:before="0" w:after="120" w:line="300" w:lineRule="auto"/>
      </w:pPr>
      <w:r>
        <w:rPr>
          <w:rFonts w:ascii="Calibri" w:hAnsi="Calibri"/>
          <w:b w:val="0"/>
          <w:i w:val="0"/>
          <w:color w:val="233044"/>
          <w:sz w:val="22"/>
        </w:rPr>
        <w:t>Confirm that the Azure DevOps organization is connected to the BEEAH Entra tenant and provide the organization, project and repository identifiers through the agreed channel. Do not provide a credential or personal access token.</w:t>
      </w:r>
    </w:p>
    <w:p>
      <w:pPr>
        <w:keepLines w:val="0"/>
        <w:numPr>
          <w:ilvl w:val="0"/>
          <w:numId w:val="52"/>
        </w:numPr>
        <w:spacing w:before="0" w:after="120" w:line="300" w:lineRule="auto"/>
      </w:pPr>
      <w:r>
        <w:rPr>
          <w:rFonts w:ascii="Calibri" w:hAnsi="Calibri"/>
          <w:b w:val="0"/>
          <w:i w:val="0"/>
          <w:color w:val="233044"/>
          <w:sz w:val="22"/>
        </w:rPr>
        <w:t>If scanner evidence is in scope, identify the CI job that will generate native Syft and Grype JSON for the exact deployed artifact and nominate the Denali organization admin who will submit the pair.</w:t>
      </w:r>
    </w:p>
    <w:p>
      <w:pPr>
        <w:keepLines w:val="0"/>
        <w:numPr>
          <w:ilvl w:val="0"/>
          <w:numId w:val="52"/>
        </w:numPr>
        <w:spacing w:before="0" w:after="120" w:line="300" w:lineRule="auto"/>
      </w:pPr>
      <w:r>
        <w:rPr>
          <w:rFonts w:ascii="Calibri" w:hAnsi="Calibri"/>
          <w:b w:val="0"/>
          <w:i w:val="0"/>
          <w:color w:val="233044"/>
          <w:sz w:val="22"/>
        </w:rPr>
        <w:t>Agree the POC dates, success criteria, retention and deletion window, and change window.</w:t>
      </w:r>
    </w:p>
    <w:p>
      <w:pPr>
        <w:pStyle w:val="Heading2"/>
        <w:keepNext/>
        <w:pageBreakBefore w:val="0"/>
      </w:pPr>
      <w:r>
        <w:rPr>
          <w:rFonts w:ascii="Calibri" w:hAnsi="Calibri"/>
          <w:b/>
          <w:i w:val="0"/>
          <w:color w:val="2E74B5"/>
          <w:sz w:val="26"/>
        </w:rPr>
        <w:t>C Joint onboarding session</w:t>
      </w:r>
    </w:p>
    <w:p>
      <w:pPr>
        <w:keepLines w:val="0"/>
        <w:numPr>
          <w:ilvl w:val="0"/>
          <w:numId w:val="52"/>
        </w:numPr>
        <w:spacing w:before="0" w:after="120" w:line="300" w:lineRule="auto"/>
      </w:pPr>
      <w:r>
        <w:rPr>
          <w:rFonts w:ascii="Calibri" w:hAnsi="Calibri"/>
          <w:b w:val="0"/>
          <w:i w:val="0"/>
          <w:color w:val="233044"/>
          <w:sz w:val="22"/>
        </w:rPr>
        <w:t>BEEAH signs in at https://denali.transilience.cloud and confirms the active BEEAH organization before any connection is created.</w:t>
      </w:r>
    </w:p>
    <w:p>
      <w:pPr>
        <w:keepLines w:val="0"/>
        <w:numPr>
          <w:ilvl w:val="0"/>
          <w:numId w:val="52"/>
        </w:numPr>
        <w:spacing w:before="0" w:after="120" w:line="300" w:lineRule="auto"/>
      </w:pPr>
      <w:r>
        <w:rPr>
          <w:rFonts w:ascii="Calibri" w:hAnsi="Calibri"/>
          <w:b w:val="0"/>
          <w:i w:val="0"/>
          <w:color w:val="233044"/>
          <w:sz w:val="22"/>
        </w:rPr>
        <w:t>A BEEAH organization administrator creates the Azure connection for the exact BEEAH tenant.</w:t>
      </w:r>
    </w:p>
    <w:p>
      <w:pPr>
        <w:keepLines w:val="0"/>
        <w:numPr>
          <w:ilvl w:val="0"/>
          <w:numId w:val="52"/>
        </w:numPr>
        <w:spacing w:before="0" w:after="120" w:line="300" w:lineRule="auto"/>
      </w:pPr>
      <w:r>
        <w:rPr>
          <w:rFonts w:ascii="Calibri" w:hAnsi="Calibri"/>
          <w:b w:val="0"/>
          <w:i w:val="0"/>
          <w:color w:val="233044"/>
          <w:sz w:val="22"/>
        </w:rPr>
        <w:t>The BEEAH tenant administrator reviews and runs the Azure Cloud Shell setup to create or confirm the Denali service principal. The Azure subscription operator selects the approved subscriptions and assigns Reader. This Azure step requests no Microsoft Graph consent.</w:t>
      </w:r>
    </w:p>
    <w:p>
      <w:pPr>
        <w:keepLines w:val="0"/>
        <w:numPr>
          <w:ilvl w:val="0"/>
          <w:numId w:val="52"/>
        </w:numPr>
        <w:spacing w:before="0" w:after="120" w:line="300" w:lineRule="auto"/>
      </w:pPr>
      <w:r>
        <w:rPr>
          <w:rFonts w:ascii="Calibri" w:hAnsi="Calibri"/>
          <w:b w:val="0"/>
          <w:i w:val="0"/>
          <w:color w:val="233044"/>
          <w:sz w:val="22"/>
        </w:rPr>
        <w:t>The operator returns the one-time completion code to Denali. Denali validates the tenant, subscription binding and every declared Azure plane, then collects Azure evidence.</w:t>
      </w:r>
    </w:p>
    <w:p>
      <w:pPr>
        <w:keepLines w:val="0"/>
        <w:numPr>
          <w:ilvl w:val="0"/>
          <w:numId w:val="52"/>
        </w:numPr>
        <w:spacing w:before="0" w:after="120" w:line="300" w:lineRule="auto"/>
      </w:pPr>
      <w:r>
        <w:rPr>
          <w:rFonts w:ascii="Calibri" w:hAnsi="Calibri"/>
          <w:b w:val="0"/>
          <w:i w:val="0"/>
          <w:color w:val="233044"/>
          <w:sz w:val="22"/>
        </w:rPr>
        <w:t>In a separate Entra connection, a BEEAH Global Administrator reviews and grants Directory.Read.All and AuditLog.Read.All. Denali validates each Graph plane and then collects application and audit metadata. Licensing or retention limits remain visible.</w:t>
      </w:r>
    </w:p>
    <w:p>
      <w:pPr>
        <w:keepLines w:val="0"/>
        <w:numPr>
          <w:ilvl w:val="0"/>
          <w:numId w:val="52"/>
        </w:numPr>
        <w:spacing w:before="0" w:after="120" w:line="300" w:lineRule="auto"/>
      </w:pPr>
      <w:r>
        <w:rPr>
          <w:rFonts w:ascii="Calibri" w:hAnsi="Calibri"/>
          <w:b w:val="0"/>
          <w:i w:val="0"/>
          <w:color w:val="233044"/>
          <w:sz w:val="22"/>
        </w:rPr>
        <w:t>A BEEAH organization administrator creates a separate Azure Repos connection using the BEEAH Entra tenant ID and Azure DevOps organization name.</w:t>
      </w:r>
    </w:p>
    <w:p>
      <w:pPr>
        <w:keepLines w:val="0"/>
        <w:numPr>
          <w:ilvl w:val="0"/>
          <w:numId w:val="52"/>
        </w:numPr>
        <w:spacing w:before="0" w:after="120" w:line="300" w:lineRule="auto"/>
      </w:pPr>
      <w:r>
        <w:rPr>
          <w:rFonts w:ascii="Calibri" w:hAnsi="Calibri"/>
          <w:b w:val="0"/>
          <w:i w:val="0"/>
          <w:color w:val="233044"/>
          <w:sz w:val="22"/>
        </w:rPr>
        <w:t>An authorized Azure DevOps user completes the one-time Microsoft sign-in and selects only the approved repositories. The delegated access token is discarded after setup.</w:t>
      </w:r>
    </w:p>
    <w:p>
      <w:pPr>
        <w:keepLines w:val="0"/>
        <w:numPr>
          <w:ilvl w:val="0"/>
          <w:numId w:val="52"/>
        </w:numPr>
        <w:spacing w:before="0" w:after="120" w:line="300" w:lineRule="auto"/>
      </w:pPr>
      <w:r>
        <w:rPr>
          <w:rFonts w:ascii="Calibri" w:hAnsi="Calibri"/>
          <w:b w:val="0"/>
          <w:i w:val="0"/>
          <w:color w:val="233044"/>
          <w:sz w:val="22"/>
        </w:rPr>
        <w:t>The Azure DevOps organization owner adds Denali's service principal with Basic access and Reader membership for the approved projects or repositories. Denali independently validates the immutable repository identities and then collects source evidence.</w:t>
      </w:r>
    </w:p>
    <w:p>
      <w:pPr>
        <w:keepLines w:val="0"/>
        <w:numPr>
          <w:ilvl w:val="0"/>
          <w:numId w:val="52"/>
        </w:numPr>
        <w:spacing w:before="0" w:after="120" w:line="300" w:lineRule="auto"/>
      </w:pPr>
      <w:r>
        <w:rPr>
          <w:rFonts w:ascii="Calibri" w:hAnsi="Calibri"/>
          <w:b w:val="0"/>
          <w:i w:val="0"/>
          <w:color w:val="233044"/>
          <w:sz w:val="22"/>
        </w:rPr>
        <w:t>If scanner evidence is included, Denali first collects the target workload from Azure. A BEEAH organization admin then selects that workload and submits the matching Syft and Grype reports. Denali processes the durable job and displays normalized vulnerability evidence and scan coverage.</w:t>
      </w:r>
    </w:p>
    <w:p>
      <w:pPr>
        <w:keepLines w:val="0"/>
        <w:numPr>
          <w:ilvl w:val="0"/>
          <w:numId w:val="52"/>
        </w:numPr>
        <w:spacing w:before="0" w:after="120" w:line="300" w:lineRule="auto"/>
      </w:pPr>
      <w:r>
        <w:rPr>
          <w:rFonts w:ascii="Calibri" w:hAnsi="Calibri"/>
          <w:b w:val="0"/>
          <w:i w:val="0"/>
          <w:color w:val="233044"/>
          <w:sz w:val="22"/>
        </w:rPr>
        <w:t>The parties review the results, confirm tenant isolation and role behavior, and record any partial, failed, not_supported or unknown coverage state without treating missing evidence as a safe result. Licensing or retention constraints appear as detail on the applicable partial or failed result rather than as a separate coverage state.</w:t>
      </w:r>
    </w:p>
    <w:p>
      <w:pPr>
        <w:pStyle w:val="Heading1"/>
        <w:keepNext/>
        <w:pageBreakBefore w:val="0"/>
      </w:pPr>
      <w:r>
        <w:rPr>
          <w:rFonts w:ascii="Calibri" w:hAnsi="Calibri"/>
          <w:b/>
          <w:i w:val="0"/>
          <w:color w:val="2E74B5"/>
          <w:sz w:val="32"/>
        </w:rPr>
        <w:t>6 POC acceptance criteria</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The authenticated context shows the BEEAH organization and a BEEAH-specific internal tenant; no other customer data is visible.</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An organization member can read but receives a denial for connection and governance mutations; an organization admin can perform approved mutations.</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Azure validation binds to the expected BEEAH tenant and only the selected sandbox subscriptions.</w:t>
      </w:r>
    </w:p>
    <w:p>
      <w:pPr>
        <w:keepLines w:val="0"/>
        <w:spacing w:before="0" w:after="100" w:line="300" w:lineRule="auto"/>
        <w:ind w:left="29"/>
      </w:pPr>
      <w:r>
        <w:rPr>
          <w:rFonts w:ascii="Calibri" w:hAnsi="Calibri"/>
          <w:b w:val="0"/>
          <w:i w:val="0"/>
          <w:color w:val="233044"/>
          <w:sz w:val="22"/>
        </w:rPr>
        <w:t>☐  Every Azure, Entra and Azure Repos plane displays one of the implementation's coverage states: complete, partial, failed, not_supported or unknown. Licensing and retention constraints appear as result detail.</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 sample of observed Azure resources can be traced to provider identifiers and collection evidence without exposing secrets or payload content.</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Entra catalog matches are presented for governance review and are not labelled unauthorized solely because they matched the catalog.</w:t>
      </w:r>
    </w:p>
    <w:p>
      <w:pPr>
        <w:keepLines w:val="0"/>
        <w:spacing w:before="0" w:after="100" w:line="300" w:lineRule="auto"/>
        <w:ind w:left="29"/>
      </w:pPr>
      <w:r>
        <w:rPr>
          <w:rFonts w:ascii="Calibri" w:hAnsi="Calibri"/>
          <w:b w:val="0"/>
          <w:i w:val="0"/>
          <w:color w:val="233044"/>
          <w:sz w:val="22"/>
        </w:rPr>
        <w:t>☐  Each selected Azure Repos repository is rebound by immutable project and repository UUID, its default branch resolves to a commit, and resulting source or code-to-cloud evidence names that revision without retaining a raw repository copy.</w:t>
      </w:r>
    </w:p>
    <w:p>
      <w:pPr>
        <w:keepLines w:val="0"/>
        <w:spacing w:before="0" w:after="100" w:line="300" w:lineRule="auto"/>
        <w:ind w:left="29"/>
      </w:pPr>
      <w:r>
        <w:rPr>
          <w:rFonts w:ascii="Calibri" w:hAnsi="Calibri"/>
          <w:b w:val="0"/>
          <w:i w:val="0"/>
          <w:color w:val="233044"/>
          <w:sz w:val="22"/>
        </w:rPr>
        <w:t>☐  If vulnerability evidence is included, the submitted Syft and Grype reports match each other and the artifact independently observed on the selected workload. Raw reports are deleted after processing, and incomplete evidence is not displayed as a zero-vulnerability result.</w:t>
      </w:r>
    </w:p>
    <w:p>
      <w:pPr>
        <w:keepLines w:val="0"/>
        <w:spacing w:before="0" w:after="100" w:line="300" w:lineRule="auto"/>
        <w:ind w:left="29"/>
      </w:pPr>
      <w:r>
        <w:rPr>
          <w:rFonts w:ascii="Calibri" w:hAnsi="Calibri"/>
          <w:b w:val="0"/>
          <w:i w:val="0"/>
          <w:color w:val="233044"/>
          <w:sz w:val="22"/>
        </w:rPr>
        <w:t>☐  Disable and delete behavior is demonstrated, and BEEAH-side Azure, Entra and Azure DevOps revocation steps are confirmed.</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Operational logs reviewed for the POC contain structured tenant/connection/job identifiers but no tokens, secrets, callback codes or raw provider payloads.</w:t>
      </w:r>
    </w:p>
    <w:p>
      <w:pPr>
        <w:keepLines w:val="0"/>
        <w:spacing w:before="0" w:after="100" w:line="300" w:lineRule="auto"/>
        <w:ind w:left="29"/>
      </w:pPr>
      <w:r>
        <w:rPr>
          <w:rFonts w:ascii="Calibri" w:hAnsi="Calibri"/>
          <w:b w:val="0"/>
          <w:i w:val="0"/>
          <w:color w:val="233044"/>
          <w:sz w:val="22"/>
        </w:rPr>
        <w:t>☐  Azure Repos is limited to the accepted organization, projects and repositories; Microsoft 365 workload and Copilot telemetry remain explicitly excluded.</w:t>
      </w:r>
    </w:p>
    <w:p>
      <w:pPr>
        <w:pStyle w:val="Heading1"/>
        <w:keepNext/>
        <w:pageBreakBefore w:val="0"/>
      </w:pPr>
      <w:r>
        <w:rPr>
          <w:rFonts w:ascii="Calibri" w:hAnsi="Calibri"/>
          <w:b/>
          <w:i w:val="0"/>
          <w:color w:val="2E74B5"/>
          <w:sz w:val="32"/>
        </w:rPr>
        <w:t>7 Offboarding and rollback</w:t>
      </w:r>
    </w:p>
    <w:p>
      <w:pPr>
        <w:keepLines w:val="0"/>
        <w:numPr>
          <w:ilvl w:val="0"/>
          <w:numId w:val="53"/>
        </w:numPr>
        <w:spacing w:before="0" w:after="120" w:line="300" w:lineRule="auto"/>
      </w:pPr>
      <w:r>
        <w:rPr>
          <w:rFonts w:ascii="Calibri" w:hAnsi="Calibri"/>
          <w:b w:val="0"/>
          <w:i w:val="0"/>
          <w:color w:val="233044"/>
          <w:sz w:val="22"/>
        </w:rPr>
        <w:t>Disable the BEEAH connections in Denali and stop any further collection.</w:t>
      </w:r>
    </w:p>
    <w:p>
      <w:pPr>
        <w:keepLines w:val="0"/>
        <w:numPr>
          <w:ilvl w:val="0"/>
          <w:numId w:val="53"/>
        </w:numPr>
        <w:spacing w:before="0" w:after="120" w:line="300" w:lineRule="auto"/>
      </w:pPr>
      <w:r>
        <w:rPr>
          <w:rFonts w:ascii="Calibri" w:hAnsi="Calibri"/>
          <w:b w:val="0"/>
          <w:i w:val="0"/>
          <w:color w:val="233044"/>
          <w:sz w:val="22"/>
        </w:rPr>
        <w:t>Export or retain only the evidence agreed in the POC closeout; apply the agreed retention/deletion period.</w:t>
      </w:r>
    </w:p>
    <w:p>
      <w:pPr>
        <w:keepLines w:val="0"/>
        <w:numPr>
          <w:ilvl w:val="0"/>
          <w:numId w:val="53"/>
        </w:numPr>
        <w:spacing w:before="0" w:after="120" w:line="300" w:lineRule="auto"/>
      </w:pPr>
      <w:r>
        <w:rPr>
          <w:rFonts w:ascii="Calibri" w:hAnsi="Calibri"/>
          <w:b w:val="0"/>
          <w:i w:val="0"/>
          <w:color w:val="233044"/>
          <w:sz w:val="22"/>
        </w:rPr>
        <w:t>Delete the Denali connection configuration after confirmation. Previously collected evidence is handled according to the agreed retention decision.</w:t>
      </w:r>
    </w:p>
    <w:p>
      <w:pPr>
        <w:keepLines w:val="0"/>
        <w:numPr>
          <w:ilvl w:val="0"/>
          <w:numId w:val="53"/>
        </w:numPr>
        <w:spacing w:before="0" w:after="120" w:line="300" w:lineRule="auto"/>
      </w:pPr>
      <w:r>
        <w:rPr>
          <w:rFonts w:ascii="Calibri" w:hAnsi="Calibri"/>
          <w:b w:val="0"/>
          <w:i w:val="0"/>
          <w:color w:val="233044"/>
          <w:sz w:val="22"/>
        </w:rPr>
        <w:t>BEEAH removes Azure Reader role assignments from every selected subscription and revokes or deletes the relevant enterprise applications or application-role grants.</w:t>
      </w:r>
    </w:p>
    <w:p>
      <w:pPr>
        <w:keepLines w:val="0"/>
        <w:numPr>
          <w:ilvl w:val="0"/>
          <w:numId w:val="53"/>
        </w:numPr>
        <w:spacing w:before="0" w:after="120" w:line="300" w:lineRule="auto"/>
      </w:pPr>
      <w:r>
        <w:rPr>
          <w:rFonts w:ascii="Calibri" w:hAnsi="Calibri"/>
          <w:b w:val="0"/>
          <w:i w:val="0"/>
          <w:color w:val="233044"/>
          <w:sz w:val="22"/>
        </w:rPr>
        <w:t>BEEAH removes Denali's service principal from the selected Azure DevOps project groups or organization and revokes the Azure DevOps delegated consent. Denali deletes any active Azure Repos connection configuration according to the agreed retention decision.</w:t>
      </w:r>
    </w:p>
    <w:p>
      <w:pPr>
        <w:keepLines w:val="0"/>
        <w:numPr>
          <w:ilvl w:val="0"/>
          <w:numId w:val="53"/>
        </w:numPr>
        <w:spacing w:before="0" w:after="120" w:line="300" w:lineRule="auto"/>
      </w:pPr>
      <w:r>
        <w:rPr>
          <w:rFonts w:ascii="Calibri" w:hAnsi="Calibri"/>
          <w:b w:val="0"/>
          <w:i w:val="0"/>
          <w:color w:val="233044"/>
          <w:sz w:val="22"/>
        </w:rPr>
        <w:t>Both parties verify that validation and collection no longer succeed and record the closeout date and owners.</w:t>
      </w:r>
    </w:p>
    <w:p>
      <w:pPr>
        <w:pStyle w:val="Heading1"/>
        <w:keepNext/>
        <w:pageBreakBefore w:val="0"/>
      </w:pPr>
      <w:r>
        <w:rPr>
          <w:rFonts w:ascii="Calibri" w:hAnsi="Calibri"/>
          <w:b/>
          <w:i w:val="0"/>
          <w:color w:val="2E74B5"/>
          <w:sz w:val="32"/>
        </w:rPr>
        <w:t>8 Information requested from BEEAH</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000"/>
        <w:gridCol w:w="6360"/>
      </w:tblGrid>
      <w:tr>
        <w:trPr>
          <w:tblHeader/>
          <w:cantSplit/>
        </w:trPr>
        <w:tc>
          <w:tcPr>
            <w:tcW w:type="dxa" w:w="30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Item</w:t>
            </w:r>
          </w:p>
        </w:tc>
        <w:tc>
          <w:tcPr>
            <w:tcW w:type="dxa" w:w="63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BEEAH response</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Entra tenant ID</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provided through the agreed secure channel</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Sandbox subscription IDs and names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 production subscriptions are excluded by default</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Excluded subscriptions/resource groups/services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DevOps organization/project/repository identifiers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Required when Azure Repos is included: exact organization, project and repository identifiers; no PAT or credential</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Named admin, member, Entra consent, Azure operator, Azure DevOps owner or project administrator, authorized Azure DevOps user and rollback contacts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POC start/end dates and change window</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Data residency, retention and deletion requirements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 before consent</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Customer success criteria</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agreed at kickoff</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365 workload requirements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Confirm whether Entra application discovery meets the POC objective. Exchange, SharePoint, Teams and Copilot workload telemetry are outside the current connector scope.</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Vulnerability evidence option</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Confirm phase 1, phase 2 or out of scope; identify the independently observed workload, the CI job that generates matching native Syft and Grype reports, and the Denali admin who will submit them</w:t>
            </w:r>
          </w:p>
        </w:tc>
      </w:tr>
    </w:tbl>
    <w:p>
      <w:pPr>
        <w:spacing w:after="40"/>
      </w:pPr>
    </w:p>
    <w:p>
      <w:pPr>
        <w:spacing w:before="100" w:after="200" w:line="283" w:lineRule="auto"/>
        <w:ind w:left="202" w:right="115"/>
        <w:shd w:fill="EAF6F3"/>
        <w:pBdr>
          <w:left w:val="single" w:sz="22" w:space="8" w:color="2D7F78"/>
        </w:pBdr>
      </w:pPr>
      <w:r>
        <w:rPr>
          <w:rFonts w:ascii="Calibri" w:hAnsi="Calibri"/>
          <w:b/>
          <w:i w:val="0"/>
          <w:color w:val="2D7F78"/>
          <w:sz w:val="18"/>
        </w:rPr>
        <w:t xml:space="preserve">SECURE EXCHANGE  </w:t>
      </w:r>
      <w:r>
        <w:rPr>
          <w:rFonts w:ascii="Calibri" w:hAnsi="Calibri"/>
          <w:b w:val="0"/>
          <w:i w:val="0"/>
          <w:color w:val="233044"/>
          <w:sz w:val="21"/>
        </w:rPr>
        <w:t>Tenant, subscription, Azure DevOps organization, project and repository identifiers are configuration data, not credentials, but they should still be shared through the agreed BEEAH–Transilience channel. Secrets, tokens and private keys must never be sent by email or entered into Denali.</w:t>
      </w:r>
    </w:p>
    <w:p>
      <w:pPr>
        <w:pStyle w:val="Heading1"/>
        <w:keepNext/>
        <w:pageBreakBefore w:val="0"/>
      </w:pPr>
      <w:r>
        <w:rPr>
          <w:rFonts w:ascii="Calibri" w:hAnsi="Calibri"/>
          <w:b/>
          <w:i w:val="0"/>
          <w:color w:val="2E74B5"/>
          <w:sz w:val="32"/>
        </w:rPr>
        <w:t>9 Approval checklist</w:t>
      </w:r>
    </w:p>
    <w:p>
      <w:pPr>
        <w:keepLines w:val="0"/>
        <w:spacing w:before="0" w:after="100" w:line="300" w:lineRule="auto"/>
        <w:ind w:left="29"/>
      </w:pPr>
      <w:r>
        <w:rPr>
          <w:rFonts w:ascii="Calibri" w:hAnsi="Calibri"/>
          <w:b w:val="0"/>
          <w:i w:val="0"/>
          <w:color w:val="233044"/>
          <w:sz w:val="22"/>
        </w:rPr>
        <w:t>☐  Approve the start of a controlled, time-bounded, read-only Azure, Entra and Azure Repos sandbox POC.</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Approve Azure Reader assignment only on the explicitly selected sandbox subscriptions.</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Approve separate Microsoft Entra application-discovery consent after reviewing Denali's application identity and the two listed Graph application permissions.</w:t>
      </w:r>
    </w:p>
    <w:p>
      <w:pPr>
        <w:keepLines w:val="0"/>
        <w:spacing w:before="0" w:after="100" w:line="300" w:lineRule="auto"/>
        <w:ind w:left="29"/>
      </w:pPr>
      <w:r>
        <w:rPr>
          <w:rFonts w:ascii="Calibri" w:hAnsi="Calibri"/>
          <w:b w:val="0"/>
          <w:i w:val="0"/>
          <w:color w:val="233044"/>
          <w:sz w:val="22"/>
        </w:rPr>
        <w:t>☐  Approve Azure DevOps vso.code access, Basic access for Denali's service principal and Reader membership only for the explicitly selected projects or repositories.</w:t>
      </w:r>
    </w:p>
    <w:p>
      <w:pPr>
        <w:keepLines w:val="0"/>
        <w:spacing w:before="0" w:after="100" w:line="300" w:lineRule="auto"/>
        <w:ind w:left="29"/>
      </w:pPr>
      <w:r>
        <w:rPr>
          <w:rFonts w:ascii="Calibri" w:hAnsi="Calibri"/>
          <w:b w:val="0"/>
          <w:i w:val="0"/>
          <w:color w:val="233044"/>
          <w:sz w:val="22"/>
        </w:rPr>
        <w:t>☐  If vulnerability evidence is included, approve organization-admin submission of one matching native Syft and Grype report pair for an independently observed workload, subject to the documented size, retention and artifact-matching controls.</w:t>
      </w:r>
    </w:p>
    <w:p>
      <w:pPr>
        <w:keepLines w:val="0"/>
        <w:spacing w:before="0" w:after="100" w:line="300" w:lineRule="auto"/>
        <w:ind w:left="29"/>
      </w:pPr>
      <w:r>
        <w:rPr>
          <w:rFonts w:ascii="Calibri" w:hAnsi="Calibri"/>
          <w:b w:val="0"/>
          <w:i w:val="0"/>
          <w:color w:val="233044"/>
          <w:sz w:val="22"/>
        </w:rPr>
        <w:t>☐  Confirm that Exchange, SharePoint, OneDrive, Teams and Microsoft 365 Copilot content or telemetry remain outside this POC.</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Confirm data residency, retention and deletion requirements, security contacts, POC dates and success criteria.</w:t>
      </w:r>
    </w:p>
    <w:p>
      <w:pPr>
        <w:spacing w:before="280" w:after="0"/>
        <w:jc w:val="center"/>
      </w:pPr>
      <w:r>
        <w:rPr>
          <w:rFonts w:ascii="Calibri" w:hAnsi="Calibri"/>
          <w:b w:val="0"/>
          <w:i/>
          <w:color w:val="5F6B7A"/>
          <w:sz w:val="18"/>
        </w:rPr>
        <w:t>End of onboarding brief</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b w:val="0"/>
        <w:i w:val="0"/>
        <w:color w:val="5F6B7A"/>
        <w:sz w:val="17"/>
      </w:rPr>
      <w:t xml:space="preserve">BEEAH / Transilience — Confidential  |  Page </w:t>
    </w:r>
    <w:r>
      <w:rPr>
        <w:rFonts w:ascii="Calibri" w:hAnsi="Calibri"/>
        <w:b w:val="0"/>
        <w:i w:val="0"/>
        <w:color w:val="5F6B7A"/>
        <w:sz w:val="17"/>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b w:val="0"/>
        <w:i w:val="0"/>
        <w:color w:val="5F6B7A"/>
        <w:sz w:val="17"/>
      </w:rPr>
      <w:t xml:space="preserve">BEEAH / Transilience — Confidential  |  Page </w:t>
    </w:r>
    <w:r>
      <w:rPr>
        <w:rFonts w:ascii="Calibri" w:hAnsi="Calibri"/>
        <w:b w:val="0"/>
        <w:i w:val="0"/>
        <w:color w:val="5F6B7A"/>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EE6B4D"/>
      </w:pBdr>
    </w:pPr>
    <w:r>
      <w:rPr>
        <w:rFonts w:ascii="Calibri" w:hAnsi="Calibri"/>
        <w:b/>
        <w:i w:val="0"/>
        <w:color w:val="0B2545"/>
        <w:sz w:val="17"/>
      </w:rPr>
      <w:t>DENALI  |  BEEAH POC ONBOARDING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EE6B4D"/>
      </w:pBdr>
    </w:pPr>
    <w:r>
      <w:rPr>
        <w:rFonts w:ascii="Calibri" w:hAnsi="Calibri"/>
        <w:b/>
        <w:i w:val="0"/>
        <w:color w:val="0B2545"/>
        <w:sz w:val="17"/>
      </w:rPr>
      <w:t>DENALI  |  BEEAH POC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270"/>
        </w:tabs>
        <w:ind w:left="540" w:hanging="270"/>
      </w:pPr>
    </w:lvl>
  </w:abstractNum>
  <w:num w:numId="51">
    <w:abstractNumId w:val="41"/>
  </w:num>
  <w:abstractNum w:abstractNumId="42">
    <w:multiLevelType w:val="singleLevel"/>
    <w:lvl w:ilvl="0">
      <w:start w:val="1"/>
      <w:numFmt w:val="decimal"/>
      <w:lvlText w:val="%1."/>
      <w:suff w:val="tab"/>
      <w:pPr>
        <w:tabs>
          <w:tab w:val="num" w:pos="270"/>
        </w:tabs>
        <w:ind w:left="540" w:hanging="270"/>
      </w:pPr>
    </w:lvl>
  </w:abstractNum>
  <w:num w:numId="52">
    <w:abstractNumId w:val="42"/>
  </w:num>
  <w:abstractNum w:abstractNumId="43">
    <w:multiLevelType w:val="singleLevel"/>
    <w:lvl w:ilvl="0">
      <w:start w:val="1"/>
      <w:numFmt w:val="decimal"/>
      <w:lvlText w:val="%1."/>
      <w:suff w:val="tab"/>
      <w:pPr>
        <w:tabs>
          <w:tab w:val="num" w:pos="270"/>
        </w:tabs>
        <w:ind w:left="540" w:hanging="270"/>
      </w:pPr>
    </w:lvl>
  </w:abstractNum>
  <w:num w:numId="5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330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BEEAH Azure Microsoft Entra and Azure Repos onboarding plan</dc:title>
  <dc:subject>Denali proof of concept onboarding plan</dc:subject>
  <dc:creator>Transilience</dc:creator>
  <cp:keywords>Denali, BEEAH, Azure, Microsoft Entra, POC, onboarding</cp:keywords>
  <dc:description>Prepared for BEEAH CISO review; no secret values included.</dc:description>
  <cp:lastModifiedBy/>
  <cp:revision>1</cp:revision>
  <dcterms:created xsi:type="dcterms:W3CDTF">2013-12-23T23:15:00Z</dcterms:created>
  <dcterms:modified xsi:type="dcterms:W3CDTF">2013-12-23T23:15:00Z</dcterms:modified>
  <cp:category/>
  <cp:version>0.4</cp:version>
</cp:coreProperties>
</file>