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after="160"/>
      </w:pPr>
      <w:r>
        <w:rPr>
          <w:rFonts w:ascii="Calibri" w:hAnsi="Calibri"/>
          <w:b/>
          <w:i w:val="0"/>
          <w:color w:val="EE6B4D"/>
          <w:sz w:val="20"/>
        </w:rPr>
        <w:t>CUSTOMER ONBOARDING BRIEF</w:t>
      </w:r>
    </w:p>
    <w:p>
      <w:pPr>
        <w:pStyle w:val="Title"/>
        <w:keepNext/>
        <w:spacing w:before="0" w:after="120"/>
      </w:pPr>
      <w:r>
        <w:rPr>
          <w:rFonts w:ascii="Calibri" w:hAnsi="Calibri"/>
          <w:b/>
          <w:i w:val="0"/>
          <w:color w:val="0B2545"/>
          <w:sz w:val="56"/>
        </w:rPr>
        <w:t>Denali Proof of Concept</w:t>
      </w:r>
    </w:p>
    <w:p>
      <w:pPr>
        <w:spacing w:after="360"/>
      </w:pPr>
      <w:r>
        <w:rPr>
          <w:rFonts w:ascii="Calibri" w:hAnsi="Calibri"/>
          <w:b w:val="0"/>
          <w:i w:val="0"/>
          <w:color w:val="1F4D78"/>
          <w:sz w:val="30"/>
        </w:rPr>
        <w:t>BEEAH Azure and Microsoft Entra onboarding plan</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2820"/>
        <w:gridCol w:w="2600"/>
        <w:gridCol w:w="2200"/>
        <w:gridCol w:w="1740"/>
      </w:tblGrid>
      <w:tr>
        <w:trPr>
          <w:tblHeader/>
          <w:cantSplit/>
        </w:trPr>
        <w:tc>
          <w:tcPr>
            <w:tcW w:type="dxa" w:w="2820"/>
            <w:shd w:fill="0B2545"/>
            <w:vAlign w:val="center"/>
            <w:tcMar>
              <w:top w:w="80" w:type="dxa"/>
              <w:start w:w="120" w:type="dxa"/>
              <w:bottom w:w="80" w:type="dxa"/>
              <w:end w:w="120" w:type="dxa"/>
            </w:tcMar>
          </w:tcPr>
          <w:p>
            <w:pPr>
              <w:spacing w:before="0" w:after="0" w:line="269" w:lineRule="auto"/>
              <w:jc w:val="left"/>
            </w:pPr>
            <w:r>
              <w:rPr>
                <w:rFonts w:ascii="Calibri" w:hAnsi="Calibri"/>
                <w:b/>
                <w:i w:val="0"/>
                <w:color w:val="FFFFFF"/>
                <w:sz w:val="18"/>
              </w:rPr>
              <w:t>Prepared for</w:t>
            </w:r>
          </w:p>
        </w:tc>
        <w:tc>
          <w:tcPr>
            <w:tcW w:type="dxa" w:w="2600"/>
            <w:shd w:fill="0B2545"/>
            <w:vAlign w:val="center"/>
            <w:tcMar>
              <w:top w:w="80" w:type="dxa"/>
              <w:start w:w="120" w:type="dxa"/>
              <w:bottom w:w="80" w:type="dxa"/>
              <w:end w:w="120" w:type="dxa"/>
            </w:tcMar>
          </w:tcPr>
          <w:p>
            <w:pPr>
              <w:spacing w:before="0" w:after="0" w:line="269" w:lineRule="auto"/>
              <w:jc w:val="left"/>
            </w:pPr>
            <w:r>
              <w:rPr>
                <w:rFonts w:ascii="Calibri" w:hAnsi="Calibri"/>
                <w:b/>
                <w:i w:val="0"/>
                <w:color w:val="FFFFFF"/>
                <w:sz w:val="18"/>
              </w:rPr>
              <w:t>Document status</w:t>
            </w:r>
          </w:p>
        </w:tc>
        <w:tc>
          <w:tcPr>
            <w:tcW w:type="dxa" w:w="2200"/>
            <w:shd w:fill="0B2545"/>
            <w:vAlign w:val="center"/>
            <w:tcMar>
              <w:top w:w="80" w:type="dxa"/>
              <w:start w:w="120" w:type="dxa"/>
              <w:bottom w:w="80" w:type="dxa"/>
              <w:end w:w="120" w:type="dxa"/>
            </w:tcMar>
          </w:tcPr>
          <w:p>
            <w:pPr>
              <w:spacing w:before="0" w:after="0" w:line="269" w:lineRule="auto"/>
              <w:jc w:val="left"/>
            </w:pPr>
            <w:r>
              <w:rPr>
                <w:rFonts w:ascii="Calibri" w:hAnsi="Calibri"/>
                <w:b/>
                <w:i w:val="0"/>
                <w:color w:val="FFFFFF"/>
                <w:sz w:val="18"/>
              </w:rPr>
              <w:t>Date</w:t>
            </w:r>
          </w:p>
        </w:tc>
        <w:tc>
          <w:tcPr>
            <w:tcW w:type="dxa" w:w="1740"/>
            <w:shd w:fill="0B2545"/>
            <w:vAlign w:val="center"/>
            <w:tcMar>
              <w:top w:w="80" w:type="dxa"/>
              <w:start w:w="120" w:type="dxa"/>
              <w:bottom w:w="80" w:type="dxa"/>
              <w:end w:w="120" w:type="dxa"/>
            </w:tcMar>
          </w:tcPr>
          <w:p>
            <w:pPr>
              <w:spacing w:before="0" w:after="0" w:line="269" w:lineRule="auto"/>
              <w:jc w:val="left"/>
            </w:pPr>
            <w:r>
              <w:rPr>
                <w:rFonts w:ascii="Calibri" w:hAnsi="Calibri"/>
                <w:b/>
                <w:i w:val="0"/>
                <w:color w:val="FFFFFF"/>
                <w:sz w:val="18"/>
              </w:rPr>
              <w:t>Version</w:t>
            </w:r>
          </w:p>
        </w:tc>
      </w:tr>
      <w:tr>
        <w:trPr>
          <w:cantSplit/>
        </w:trPr>
        <w:tc>
          <w:tcPr>
            <w:tcW w:type="dxa" w:w="2820"/>
            <w:vAlign w:val="center"/>
            <w:tcMar>
              <w:top w:w="80" w:type="dxa"/>
              <w:start w:w="120" w:type="dxa"/>
              <w:bottom w:w="80" w:type="dxa"/>
              <w:end w:w="120" w:type="dxa"/>
            </w:tcMar>
            <w:shd w:fill="F2F4F7"/>
          </w:tcPr>
          <w:p>
            <w:pPr>
              <w:spacing w:before="0" w:after="0" w:line="269" w:lineRule="auto"/>
              <w:jc w:val="left"/>
            </w:pPr>
            <w:r>
              <w:rPr>
                <w:rFonts w:ascii="Calibri" w:hAnsi="Calibri"/>
                <w:b w:val="0"/>
                <w:i w:val="0"/>
                <w:color w:val="233044"/>
                <w:sz w:val="18"/>
              </w:rPr>
              <w:t>BEEAH Chief Information Security Officer</w:t>
            </w:r>
          </w:p>
        </w:tc>
        <w:tc>
          <w:tcPr>
            <w:tcW w:type="dxa" w:w="2600"/>
            <w:vAlign w:val="center"/>
            <w:tcMar>
              <w:top w:w="80" w:type="dxa"/>
              <w:start w:w="120" w:type="dxa"/>
              <w:bottom w:w="80" w:type="dxa"/>
              <w:end w:w="120" w:type="dxa"/>
            </w:tcMar>
            <w:shd w:fill="F2F4F7"/>
          </w:tcPr>
          <w:p>
            <w:pPr>
              <w:spacing w:before="0" w:after="0" w:line="269" w:lineRule="auto"/>
              <w:jc w:val="left"/>
            </w:pPr>
            <w:r>
              <w:rPr>
                <w:rFonts w:ascii="Calibri" w:hAnsi="Calibri"/>
                <w:b w:val="0"/>
                <w:i w:val="0"/>
                <w:color w:val="233044"/>
                <w:sz w:val="18"/>
              </w:rPr>
              <w:t>Ready for controlled onboarding</w:t>
            </w:r>
          </w:p>
        </w:tc>
        <w:tc>
          <w:tcPr>
            <w:tcW w:type="dxa" w:w="2200"/>
            <w:vAlign w:val="center"/>
            <w:tcMar>
              <w:top w:w="80" w:type="dxa"/>
              <w:start w:w="120" w:type="dxa"/>
              <w:bottom w:w="80" w:type="dxa"/>
              <w:end w:w="120" w:type="dxa"/>
            </w:tcMar>
            <w:shd w:fill="F2F4F7"/>
          </w:tcPr>
          <w:p>
            <w:pPr>
              <w:spacing w:before="0" w:after="0" w:line="269" w:lineRule="auto"/>
              <w:jc w:val="left"/>
            </w:pPr>
            <w:r>
              <w:rPr>
                <w:rFonts w:ascii="Calibri" w:hAnsi="Calibri"/>
                <w:b w:val="0"/>
                <w:i w:val="0"/>
                <w:color w:val="233044"/>
                <w:sz w:val="18"/>
              </w:rPr>
              <w:t>9 September 2026</w:t>
            </w:r>
          </w:p>
        </w:tc>
        <w:tc>
          <w:tcPr>
            <w:tcW w:type="dxa" w:w="1740"/>
            <w:vAlign w:val="center"/>
            <w:tcMar>
              <w:top w:w="80" w:type="dxa"/>
              <w:start w:w="120" w:type="dxa"/>
              <w:bottom w:w="80" w:type="dxa"/>
              <w:end w:w="120" w:type="dxa"/>
            </w:tcMar>
            <w:shd w:fill="F2F4F7"/>
          </w:tcPr>
          <w:p>
            <w:pPr>
              <w:spacing w:before="0" w:after="0" w:line="269" w:lineRule="auto"/>
              <w:jc w:val="left"/>
            </w:pPr>
            <w:r>
              <w:rPr>
                <w:rFonts w:ascii="Calibri" w:hAnsi="Calibri"/>
                <w:b w:val="0"/>
                <w:i w:val="0"/>
                <w:color w:val="233044"/>
                <w:sz w:val="18"/>
              </w:rPr>
              <w:t>0.2</w:t>
            </w:r>
          </w:p>
        </w:tc>
      </w:tr>
    </w:tbl>
    <w:p>
      <w:pPr>
        <w:spacing w:after="40"/>
      </w:pPr>
    </w:p>
    <w:p>
      <w:pPr>
        <w:pStyle w:val="Heading1"/>
        <w:keepNext/>
        <w:pageBreakBefore w:val="0"/>
      </w:pPr>
      <w:r>
        <w:rPr>
          <w:rFonts w:ascii="Calibri" w:hAnsi="Calibri"/>
          <w:b/>
          <w:i w:val="0"/>
          <w:color w:val="2E74B5"/>
          <w:sz w:val="32"/>
        </w:rPr>
        <w:t>Executive summary</w:t>
      </w:r>
    </w:p>
    <w:p>
      <w:pPr>
        <w:keepLines w:val="0"/>
        <w:spacing w:before="0" w:after="120" w:line="300" w:lineRule="auto"/>
      </w:pPr>
      <w:r>
        <w:rPr>
          <w:rFonts w:ascii="Calibri" w:hAnsi="Calibri"/>
          <w:b w:val="0"/>
          <w:i w:val="0"/>
          <w:color w:val="233044"/>
          <w:sz w:val="22"/>
        </w:rPr>
        <w:t>Denali is ready to begin a controlled BEEAH proof of concept covering explicitly selected Azure subscriptions and a separate Microsoft Entra application-discovery connection. The production Azure and Entra integrations have passed validation and complete evidence collection with non-empty reference tenants. BEEAH supplies identifiers and grants bounded read access; it does not upload cloud credentials, access tokens, private keys or Azure DevOps personal access tokens.</w:t>
      </w:r>
    </w:p>
    <w:p>
      <w:pPr>
        <w:keepLines w:val="0"/>
        <w:spacing w:before="0" w:after="120" w:line="300" w:lineRule="auto"/>
      </w:pPr>
      <w:r>
        <w:rPr>
          <w:rFonts w:ascii="Calibri" w:hAnsi="Calibri"/>
          <w:b w:val="0"/>
          <w:i w:val="0"/>
          <w:color w:val="233044"/>
          <w:sz w:val="22"/>
        </w:rPr>
        <w:t>The current Microsoft capability covers Entra enterprise applications, service principals, permission grants, sign-ins and application-management audits. It does not collect Exchange mailbox content, SharePoint or OneDrive files, Teams messages, or Microsoft 365 Copilot prompts, responses or usage telemetry. Azure Repos is also outside the current connector scope. These boundaries should be accepted before the onboarding session.</w:t>
      </w:r>
    </w:p>
    <w:p>
      <w:pPr>
        <w:spacing w:before="100" w:after="200" w:line="283" w:lineRule="auto"/>
        <w:ind w:left="202" w:right="115"/>
        <w:shd w:fill="FFF1EC"/>
        <w:pBdr>
          <w:left w:val="single" w:sz="22" w:space="8" w:color="EE6B4D"/>
        </w:pBdr>
      </w:pPr>
      <w:r>
        <w:rPr>
          <w:rFonts w:ascii="Calibri" w:hAnsi="Calibri"/>
          <w:b/>
          <w:i w:val="0"/>
          <w:color w:val="EE6B4D"/>
          <w:sz w:val="18"/>
        </w:rPr>
        <w:t xml:space="preserve">APPROVAL REQUESTED  </w:t>
      </w:r>
      <w:r>
        <w:rPr>
          <w:rFonts w:ascii="Calibri" w:hAnsi="Calibri"/>
          <w:b w:val="0"/>
          <w:i w:val="0"/>
          <w:color w:val="233044"/>
          <w:sz w:val="21"/>
        </w:rPr>
        <w:t>Approve a time-bounded, read-only sandbox POC and authorize the named BEEAH administrators to complete the Azure setup and the separate Entra admin-consent flow after reviewing the application identity pack, selected subscriptions and data-handling terms.</w:t>
      </w:r>
    </w:p>
    <w:p>
      <w:pPr>
        <w:pStyle w:val="Heading2"/>
        <w:keepNext/>
        <w:pageBreakBefore w:val="0"/>
      </w:pPr>
      <w:r>
        <w:rPr>
          <w:rFonts w:ascii="Calibri" w:hAnsi="Calibri"/>
          <w:b/>
          <w:i w:val="0"/>
          <w:color w:val="2E74B5"/>
          <w:sz w:val="26"/>
        </w:rPr>
        <w:t>What BEEAH is not being asked to do</w:t>
      </w:r>
    </w:p>
    <w:p>
      <w:pPr>
        <w:keepLines w:val="0"/>
        <w:numPr>
          <w:ilvl w:val="0"/>
          <w:numId w:val="51"/>
        </w:numPr>
        <w:spacing w:before="0" w:after="80" w:line="300" w:lineRule="auto"/>
      </w:pPr>
      <w:r>
        <w:rPr>
          <w:rFonts w:ascii="Calibri" w:hAnsi="Calibri"/>
          <w:b w:val="0"/>
          <w:i w:val="0"/>
          <w:color w:val="233044"/>
          <w:sz w:val="22"/>
        </w:rPr>
        <w:t>Provide an Azure password, client secret, certificate, refresh token or CLI token.</w:t>
      </w:r>
    </w:p>
    <w:p>
      <w:pPr>
        <w:keepLines w:val="0"/>
        <w:numPr>
          <w:ilvl w:val="0"/>
          <w:numId w:val="51"/>
        </w:numPr>
        <w:spacing w:before="0" w:after="80" w:line="300" w:lineRule="auto"/>
      </w:pPr>
      <w:r>
        <w:rPr>
          <w:rFonts w:ascii="Calibri" w:hAnsi="Calibri"/>
          <w:b w:val="0"/>
          <w:i w:val="0"/>
          <w:color w:val="233044"/>
          <w:sz w:val="22"/>
        </w:rPr>
        <w:t>Create a broad tenant-wide Azure role assignment or include production subscriptions by default.</w:t>
      </w:r>
    </w:p>
    <w:p>
      <w:pPr>
        <w:keepLines w:val="0"/>
        <w:numPr>
          <w:ilvl w:val="0"/>
          <w:numId w:val="51"/>
        </w:numPr>
        <w:spacing w:before="0" w:after="80" w:line="300" w:lineRule="auto"/>
      </w:pPr>
      <w:r>
        <w:rPr>
          <w:rFonts w:ascii="Calibri" w:hAnsi="Calibri"/>
          <w:b w:val="0"/>
          <w:i w:val="0"/>
          <w:color w:val="233044"/>
          <w:sz w:val="22"/>
        </w:rPr>
        <w:t>Provide an Azure DevOps personal access token or authorize source access before the connector scope is agreed.</w:t>
      </w:r>
    </w:p>
    <w:p>
      <w:pPr>
        <w:keepLines w:val="0"/>
        <w:numPr>
          <w:ilvl w:val="0"/>
          <w:numId w:val="51"/>
        </w:numPr>
        <w:spacing w:before="0" w:after="80" w:line="300" w:lineRule="auto"/>
      </w:pPr>
      <w:r>
        <w:rPr>
          <w:rFonts w:ascii="Calibri" w:hAnsi="Calibri"/>
          <w:b w:val="0"/>
          <w:i w:val="0"/>
          <w:color w:val="233044"/>
          <w:sz w:val="22"/>
        </w:rPr>
        <w:t>Authorize access to Exchange mailboxes, SharePoint or OneDrive files, Teams messages, Microsoft 365 Copilot prompts or responses, workload secret values, or other customer content.</w:t>
      </w:r>
    </w:p>
    <w:p/>
    <w:p>
      <w:pPr>
        <w:pStyle w:val="Heading1"/>
        <w:keepNext/>
        <w:pageBreakBefore w:val="0"/>
      </w:pPr>
      <w:r>
        <w:rPr>
          <w:rFonts w:ascii="Calibri" w:hAnsi="Calibri"/>
          <w:b/>
          <w:i w:val="0"/>
          <w:color w:val="2E74B5"/>
          <w:sz w:val="32"/>
        </w:rPr>
        <w:t>1 Proposed POC scope</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1700"/>
        <w:gridCol w:w="3300"/>
        <w:gridCol w:w="4360"/>
      </w:tblGrid>
      <w:tr>
        <w:trPr>
          <w:tblHeader/>
          <w:cantSplit/>
        </w:trPr>
        <w:tc>
          <w:tcPr>
            <w:tcW w:type="dxa" w:w="1700"/>
            <w:shd w:fill="0B2545"/>
            <w:vAlign w:val="center"/>
            <w:tcMar>
              <w:top w:w="80" w:type="dxa"/>
              <w:start w:w="120" w:type="dxa"/>
              <w:bottom w:w="80" w:type="dxa"/>
              <w:end w:w="120" w:type="dxa"/>
            </w:tcMar>
          </w:tcPr>
          <w:p>
            <w:pPr>
              <w:spacing w:before="0" w:after="0" w:line="269" w:lineRule="auto"/>
              <w:jc w:val="left"/>
            </w:pPr>
            <w:r>
              <w:rPr>
                <w:rFonts w:ascii="Calibri" w:hAnsi="Calibri"/>
                <w:b/>
                <w:i w:val="0"/>
                <w:color w:val="FFFFFF"/>
                <w:sz w:val="18"/>
              </w:rPr>
              <w:t>Workstream</w:t>
            </w:r>
          </w:p>
        </w:tc>
        <w:tc>
          <w:tcPr>
            <w:tcW w:type="dxa" w:w="3300"/>
            <w:shd w:fill="0B2545"/>
            <w:vAlign w:val="center"/>
            <w:tcMar>
              <w:top w:w="80" w:type="dxa"/>
              <w:start w:w="120" w:type="dxa"/>
              <w:bottom w:w="80" w:type="dxa"/>
              <w:end w:w="120" w:type="dxa"/>
            </w:tcMar>
          </w:tcPr>
          <w:p>
            <w:pPr>
              <w:spacing w:before="0" w:after="0" w:line="269" w:lineRule="auto"/>
              <w:jc w:val="left"/>
            </w:pPr>
            <w:r>
              <w:rPr>
                <w:rFonts w:ascii="Calibri" w:hAnsi="Calibri"/>
                <w:b/>
                <w:i w:val="0"/>
                <w:color w:val="FFFFFF"/>
                <w:sz w:val="18"/>
              </w:rPr>
              <w:t>Proposed scope</w:t>
            </w:r>
          </w:p>
        </w:tc>
        <w:tc>
          <w:tcPr>
            <w:tcW w:type="dxa" w:w="4360"/>
            <w:shd w:fill="0B2545"/>
            <w:vAlign w:val="center"/>
            <w:tcMar>
              <w:top w:w="80" w:type="dxa"/>
              <w:start w:w="120" w:type="dxa"/>
              <w:bottom w:w="80" w:type="dxa"/>
              <w:end w:w="120" w:type="dxa"/>
            </w:tcMar>
          </w:tcPr>
          <w:p>
            <w:pPr>
              <w:spacing w:before="0" w:after="0" w:line="269" w:lineRule="auto"/>
              <w:jc w:val="left"/>
            </w:pPr>
            <w:r>
              <w:rPr>
                <w:rFonts w:ascii="Calibri" w:hAnsi="Calibri"/>
                <w:b/>
                <w:i w:val="0"/>
                <w:color w:val="FFFFFF"/>
                <w:sz w:val="18"/>
              </w:rPr>
              <w:t>Evidence expected</w:t>
            </w:r>
          </w:p>
        </w:tc>
      </w:tr>
      <w:tr>
        <w:trPr>
          <w:cantSplit/>
        </w:trPr>
        <w:tc>
          <w:tcPr>
            <w:tcW w:type="dxa" w:w="17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Azure cloud</w:t>
            </w:r>
          </w:p>
        </w:tc>
        <w:tc>
          <w:tcPr>
            <w:tcW w:type="dxa" w:w="33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One or more explicitly selected sandbox subscriptions; all Azure locations within those subscriptions.</w:t>
            </w:r>
          </w:p>
        </w:tc>
        <w:tc>
          <w:tcPr>
            <w:tcW w:type="dxa" w:w="436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Azure AI services accounts, AI Search, Machine Learning workspaces, Bot Service, management Activity Log, Container Apps, Function Apps and AKS inventory, with independent coverage for each enabled plane.</w:t>
            </w:r>
          </w:p>
        </w:tc>
      </w:tr>
      <w:tr>
        <w:trPr>
          <w:cantSplit/>
        </w:trPr>
        <w:tc>
          <w:tcPr>
            <w:tcW w:type="dxa" w:w="17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Microsoft Entra application discovery</w:t>
            </w:r>
          </w:p>
        </w:tc>
        <w:tc>
          <w:tcPr>
            <w:tcW w:type="dxa" w:w="33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Separate tenant-wide application-only admin consent for the BEEAH tenant.</w:t>
            </w:r>
          </w:p>
        </w:tc>
        <w:tc>
          <w:tcPr>
            <w:tcW w:type="dxa" w:w="436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Catalog-matched enterprise applications, service principals, delegated grants, application roles, sign-ins and application-management audits. This is identity and audit metadata, not Microsoft 365 workload content or Copilot usage telemetry.</w:t>
            </w:r>
          </w:p>
        </w:tc>
      </w:tr>
      <w:tr>
        <w:trPr>
          <w:cantSplit/>
        </w:trPr>
        <w:tc>
          <w:tcPr>
            <w:tcW w:type="dxa" w:w="17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Azure Repos</w:t>
            </w:r>
          </w:p>
        </w:tc>
        <w:tc>
          <w:tcPr>
            <w:tcW w:type="dxa" w:w="33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Planning only in phase 1; organization/project/repository identifiers may be recorded for scope design.</w:t>
            </w:r>
          </w:p>
        </w:tc>
        <w:tc>
          <w:tcPr>
            <w:tcW w:type="dxa" w:w="436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No source evidence until a dedicated Azure DevOps connector or another explicitly approved, read-only method is delivered and accepted.</w:t>
            </w:r>
          </w:p>
        </w:tc>
      </w:tr>
    </w:tbl>
    <w:p>
      <w:pPr>
        <w:spacing w:after="40"/>
      </w:pPr>
    </w:p>
    <w:p>
      <w:pPr>
        <w:pStyle w:val="Heading2"/>
        <w:keepNext/>
        <w:pageBreakBefore w:val="0"/>
      </w:pPr>
      <w:r>
        <w:rPr>
          <w:rFonts w:ascii="Calibri" w:hAnsi="Calibri"/>
          <w:b/>
          <w:i w:val="0"/>
          <w:color w:val="2E74B5"/>
          <w:sz w:val="26"/>
        </w:rPr>
        <w:t>Out of scope unless separately approved</w:t>
      </w:r>
    </w:p>
    <w:p>
      <w:pPr>
        <w:keepLines w:val="0"/>
        <w:numPr>
          <w:ilvl w:val="0"/>
          <w:numId w:val="51"/>
        </w:numPr>
        <w:spacing w:before="0" w:after="80" w:line="300" w:lineRule="auto"/>
      </w:pPr>
      <w:r>
        <w:rPr>
          <w:rFonts w:ascii="Calibri" w:hAnsi="Calibri"/>
          <w:b w:val="0"/>
          <w:i w:val="0"/>
          <w:color w:val="233044"/>
          <w:sz w:val="22"/>
        </w:rPr>
        <w:t>Production subscriptions, tenants, projects, repositories or resource groups not named in the agreed scope.</w:t>
      </w:r>
    </w:p>
    <w:p>
      <w:pPr>
        <w:keepLines w:val="0"/>
        <w:numPr>
          <w:ilvl w:val="0"/>
          <w:numId w:val="51"/>
        </w:numPr>
        <w:spacing w:before="0" w:after="80" w:line="300" w:lineRule="auto"/>
      </w:pPr>
      <w:r>
        <w:rPr>
          <w:rFonts w:ascii="Calibri" w:hAnsi="Calibri"/>
          <w:b w:val="0"/>
          <w:i w:val="0"/>
          <w:color w:val="233044"/>
          <w:sz w:val="22"/>
        </w:rPr>
        <w:t>Automated remediation, configuration changes, resource deployment or deletion.</w:t>
      </w:r>
    </w:p>
    <w:p>
      <w:pPr>
        <w:keepLines w:val="0"/>
        <w:numPr>
          <w:ilvl w:val="0"/>
          <w:numId w:val="51"/>
        </w:numPr>
        <w:spacing w:before="0" w:after="80" w:line="300" w:lineRule="auto"/>
      </w:pPr>
      <w:r>
        <w:rPr>
          <w:rFonts w:ascii="Calibri" w:hAnsi="Calibri"/>
          <w:b w:val="0"/>
          <w:i w:val="0"/>
          <w:color w:val="233044"/>
          <w:sz w:val="22"/>
        </w:rPr>
        <w:t>Workload data-plane access, prompt/response content, model inputs/outputs, secret values or customer payloads.</w:t>
      </w:r>
    </w:p>
    <w:p>
      <w:pPr>
        <w:keepLines w:val="0"/>
        <w:numPr>
          <w:ilvl w:val="0"/>
          <w:numId w:val="51"/>
        </w:numPr>
        <w:spacing w:before="0" w:after="80" w:line="300" w:lineRule="auto"/>
      </w:pPr>
      <w:r>
        <w:rPr>
          <w:rFonts w:ascii="Calibri" w:hAnsi="Calibri"/>
          <w:b w:val="0"/>
          <w:i w:val="0"/>
          <w:color w:val="233044"/>
          <w:sz w:val="22"/>
        </w:rPr>
        <w:t>General-purpose repository mirroring or retention of arbitrary raw source snapshots.</w:t>
      </w:r>
    </w:p>
    <w:p>
      <w:pPr>
        <w:pStyle w:val="Heading1"/>
        <w:keepNext/>
        <w:pageBreakBefore w:val="0"/>
      </w:pPr>
      <w:r>
        <w:rPr>
          <w:rFonts w:ascii="Calibri" w:hAnsi="Calibri"/>
          <w:b/>
          <w:i w:val="0"/>
          <w:color w:val="2E74B5"/>
          <w:sz w:val="32"/>
        </w:rPr>
        <w:t>2 Pre kickoff readiness</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1900"/>
        <w:gridCol w:w="1500"/>
        <w:gridCol w:w="5960"/>
      </w:tblGrid>
      <w:tr>
        <w:trPr>
          <w:tblHeader/>
          <w:cantSplit/>
        </w:trPr>
        <w:tc>
          <w:tcPr>
            <w:tcW w:type="dxa" w:w="1900"/>
            <w:shd w:fill="0B2545"/>
            <w:vAlign w:val="center"/>
            <w:tcMar>
              <w:top w:w="80" w:type="dxa"/>
              <w:start w:w="120" w:type="dxa"/>
              <w:bottom w:w="80" w:type="dxa"/>
              <w:end w:w="120" w:type="dxa"/>
            </w:tcMar>
          </w:tcPr>
          <w:p>
            <w:pPr>
              <w:spacing w:before="0" w:after="0" w:line="269" w:lineRule="auto"/>
              <w:jc w:val="left"/>
            </w:pPr>
            <w:r>
              <w:rPr>
                <w:rFonts w:ascii="Calibri" w:hAnsi="Calibri"/>
                <w:b/>
                <w:i w:val="0"/>
                <w:color w:val="FFFFFF"/>
                <w:sz w:val="18"/>
              </w:rPr>
              <w:t>Area</w:t>
            </w:r>
          </w:p>
        </w:tc>
        <w:tc>
          <w:tcPr>
            <w:tcW w:type="dxa" w:w="1500"/>
            <w:shd w:fill="0B2545"/>
            <w:vAlign w:val="center"/>
            <w:tcMar>
              <w:top w:w="80" w:type="dxa"/>
              <w:start w:w="120" w:type="dxa"/>
              <w:bottom w:w="80" w:type="dxa"/>
              <w:end w:w="120" w:type="dxa"/>
            </w:tcMar>
          </w:tcPr>
          <w:p>
            <w:pPr>
              <w:spacing w:before="0" w:after="0" w:line="269" w:lineRule="auto"/>
              <w:jc w:val="left"/>
            </w:pPr>
            <w:r>
              <w:rPr>
                <w:rFonts w:ascii="Calibri" w:hAnsi="Calibri"/>
                <w:b/>
                <w:i w:val="0"/>
                <w:color w:val="FFFFFF"/>
                <w:sz w:val="18"/>
              </w:rPr>
              <w:t>Status</w:t>
            </w:r>
          </w:p>
        </w:tc>
        <w:tc>
          <w:tcPr>
            <w:tcW w:type="dxa" w:w="5960"/>
            <w:shd w:fill="0B2545"/>
            <w:vAlign w:val="center"/>
            <w:tcMar>
              <w:top w:w="80" w:type="dxa"/>
              <w:start w:w="120" w:type="dxa"/>
              <w:bottom w:w="80" w:type="dxa"/>
              <w:end w:w="120" w:type="dxa"/>
            </w:tcMar>
          </w:tcPr>
          <w:p>
            <w:pPr>
              <w:spacing w:before="0" w:after="0" w:line="269" w:lineRule="auto"/>
              <w:jc w:val="left"/>
            </w:pPr>
            <w:r>
              <w:rPr>
                <w:rFonts w:ascii="Calibri" w:hAnsi="Calibri"/>
                <w:b/>
                <w:i w:val="0"/>
                <w:color w:val="FFFFFF"/>
                <w:sz w:val="18"/>
              </w:rPr>
              <w:t>Gate before BEEAH action</w:t>
            </w:r>
          </w:p>
        </w:tc>
      </w:tr>
      <w:tr>
        <w:trPr>
          <w:cantSplit/>
        </w:trPr>
        <w:tc>
          <w:tcPr>
            <w:tcW w:type="dxa" w:w="19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Hosted core</w:t>
            </w:r>
          </w:p>
        </w:tc>
        <w:tc>
          <w:tcPr>
            <w:tcW w:type="dxa" w:w="1500"/>
            <w:shd w:fill="EAF5EE"/>
            <w:vAlign w:val="center"/>
            <w:tcMar>
              <w:top w:w="80" w:type="dxa"/>
              <w:start w:w="120" w:type="dxa"/>
              <w:bottom w:w="80" w:type="dxa"/>
              <w:end w:w="120" w:type="dxa"/>
            </w:tcMar>
          </w:tcPr>
          <w:p>
            <w:pPr>
              <w:spacing w:before="0" w:after="0" w:line="269" w:lineRule="auto"/>
              <w:jc w:val="left"/>
            </w:pPr>
            <w:r>
              <w:rPr>
                <w:rFonts w:ascii="Calibri" w:hAnsi="Calibri"/>
                <w:b/>
                <w:i w:val="0"/>
                <w:color w:val="2D7F4E"/>
                <w:sz w:val="18"/>
              </w:rPr>
              <w:t>Ready</w:t>
            </w:r>
          </w:p>
        </w:tc>
        <w:tc>
          <w:tcPr>
            <w:tcW w:type="dxa" w:w="596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Production authentication, organization isolation, admin and member authorization, and non-empty tenant evidence are operational. Create the BEEAH organization and invite the initial BEEAH administrator before provider setup.</w:t>
            </w:r>
          </w:p>
        </w:tc>
      </w:tr>
      <w:tr>
        <w:trPr>
          <w:cantSplit/>
        </w:trPr>
        <w:tc>
          <w:tcPr>
            <w:tcW w:type="dxa" w:w="19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Azure cloud</w:t>
            </w:r>
          </w:p>
        </w:tc>
        <w:tc>
          <w:tcPr>
            <w:tcW w:type="dxa" w:w="1500"/>
            <w:shd w:fill="EAF5EE"/>
            <w:vAlign w:val="center"/>
            <w:tcMar>
              <w:top w:w="80" w:type="dxa"/>
              <w:start w:w="120" w:type="dxa"/>
              <w:bottom w:w="80" w:type="dxa"/>
              <w:end w:w="120" w:type="dxa"/>
            </w:tcMar>
          </w:tcPr>
          <w:p>
            <w:pPr>
              <w:spacing w:before="0" w:after="0" w:line="269" w:lineRule="auto"/>
              <w:jc w:val="left"/>
            </w:pPr>
            <w:r>
              <w:rPr>
                <w:rFonts w:ascii="Calibri" w:hAnsi="Calibri"/>
                <w:b/>
                <w:i w:val="0"/>
                <w:color w:val="2D7F4E"/>
                <w:sz w:val="18"/>
              </w:rPr>
              <w:t>Ready</w:t>
            </w:r>
          </w:p>
        </w:tc>
        <w:tc>
          <w:tcPr>
            <w:tcW w:type="dxa" w:w="596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The production multi-tenant application, private Cloud Shell script, validation and collection paths are operational. BEEAH must review the application identity and select only the approved subscriptions.</w:t>
            </w:r>
          </w:p>
        </w:tc>
      </w:tr>
      <w:tr>
        <w:trPr>
          <w:cantSplit/>
        </w:trPr>
        <w:tc>
          <w:tcPr>
            <w:tcW w:type="dxa" w:w="19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Microsoft Entra</w:t>
            </w:r>
          </w:p>
        </w:tc>
        <w:tc>
          <w:tcPr>
            <w:tcW w:type="dxa" w:w="1500"/>
            <w:shd w:fill="EAF5EE"/>
            <w:vAlign w:val="center"/>
            <w:tcMar>
              <w:top w:w="80" w:type="dxa"/>
              <w:start w:w="120" w:type="dxa"/>
              <w:bottom w:w="80" w:type="dxa"/>
              <w:end w:w="120" w:type="dxa"/>
            </w:tcMar>
          </w:tcPr>
          <w:p>
            <w:pPr>
              <w:spacing w:before="0" w:after="0" w:line="269" w:lineRule="auto"/>
              <w:jc w:val="left"/>
            </w:pPr>
            <w:r>
              <w:rPr>
                <w:rFonts w:ascii="Calibri" w:hAnsi="Calibri"/>
                <w:b/>
                <w:i w:val="0"/>
                <w:color w:val="2D7F4E"/>
                <w:sz w:val="18"/>
              </w:rPr>
              <w:t>Ready</w:t>
            </w:r>
          </w:p>
        </w:tc>
        <w:tc>
          <w:tcPr>
            <w:tcW w:type="dxa" w:w="596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The production admin-consent callback, validation and collection paths are operational. A BEEAH Global Administrator must review Directory.Read.All and AuditLog.Read.All before granting tenant-wide consent.</w:t>
            </w:r>
          </w:p>
        </w:tc>
      </w:tr>
      <w:tr>
        <w:trPr>
          <w:cantSplit/>
        </w:trPr>
        <w:tc>
          <w:tcPr>
            <w:tcW w:type="dxa" w:w="19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Azure Repos</w:t>
            </w:r>
          </w:p>
        </w:tc>
        <w:tc>
          <w:tcPr>
            <w:tcW w:type="dxa" w:w="1500"/>
            <w:shd w:fill="F2F4F7"/>
            <w:vAlign w:val="center"/>
            <w:tcMar>
              <w:top w:w="80" w:type="dxa"/>
              <w:start w:w="120" w:type="dxa"/>
              <w:bottom w:w="80" w:type="dxa"/>
              <w:end w:w="120" w:type="dxa"/>
            </w:tcMar>
          </w:tcPr>
          <w:p>
            <w:pPr>
              <w:spacing w:before="0" w:after="0" w:line="269" w:lineRule="auto"/>
              <w:jc w:val="left"/>
            </w:pPr>
            <w:r>
              <w:rPr>
                <w:rFonts w:ascii="Calibri" w:hAnsi="Calibri"/>
                <w:b/>
                <w:i w:val="0"/>
                <w:color w:val="5F6B7A"/>
                <w:sz w:val="18"/>
              </w:rPr>
              <w:t>Deferred</w:t>
            </w:r>
          </w:p>
        </w:tc>
        <w:tc>
          <w:tcPr>
            <w:tcW w:type="dxa" w:w="596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No Azure DevOps repository connector is enabled. Exclude Azure Repos from phase 1 unless the parties approve and accept a separate read-only connector design.</w:t>
            </w:r>
          </w:p>
        </w:tc>
      </w:tr>
    </w:tbl>
    <w:p>
      <w:pPr>
        <w:spacing w:after="40"/>
      </w:pPr>
    </w:p>
    <w:p>
      <w:pPr>
        <w:spacing w:before="100" w:after="200" w:line="283" w:lineRule="auto"/>
        <w:ind w:left="202" w:right="115"/>
        <w:shd w:fill="E8EEF5"/>
        <w:pBdr>
          <w:left w:val="single" w:sz="22" w:space="8" w:color="2E74B5"/>
        </w:pBdr>
      </w:pPr>
      <w:r>
        <w:rPr>
          <w:rFonts w:ascii="Calibri" w:hAnsi="Calibri"/>
          <w:b/>
          <w:i w:val="0"/>
          <w:color w:val="2E74B5"/>
          <w:sz w:val="18"/>
        </w:rPr>
        <w:t xml:space="preserve">DECISION POINT  </w:t>
      </w:r>
      <w:r>
        <w:rPr>
          <w:rFonts w:ascii="Calibri" w:hAnsi="Calibri"/>
          <w:b w:val="0"/>
          <w:i w:val="0"/>
          <w:color w:val="233044"/>
          <w:sz w:val="21"/>
        </w:rPr>
        <w:t>Proceed with Azure control-plane evidence and Microsoft Entra application discovery in phase 1. Microsoft 365 workload and Copilot telemetry, plus Azure Repos source evidence, require separate scope and connector acceptance.</w:t>
      </w:r>
    </w:p>
    <w:p>
      <w:pPr>
        <w:pStyle w:val="Heading1"/>
        <w:keepNext/>
        <w:pageBreakBefore w:val="0"/>
      </w:pPr>
      <w:r>
        <w:rPr>
          <w:rFonts w:ascii="Calibri" w:hAnsi="Calibri"/>
          <w:b/>
          <w:i w:val="0"/>
          <w:color w:val="2E74B5"/>
          <w:sz w:val="32"/>
        </w:rPr>
        <w:t>3 Security and tenancy model</w:t>
      </w:r>
    </w:p>
    <w:p>
      <w:pPr>
        <w:keepLines w:val="0"/>
        <w:spacing w:before="0" w:after="120" w:line="300" w:lineRule="auto"/>
      </w:pPr>
      <w:r>
        <w:rPr>
          <w:rFonts w:ascii="Calibri" w:hAnsi="Calibri"/>
          <w:b w:val="0"/>
          <w:i w:val="0"/>
          <w:color w:val="233044"/>
          <w:sz w:val="22"/>
        </w:rPr>
        <w:t>BEEAH users access Denali through https://denali.transilience.cloud. The browser calls only same-origin /api endpoints; it does not call the application runtime or database directly. Authentication and the active customer organization are resolved by the API, which maps the organization to a separate internal tenant UUID. Client-supplied tenant selectors are not trusted.</w:t>
      </w:r>
    </w:p>
    <w:p>
      <w:pPr>
        <w:keepLines w:val="0"/>
        <w:spacing w:before="0" w:after="120" w:line="300" w:lineRule="auto"/>
      </w:pPr>
      <w:r>
        <w:rPr>
          <w:rFonts w:ascii="Calibri" w:hAnsi="Calibri"/>
          <w:b w:val="0"/>
          <w:i w:val="0"/>
          <w:color w:val="233044"/>
          <w:sz w:val="22"/>
        </w:rPr>
        <w:t>Within Denali, organization members are read-only. Only organization administrators may create, validate, disable or delete connections and change governance decisions. BEEAH should nominate at least one admin and one member so the POC can verify both roles.</w:t>
      </w:r>
    </w:p>
    <w:p>
      <w:pPr>
        <w:pStyle w:val="Heading2"/>
        <w:keepNext/>
        <w:pageBreakBefore w:val="0"/>
      </w:pPr>
      <w:r>
        <w:rPr>
          <w:rFonts w:ascii="Calibri" w:hAnsi="Calibri"/>
          <w:b/>
          <w:i w:val="0"/>
          <w:color w:val="2E74B5"/>
          <w:sz w:val="26"/>
        </w:rPr>
        <w:t>Data retained for evidence</w:t>
      </w:r>
    </w:p>
    <w:p>
      <w:pPr>
        <w:keepLines w:val="0"/>
        <w:numPr>
          <w:ilvl w:val="0"/>
          <w:numId w:val="51"/>
        </w:numPr>
        <w:spacing w:before="0" w:after="80" w:line="300" w:lineRule="auto"/>
      </w:pPr>
      <w:r>
        <w:rPr>
          <w:rFonts w:ascii="Calibri" w:hAnsi="Calibri"/>
          <w:b w:val="0"/>
          <w:i w:val="0"/>
          <w:color w:val="233044"/>
          <w:sz w:val="22"/>
        </w:rPr>
        <w:t>BEEAH tenant and selected subscription identifiers, names and scopes.</w:t>
      </w:r>
    </w:p>
    <w:p>
      <w:pPr>
        <w:keepLines w:val="0"/>
        <w:numPr>
          <w:ilvl w:val="0"/>
          <w:numId w:val="51"/>
        </w:numPr>
        <w:spacing w:before="0" w:after="80" w:line="300" w:lineRule="auto"/>
      </w:pPr>
      <w:r>
        <w:rPr>
          <w:rFonts w:ascii="Calibri" w:hAnsi="Calibri"/>
          <w:b w:val="0"/>
          <w:i w:val="0"/>
          <w:color w:val="233044"/>
          <w:sz w:val="22"/>
        </w:rPr>
        <w:t>Provider resource identifiers and bounded control-plane metadata required to explain inventory, relationships and coverage.</w:t>
      </w:r>
    </w:p>
    <w:p>
      <w:pPr>
        <w:keepLines w:val="0"/>
        <w:numPr>
          <w:ilvl w:val="0"/>
          <w:numId w:val="51"/>
        </w:numPr>
        <w:spacing w:before="0" w:after="80" w:line="300" w:lineRule="auto"/>
      </w:pPr>
      <w:r>
        <w:rPr>
          <w:rFonts w:ascii="Calibri" w:hAnsi="Calibri"/>
          <w:b w:val="0"/>
          <w:i w:val="0"/>
          <w:color w:val="233044"/>
          <w:sz w:val="22"/>
        </w:rPr>
        <w:t>Hashed one-time setup state, validation results, collection timestamps and explicit complete/partial/failed/unsupported coverage states.</w:t>
      </w:r>
    </w:p>
    <w:p>
      <w:pPr>
        <w:keepLines w:val="0"/>
        <w:numPr>
          <w:ilvl w:val="0"/>
          <w:numId w:val="51"/>
        </w:numPr>
        <w:spacing w:before="0" w:after="80" w:line="300" w:lineRule="auto"/>
      </w:pPr>
      <w:r>
        <w:rPr>
          <w:rFonts w:ascii="Calibri" w:hAnsi="Calibri"/>
          <w:b w:val="0"/>
          <w:i w:val="0"/>
          <w:color w:val="233044"/>
          <w:sz w:val="22"/>
        </w:rPr>
        <w:t>Evidence-linked inventory, activity, findings, detections and issues produced within the agreed boundary.</w:t>
      </w:r>
    </w:p>
    <w:p>
      <w:pPr>
        <w:pStyle w:val="Heading2"/>
        <w:keepNext/>
        <w:pageBreakBefore w:val="0"/>
      </w:pPr>
      <w:r>
        <w:rPr>
          <w:rFonts w:ascii="Calibri" w:hAnsi="Calibri"/>
          <w:b/>
          <w:i w:val="0"/>
          <w:color w:val="2E74B5"/>
          <w:sz w:val="26"/>
        </w:rPr>
        <w:t>Data not retained</w:t>
      </w:r>
    </w:p>
    <w:p>
      <w:pPr>
        <w:keepLines w:val="0"/>
        <w:numPr>
          <w:ilvl w:val="0"/>
          <w:numId w:val="51"/>
        </w:numPr>
        <w:spacing w:before="0" w:after="80" w:line="300" w:lineRule="auto"/>
      </w:pPr>
      <w:r>
        <w:rPr>
          <w:rFonts w:ascii="Calibri" w:hAnsi="Calibri"/>
          <w:b w:val="0"/>
          <w:i w:val="0"/>
          <w:color w:val="233044"/>
          <w:sz w:val="22"/>
        </w:rPr>
        <w:t>Customer passwords, Azure access keys, CLI tokens, service-account JSON, OAuth access tokens, private keys or Azure DevOps PATs.</w:t>
      </w:r>
    </w:p>
    <w:p>
      <w:pPr>
        <w:keepLines w:val="0"/>
        <w:numPr>
          <w:ilvl w:val="0"/>
          <w:numId w:val="51"/>
        </w:numPr>
        <w:spacing w:before="0" w:after="80" w:line="300" w:lineRule="auto"/>
      </w:pPr>
      <w:r>
        <w:rPr>
          <w:rFonts w:ascii="Calibri" w:hAnsi="Calibri"/>
          <w:b w:val="0"/>
          <w:i w:val="0"/>
          <w:color w:val="233044"/>
          <w:sz w:val="22"/>
        </w:rPr>
        <w:t>Authorization headers, callback codes, database connection strings or provider secrets in logs.</w:t>
      </w:r>
    </w:p>
    <w:p>
      <w:pPr>
        <w:keepLines w:val="0"/>
        <w:numPr>
          <w:ilvl w:val="0"/>
          <w:numId w:val="51"/>
        </w:numPr>
        <w:spacing w:before="0" w:after="80" w:line="300" w:lineRule="auto"/>
      </w:pPr>
      <w:r>
        <w:rPr>
          <w:rFonts w:ascii="Calibri" w:hAnsi="Calibri"/>
          <w:b w:val="0"/>
          <w:i w:val="0"/>
          <w:color w:val="233044"/>
          <w:sz w:val="22"/>
        </w:rPr>
        <w:t>Prompts, model responses, Exchange email content, SharePoint or OneDrive file content, Teams messages, Microsoft 365 Copilot content, secret values, caller IP addresses or arbitrary provider response bodies.</w:t>
      </w:r>
    </w:p>
    <w:p>
      <w:pPr>
        <w:keepLines w:val="0"/>
        <w:numPr>
          <w:ilvl w:val="0"/>
          <w:numId w:val="51"/>
        </w:numPr>
        <w:spacing w:before="0" w:after="80" w:line="300" w:lineRule="auto"/>
      </w:pPr>
      <w:r>
        <w:rPr>
          <w:rFonts w:ascii="Calibri" w:hAnsi="Calibri"/>
          <w:b w:val="0"/>
          <w:i w:val="0"/>
          <w:color w:val="233044"/>
          <w:sz w:val="22"/>
        </w:rPr>
        <w:t>Raw source archives or general-purpose copies of BEEAH repositories.</w:t>
      </w:r>
    </w:p>
    <w:p>
      <w:pPr>
        <w:spacing w:before="100" w:after="200" w:line="283" w:lineRule="auto"/>
        <w:ind w:left="202" w:right="115"/>
        <w:shd w:fill="EAF6F3"/>
        <w:pBdr>
          <w:left w:val="single" w:sz="22" w:space="8" w:color="2D7F78"/>
        </w:pBdr>
      </w:pPr>
      <w:r>
        <w:rPr>
          <w:rFonts w:ascii="Calibri" w:hAnsi="Calibri"/>
          <w:b/>
          <w:i w:val="0"/>
          <w:color w:val="2D7F78"/>
          <w:sz w:val="18"/>
        </w:rPr>
        <w:t xml:space="preserve">CUSTOMER CONTROL  </w:t>
      </w:r>
      <w:r>
        <w:rPr>
          <w:rFonts w:ascii="Calibri" w:hAnsi="Calibri"/>
          <w:b w:val="0"/>
          <w:i w:val="0"/>
          <w:color w:val="233044"/>
          <w:sz w:val="21"/>
        </w:rPr>
        <w:t>BEEAH can revoke Azure access by removing the Reader assignments and enterprise application. Entra consent can be revoked independently. Deleting a Denali connection does not silently remove BEEAH-side role assignments, so offboarding includes both sides.</w:t>
      </w:r>
    </w:p>
    <w:p>
      <w:pPr>
        <w:pStyle w:val="Heading2"/>
        <w:keepNext/>
        <w:pageBreakBefore w:val="0"/>
      </w:pPr>
      <w:r>
        <w:rPr>
          <w:rFonts w:ascii="Calibri" w:hAnsi="Calibri"/>
          <w:b/>
          <w:i w:val="0"/>
          <w:color w:val="2E74B5"/>
          <w:sz w:val="26"/>
        </w:rPr>
        <w:t>Items Denali must disclose before consent</w:t>
      </w:r>
    </w:p>
    <w:p>
      <w:pPr>
        <w:keepLines w:val="0"/>
        <w:numPr>
          <w:ilvl w:val="0"/>
          <w:numId w:val="51"/>
        </w:numPr>
        <w:spacing w:before="0" w:after="80" w:line="300" w:lineRule="auto"/>
      </w:pPr>
      <w:r>
        <w:rPr>
          <w:rFonts w:ascii="Calibri" w:hAnsi="Calibri"/>
          <w:b w:val="0"/>
          <w:i w:val="0"/>
          <w:color w:val="233044"/>
          <w:sz w:val="22"/>
        </w:rPr>
        <w:t>Final Azure and Entra application names, client IDs, verified publisher or owner identity, the Entra callback URL, the Azure setup-script version and hash, and the requested permissions.</w:t>
      </w:r>
    </w:p>
    <w:p>
      <w:pPr>
        <w:keepLines w:val="0"/>
        <w:numPr>
          <w:ilvl w:val="0"/>
          <w:numId w:val="51"/>
        </w:numPr>
        <w:spacing w:before="0" w:after="80" w:line="300" w:lineRule="auto"/>
      </w:pPr>
      <w:r>
        <w:rPr>
          <w:rFonts w:ascii="Calibri" w:hAnsi="Calibri"/>
          <w:b w:val="0"/>
          <w:i w:val="0"/>
          <w:color w:val="233044"/>
          <w:sz w:val="22"/>
        </w:rPr>
        <w:t>Hosting region, data residency, retention period, deletion process, subprocessors and incident contacts applicable to the POC.</w:t>
      </w:r>
    </w:p>
    <w:p>
      <w:pPr>
        <w:keepLines w:val="0"/>
        <w:numPr>
          <w:ilvl w:val="0"/>
          <w:numId w:val="51"/>
        </w:numPr>
        <w:spacing w:before="0" w:after="80" w:line="300" w:lineRule="auto"/>
      </w:pPr>
      <w:r>
        <w:rPr>
          <w:rFonts w:ascii="Calibri" w:hAnsi="Calibri"/>
          <w:b w:val="0"/>
          <w:i w:val="0"/>
          <w:color w:val="233044"/>
          <w:sz w:val="22"/>
        </w:rPr>
        <w:t>The exact test window, participating Denali operators and a rollback contact.</w:t>
      </w:r>
    </w:p>
    <w:p>
      <w:pPr>
        <w:pStyle w:val="Heading1"/>
        <w:keepNext/>
        <w:pageBreakBefore w:val="0"/>
      </w:pPr>
      <w:r>
        <w:rPr>
          <w:rFonts w:ascii="Calibri" w:hAnsi="Calibri"/>
          <w:b/>
          <w:i w:val="0"/>
          <w:color w:val="2E74B5"/>
          <w:sz w:val="32"/>
        </w:rPr>
        <w:t>4 BEEAH roles and permissions</w:t>
      </w:r>
    </w:p>
    <w:p>
      <w:pPr>
        <w:pStyle w:val="Heading2"/>
        <w:keepNext/>
        <w:pageBreakBefore w:val="0"/>
      </w:pPr>
      <w:r>
        <w:rPr>
          <w:rFonts w:ascii="Calibri" w:hAnsi="Calibri"/>
          <w:b/>
          <w:i w:val="0"/>
          <w:color w:val="2E74B5"/>
          <w:sz w:val="26"/>
        </w:rPr>
        <w:t>Azure subscription onboarding</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2350"/>
        <w:gridCol w:w="2700"/>
        <w:gridCol w:w="4310"/>
      </w:tblGrid>
      <w:tr>
        <w:trPr>
          <w:tblHeader/>
          <w:cantSplit/>
        </w:trPr>
        <w:tc>
          <w:tcPr>
            <w:tcW w:type="dxa" w:w="2350"/>
            <w:shd w:fill="0B2545"/>
            <w:vAlign w:val="center"/>
            <w:tcMar>
              <w:top w:w="80" w:type="dxa"/>
              <w:start w:w="120" w:type="dxa"/>
              <w:bottom w:w="80" w:type="dxa"/>
              <w:end w:w="120" w:type="dxa"/>
            </w:tcMar>
          </w:tcPr>
          <w:p>
            <w:pPr>
              <w:spacing w:before="0" w:after="0" w:line="269" w:lineRule="auto"/>
              <w:jc w:val="left"/>
            </w:pPr>
            <w:r>
              <w:rPr>
                <w:rFonts w:ascii="Calibri" w:hAnsi="Calibri"/>
                <w:b/>
                <w:i w:val="0"/>
                <w:color w:val="FFFFFF"/>
                <w:sz w:val="18"/>
              </w:rPr>
              <w:t>Participant</w:t>
            </w:r>
          </w:p>
        </w:tc>
        <w:tc>
          <w:tcPr>
            <w:tcW w:type="dxa" w:w="2700"/>
            <w:shd w:fill="0B2545"/>
            <w:vAlign w:val="center"/>
            <w:tcMar>
              <w:top w:w="80" w:type="dxa"/>
              <w:start w:w="120" w:type="dxa"/>
              <w:bottom w:w="80" w:type="dxa"/>
              <w:end w:w="120" w:type="dxa"/>
            </w:tcMar>
          </w:tcPr>
          <w:p>
            <w:pPr>
              <w:spacing w:before="0" w:after="0" w:line="269" w:lineRule="auto"/>
              <w:jc w:val="left"/>
            </w:pPr>
            <w:r>
              <w:rPr>
                <w:rFonts w:ascii="Calibri" w:hAnsi="Calibri"/>
                <w:b/>
                <w:i w:val="0"/>
                <w:color w:val="FFFFFF"/>
                <w:sz w:val="18"/>
              </w:rPr>
              <w:t>Required authority</w:t>
            </w:r>
          </w:p>
        </w:tc>
        <w:tc>
          <w:tcPr>
            <w:tcW w:type="dxa" w:w="4310"/>
            <w:shd w:fill="0B2545"/>
            <w:vAlign w:val="center"/>
            <w:tcMar>
              <w:top w:w="80" w:type="dxa"/>
              <w:start w:w="120" w:type="dxa"/>
              <w:bottom w:w="80" w:type="dxa"/>
              <w:end w:w="120" w:type="dxa"/>
            </w:tcMar>
          </w:tcPr>
          <w:p>
            <w:pPr>
              <w:spacing w:before="0" w:after="0" w:line="269" w:lineRule="auto"/>
              <w:jc w:val="left"/>
            </w:pPr>
            <w:r>
              <w:rPr>
                <w:rFonts w:ascii="Calibri" w:hAnsi="Calibri"/>
                <w:b/>
                <w:i w:val="0"/>
                <w:color w:val="FFFFFF"/>
                <w:sz w:val="18"/>
              </w:rPr>
              <w:t>Purpose and boundary</w:t>
            </w:r>
          </w:p>
        </w:tc>
      </w:tr>
      <w:tr>
        <w:trPr>
          <w:cantSplit/>
        </w:trPr>
        <w:tc>
          <w:tcPr>
            <w:tcW w:type="dxa" w:w="235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BEEAH tenant administrator</w:t>
            </w:r>
          </w:p>
        </w:tc>
        <w:tc>
          <w:tcPr>
            <w:tcW w:type="dxa" w:w="27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Global Administrator or Cloud Application Administrator</w:t>
            </w:r>
          </w:p>
        </w:tc>
        <w:tc>
          <w:tcPr>
            <w:tcW w:type="dxa" w:w="431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Creates or confirms the Denali Azure service principal in the BEEAH tenant. The Azure application requests no Microsoft Graph API permissions, and this step grants no subscription access.</w:t>
            </w:r>
          </w:p>
        </w:tc>
      </w:tr>
      <w:tr>
        <w:trPr>
          <w:cantSplit/>
        </w:trPr>
        <w:tc>
          <w:tcPr>
            <w:tcW w:type="dxa" w:w="235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BEEAH Azure operator</w:t>
            </w:r>
          </w:p>
        </w:tc>
        <w:tc>
          <w:tcPr>
            <w:tcW w:type="dxa" w:w="27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Owner or User Access Administrator on each selected subscription</w:t>
            </w:r>
          </w:p>
        </w:tc>
        <w:tc>
          <w:tcPr>
            <w:tcW w:type="dxa" w:w="431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Runs the reviewable Cloud Shell setup and assigns the built-in Reader role at only the selected subscription scopes.</w:t>
            </w:r>
          </w:p>
        </w:tc>
      </w:tr>
      <w:tr>
        <w:trPr>
          <w:cantSplit/>
        </w:trPr>
        <w:tc>
          <w:tcPr>
            <w:tcW w:type="dxa" w:w="235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Denali enterprise application</w:t>
            </w:r>
          </w:p>
        </w:tc>
        <w:tc>
          <w:tcPr>
            <w:tcW w:type="dxa" w:w="27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Azure built-in Reader</w:t>
            </w:r>
          </w:p>
        </w:tc>
        <w:tc>
          <w:tcPr>
            <w:tcW w:type="dxa" w:w="431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Reads Azure control-plane inventory and validation entrypoints. No write/remediation role and no workload data-plane role.</w:t>
            </w:r>
          </w:p>
        </w:tc>
      </w:tr>
    </w:tbl>
    <w:p>
      <w:pPr>
        <w:spacing w:after="40"/>
      </w:pPr>
    </w:p>
    <w:p>
      <w:pPr>
        <w:keepLines w:val="0"/>
        <w:spacing w:before="0" w:after="120" w:line="300" w:lineRule="auto"/>
      </w:pPr>
      <w:r>
        <w:rPr>
          <w:rFonts w:ascii="Calibri" w:hAnsi="Calibri"/>
          <w:b w:val="0"/>
          <w:i w:val="0"/>
          <w:color w:val="233044"/>
          <w:sz w:val="22"/>
        </w:rPr>
        <w:t>The connection-specific Cloud Shell script is reviewable before execution and delivered through a short-lived private URL. It creates or confirms the Denali service principal, asks the operator to select subscriptions, assigns the built-in Reader role only at those scopes, and returns a one-time completion code. This Azure setup has no browser consent callback and does not give Denali the operator's Azure credentials.</w:t>
      </w:r>
    </w:p>
    <w:p>
      <w:pPr>
        <w:pStyle w:val="Heading2"/>
        <w:keepNext/>
        <w:pageBreakBefore w:val="0"/>
      </w:pPr>
      <w:r>
        <w:rPr>
          <w:rFonts w:ascii="Calibri" w:hAnsi="Calibri"/>
          <w:b/>
          <w:i w:val="0"/>
          <w:color w:val="2E74B5"/>
          <w:sz w:val="26"/>
        </w:rPr>
        <w:t>Separate Microsoft Entra discovery consent</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2500"/>
        <w:gridCol w:w="5460"/>
        <w:gridCol w:w="1400"/>
      </w:tblGrid>
      <w:tr>
        <w:trPr>
          <w:tblHeader/>
          <w:cantSplit/>
        </w:trPr>
        <w:tc>
          <w:tcPr>
            <w:tcW w:type="dxa" w:w="2500"/>
            <w:shd w:fill="0B2545"/>
            <w:vAlign w:val="center"/>
            <w:tcMar>
              <w:top w:w="80" w:type="dxa"/>
              <w:start w:w="120" w:type="dxa"/>
              <w:bottom w:w="80" w:type="dxa"/>
              <w:end w:w="120" w:type="dxa"/>
            </w:tcMar>
          </w:tcPr>
          <w:p>
            <w:pPr>
              <w:spacing w:before="0" w:after="0" w:line="269" w:lineRule="auto"/>
              <w:jc w:val="left"/>
            </w:pPr>
            <w:r>
              <w:rPr>
                <w:rFonts w:ascii="Calibri" w:hAnsi="Calibri"/>
                <w:b/>
                <w:i w:val="0"/>
                <w:color w:val="FFFFFF"/>
                <w:sz w:val="18"/>
              </w:rPr>
              <w:t>Microsoft Graph application permission</w:t>
            </w:r>
          </w:p>
        </w:tc>
        <w:tc>
          <w:tcPr>
            <w:tcW w:type="dxa" w:w="5460"/>
            <w:shd w:fill="0B2545"/>
            <w:vAlign w:val="center"/>
            <w:tcMar>
              <w:top w:w="80" w:type="dxa"/>
              <w:start w:w="120" w:type="dxa"/>
              <w:bottom w:w="80" w:type="dxa"/>
              <w:end w:w="120" w:type="dxa"/>
            </w:tcMar>
          </w:tcPr>
          <w:p>
            <w:pPr>
              <w:spacing w:before="0" w:after="0" w:line="269" w:lineRule="auto"/>
              <w:jc w:val="left"/>
            </w:pPr>
            <w:r>
              <w:rPr>
                <w:rFonts w:ascii="Calibri" w:hAnsi="Calibri"/>
                <w:b/>
                <w:i w:val="0"/>
                <w:color w:val="FFFFFF"/>
                <w:sz w:val="18"/>
              </w:rPr>
              <w:t>Why requested</w:t>
            </w:r>
          </w:p>
        </w:tc>
        <w:tc>
          <w:tcPr>
            <w:tcW w:type="dxa" w:w="1400"/>
            <w:shd w:fill="0B2545"/>
            <w:vAlign w:val="center"/>
            <w:tcMar>
              <w:top w:w="80" w:type="dxa"/>
              <w:start w:w="120" w:type="dxa"/>
              <w:bottom w:w="80" w:type="dxa"/>
              <w:end w:w="120" w:type="dxa"/>
            </w:tcMar>
          </w:tcPr>
          <w:p>
            <w:pPr>
              <w:spacing w:before="0" w:after="0" w:line="269" w:lineRule="auto"/>
              <w:jc w:val="left"/>
            </w:pPr>
            <w:r>
              <w:rPr>
                <w:rFonts w:ascii="Calibri" w:hAnsi="Calibri"/>
                <w:b/>
                <w:i w:val="0"/>
                <w:color w:val="FFFFFF"/>
                <w:sz w:val="18"/>
              </w:rPr>
              <w:t>Write access</w:t>
            </w:r>
          </w:p>
        </w:tc>
      </w:tr>
      <w:tr>
        <w:trPr>
          <w:cantSplit/>
        </w:trPr>
        <w:tc>
          <w:tcPr>
            <w:tcW w:type="dxa" w:w="25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Directory.Read.All</w:t>
            </w:r>
          </w:p>
        </w:tc>
        <w:tc>
          <w:tcPr>
            <w:tcW w:type="dxa" w:w="546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Read enterprise applications/service principals, delegated grants and application-role assignments needed for AI application discovery.</w:t>
            </w:r>
          </w:p>
        </w:tc>
        <w:tc>
          <w:tcPr>
            <w:tcW w:type="dxa" w:w="14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None</w:t>
            </w:r>
          </w:p>
        </w:tc>
      </w:tr>
      <w:tr>
        <w:trPr>
          <w:cantSplit/>
        </w:trPr>
        <w:tc>
          <w:tcPr>
            <w:tcW w:type="dxa" w:w="25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AuditLog.Read.All</w:t>
            </w:r>
          </w:p>
        </w:tc>
        <w:tc>
          <w:tcPr>
            <w:tcW w:type="dxa" w:w="546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Read sign-in and directory-audit metadata for matched applications; availability remains subject to BEEAH licensing and retention.</w:t>
            </w:r>
          </w:p>
        </w:tc>
        <w:tc>
          <w:tcPr>
            <w:tcW w:type="dxa" w:w="14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None</w:t>
            </w:r>
          </w:p>
        </w:tc>
      </w:tr>
    </w:tbl>
    <w:p>
      <w:pPr>
        <w:spacing w:after="40"/>
      </w:pPr>
    </w:p>
    <w:p>
      <w:pPr>
        <w:spacing w:before="100" w:after="200" w:line="283" w:lineRule="auto"/>
        <w:ind w:left="202" w:right="115"/>
        <w:shd w:fill="E8EEF5"/>
        <w:pBdr>
          <w:left w:val="single" w:sz="22" w:space="8" w:color="2E74B5"/>
        </w:pBdr>
      </w:pPr>
      <w:r>
        <w:rPr>
          <w:rFonts w:ascii="Calibri" w:hAnsi="Calibri"/>
          <w:b/>
          <w:i w:val="0"/>
          <w:color w:val="2E74B5"/>
          <w:sz w:val="18"/>
        </w:rPr>
        <w:t xml:space="preserve">EVIDENCE BOUNDARY  </w:t>
      </w:r>
      <w:r>
        <w:rPr>
          <w:rFonts w:ascii="Calibri" w:hAnsi="Calibri"/>
          <w:b w:val="0"/>
          <w:i w:val="0"/>
          <w:color w:val="233044"/>
          <w:sz w:val="21"/>
        </w:rPr>
        <w:t>A catalog match means “review this application.” It does not by itself prove that the application is unauthorized, unsafe, used by BEEAH or processing company data.</w:t>
      </w:r>
    </w:p>
    <w:p>
      <w:pPr>
        <w:pStyle w:val="Heading2"/>
        <w:keepNext/>
        <w:pageBreakBefore w:val="0"/>
      </w:pPr>
      <w:r>
        <w:rPr>
          <w:rFonts w:ascii="Calibri" w:hAnsi="Calibri"/>
          <w:b/>
          <w:i w:val="0"/>
          <w:color w:val="2E74B5"/>
          <w:sz w:val="26"/>
        </w:rPr>
        <w:t>Azure Repos</w:t>
      </w:r>
    </w:p>
    <w:p>
      <w:pPr>
        <w:keepLines w:val="0"/>
        <w:spacing w:before="0" w:after="120" w:line="300" w:lineRule="auto"/>
      </w:pPr>
      <w:r>
        <w:rPr>
          <w:rFonts w:ascii="Calibri" w:hAnsi="Calibri"/>
          <w:b w:val="0"/>
          <w:i w:val="0"/>
          <w:color w:val="233044"/>
          <w:sz w:val="22"/>
        </w:rPr>
        <w:t>No Azure Repos permission should be granted at this stage. Denali does not currently implement Azure DevOps repository onboarding. If BEEAH requires source-to-cloud evidence in the POC, the parties must first approve a separate design covering exact organizations, projects and repositories, minimum read-only scopes, token lifecycle, retained metadata and teardown. A personal access token is not an acceptable default.</w:t>
      </w:r>
    </w:p>
    <w:p>
      <w:pPr>
        <w:pStyle w:val="Heading1"/>
        <w:keepNext/>
        <w:pageBreakBefore w:val="0"/>
      </w:pPr>
      <w:r>
        <w:rPr>
          <w:rFonts w:ascii="Calibri" w:hAnsi="Calibri"/>
          <w:b/>
          <w:i w:val="0"/>
          <w:color w:val="2E74B5"/>
          <w:sz w:val="32"/>
        </w:rPr>
        <w:t>5 Onboarding workflow</w:t>
      </w:r>
    </w:p>
    <w:p>
      <w:pPr>
        <w:pStyle w:val="Heading2"/>
        <w:keepNext/>
        <w:pageBreakBefore w:val="0"/>
      </w:pPr>
      <w:r>
        <w:rPr>
          <w:rFonts w:ascii="Calibri" w:hAnsi="Calibri"/>
          <w:b/>
          <w:i w:val="0"/>
          <w:color w:val="2E74B5"/>
          <w:sz w:val="26"/>
        </w:rPr>
        <w:t>A Denali preparation before inviting BEEAH</w:t>
      </w:r>
    </w:p>
    <w:p>
      <w:pPr>
        <w:keepLines w:val="0"/>
        <w:numPr>
          <w:ilvl w:val="0"/>
          <w:numId w:val="52"/>
        </w:numPr>
        <w:spacing w:before="0" w:after="120" w:line="300" w:lineRule="auto"/>
      </w:pPr>
      <w:r>
        <w:rPr>
          <w:rFonts w:ascii="Calibri" w:hAnsi="Calibri"/>
          <w:b w:val="0"/>
          <w:i w:val="0"/>
          <w:color w:val="233044"/>
          <w:sz w:val="22"/>
        </w:rPr>
        <w:t>Create the dedicated BEEAH organization in the production identity system, invite the initial organization administrator and confirm the admin and member test roles.</w:t>
      </w:r>
    </w:p>
    <w:p>
      <w:pPr>
        <w:keepLines w:val="0"/>
        <w:numPr>
          <w:ilvl w:val="0"/>
          <w:numId w:val="52"/>
        </w:numPr>
        <w:spacing w:before="0" w:after="120" w:line="300" w:lineRule="auto"/>
      </w:pPr>
      <w:r>
        <w:rPr>
          <w:rFonts w:ascii="Calibri" w:hAnsi="Calibri"/>
          <w:b w:val="0"/>
          <w:i w:val="0"/>
          <w:color w:val="233044"/>
          <w:sz w:val="22"/>
        </w:rPr>
        <w:t>Provide the Azure and Entra application identity pack with application names, client IDs, verified owner or publisher, the Azure setup-script hash, the Entra callback URL and the two Graph application permissions.</w:t>
      </w:r>
    </w:p>
    <w:p>
      <w:pPr>
        <w:keepLines w:val="0"/>
        <w:numPr>
          <w:ilvl w:val="0"/>
          <w:numId w:val="52"/>
        </w:numPr>
        <w:spacing w:before="0" w:after="120" w:line="300" w:lineRule="auto"/>
      </w:pPr>
      <w:r>
        <w:rPr>
          <w:rFonts w:ascii="Calibri" w:hAnsi="Calibri"/>
          <w:b w:val="0"/>
          <w:i w:val="0"/>
          <w:color w:val="233044"/>
          <w:sz w:val="22"/>
        </w:rPr>
        <w:t>Record the current production release and confirm that Azure and Entra validation and collection remain healthy before the customer session.</w:t>
      </w:r>
    </w:p>
    <w:p>
      <w:pPr>
        <w:keepLines w:val="0"/>
        <w:numPr>
          <w:ilvl w:val="0"/>
          <w:numId w:val="52"/>
        </w:numPr>
        <w:spacing w:before="0" w:after="120" w:line="300" w:lineRule="auto"/>
      </w:pPr>
      <w:r>
        <w:rPr>
          <w:rFonts w:ascii="Calibri" w:hAnsi="Calibri"/>
          <w:b w:val="0"/>
          <w:i w:val="0"/>
          <w:color w:val="233044"/>
          <w:sz w:val="22"/>
        </w:rPr>
        <w:t>Provide the POC data-residency, retention, deletion and incident-response statement.</w:t>
      </w:r>
    </w:p>
    <w:p>
      <w:pPr>
        <w:keepLines w:val="0"/>
        <w:numPr>
          <w:ilvl w:val="0"/>
          <w:numId w:val="52"/>
        </w:numPr>
        <w:spacing w:before="0" w:after="120" w:line="300" w:lineRule="auto"/>
      </w:pPr>
      <w:r>
        <w:rPr>
          <w:rFonts w:ascii="Calibri" w:hAnsi="Calibri"/>
          <w:b w:val="0"/>
          <w:i w:val="0"/>
          <w:color w:val="233044"/>
          <w:sz w:val="22"/>
        </w:rPr>
        <w:t>Confirm that Microsoft 365 workload telemetry and Azure Repos are excluded from phase 1, or document a separately accepted connector plan.</w:t>
      </w:r>
    </w:p>
    <w:p>
      <w:pPr>
        <w:pStyle w:val="Heading2"/>
        <w:keepNext/>
        <w:pageBreakBefore w:val="0"/>
      </w:pPr>
      <w:r>
        <w:rPr>
          <w:rFonts w:ascii="Calibri" w:hAnsi="Calibri"/>
          <w:b/>
          <w:i w:val="0"/>
          <w:color w:val="2E74B5"/>
          <w:sz w:val="26"/>
        </w:rPr>
        <w:t>B BEEAH preparation</w:t>
      </w:r>
    </w:p>
    <w:p>
      <w:pPr>
        <w:keepLines w:val="0"/>
        <w:numPr>
          <w:ilvl w:val="0"/>
          <w:numId w:val="52"/>
        </w:numPr>
        <w:spacing w:before="0" w:after="120" w:line="300" w:lineRule="auto"/>
      </w:pPr>
      <w:r>
        <w:rPr>
          <w:rFonts w:ascii="Calibri" w:hAnsi="Calibri"/>
          <w:b w:val="0"/>
          <w:i w:val="0"/>
          <w:color w:val="233044"/>
          <w:sz w:val="22"/>
        </w:rPr>
        <w:t>Confirm the BEEAH Entra tenant ID and list only the sandbox subscriptions proposed for the POC.</w:t>
      </w:r>
    </w:p>
    <w:p>
      <w:pPr>
        <w:keepLines w:val="0"/>
        <w:numPr>
          <w:ilvl w:val="0"/>
          <w:numId w:val="52"/>
        </w:numPr>
        <w:spacing w:before="0" w:after="120" w:line="300" w:lineRule="auto"/>
      </w:pPr>
      <w:r>
        <w:rPr>
          <w:rFonts w:ascii="Calibri" w:hAnsi="Calibri"/>
          <w:b w:val="0"/>
          <w:i w:val="0"/>
          <w:color w:val="233044"/>
          <w:sz w:val="22"/>
        </w:rPr>
        <w:t>Nominate a Global Administrator for Entra consent; a Global Administrator or Cloud Application Administrator for Azure service-principal creation; an Owner or User Access Administrator for each selected subscription; Denali admin and member test users; and a rollback contact.</w:t>
      </w:r>
    </w:p>
    <w:p>
      <w:pPr>
        <w:keepLines w:val="0"/>
        <w:numPr>
          <w:ilvl w:val="0"/>
          <w:numId w:val="52"/>
        </w:numPr>
        <w:spacing w:before="0" w:after="120" w:line="300" w:lineRule="auto"/>
      </w:pPr>
      <w:r>
        <w:rPr>
          <w:rFonts w:ascii="Calibri" w:hAnsi="Calibri"/>
          <w:b w:val="0"/>
          <w:i w:val="0"/>
          <w:color w:val="233044"/>
          <w:sz w:val="22"/>
        </w:rPr>
        <w:t>Review the application identity pack, Graph permissions and Azure Reader boundary. Record any excluded subscriptions, resource groups or services.</w:t>
      </w:r>
    </w:p>
    <w:p>
      <w:pPr>
        <w:keepLines w:val="0"/>
        <w:numPr>
          <w:ilvl w:val="0"/>
          <w:numId w:val="52"/>
        </w:numPr>
        <w:spacing w:before="0" w:after="120" w:line="300" w:lineRule="auto"/>
      </w:pPr>
      <w:r>
        <w:rPr>
          <w:rFonts w:ascii="Calibri" w:hAnsi="Calibri"/>
          <w:b w:val="0"/>
          <w:i w:val="0"/>
          <w:color w:val="233044"/>
          <w:sz w:val="22"/>
        </w:rPr>
        <w:t>If source onboarding is desired later, provide only Azure DevOps organization, project and repository identifiers for planning. Do not provide a credential or personal access token.</w:t>
      </w:r>
    </w:p>
    <w:p>
      <w:pPr>
        <w:keepLines w:val="0"/>
        <w:numPr>
          <w:ilvl w:val="0"/>
          <w:numId w:val="52"/>
        </w:numPr>
        <w:spacing w:before="0" w:after="120" w:line="300" w:lineRule="auto"/>
      </w:pPr>
      <w:r>
        <w:rPr>
          <w:rFonts w:ascii="Calibri" w:hAnsi="Calibri"/>
          <w:b w:val="0"/>
          <w:i w:val="0"/>
          <w:color w:val="233044"/>
          <w:sz w:val="22"/>
        </w:rPr>
        <w:t>Agree the POC dates, success criteria, retention and deletion window, and change window.</w:t>
      </w:r>
    </w:p>
    <w:p>
      <w:pPr>
        <w:pStyle w:val="Heading2"/>
        <w:keepNext/>
        <w:pageBreakBefore w:val="0"/>
      </w:pPr>
      <w:r>
        <w:rPr>
          <w:rFonts w:ascii="Calibri" w:hAnsi="Calibri"/>
          <w:b/>
          <w:i w:val="0"/>
          <w:color w:val="2E74B5"/>
          <w:sz w:val="26"/>
        </w:rPr>
        <w:t>C Joint onboarding session</w:t>
      </w:r>
    </w:p>
    <w:p>
      <w:pPr>
        <w:keepLines w:val="0"/>
        <w:numPr>
          <w:ilvl w:val="0"/>
          <w:numId w:val="52"/>
        </w:numPr>
        <w:spacing w:before="0" w:after="120" w:line="300" w:lineRule="auto"/>
      </w:pPr>
      <w:r>
        <w:rPr>
          <w:rFonts w:ascii="Calibri" w:hAnsi="Calibri"/>
          <w:b w:val="0"/>
          <w:i w:val="0"/>
          <w:color w:val="233044"/>
          <w:sz w:val="22"/>
        </w:rPr>
        <w:t>BEEAH signs in at https://denali.transilience.cloud and confirms the active BEEAH organization before any connection is created.</w:t>
      </w:r>
    </w:p>
    <w:p>
      <w:pPr>
        <w:keepLines w:val="0"/>
        <w:numPr>
          <w:ilvl w:val="0"/>
          <w:numId w:val="52"/>
        </w:numPr>
        <w:spacing w:before="0" w:after="120" w:line="300" w:lineRule="auto"/>
      </w:pPr>
      <w:r>
        <w:rPr>
          <w:rFonts w:ascii="Calibri" w:hAnsi="Calibri"/>
          <w:b w:val="0"/>
          <w:i w:val="0"/>
          <w:color w:val="233044"/>
          <w:sz w:val="22"/>
        </w:rPr>
        <w:t>A BEEAH organization administrator creates the Azure connection for the exact BEEAH tenant.</w:t>
      </w:r>
    </w:p>
    <w:p>
      <w:pPr>
        <w:keepLines w:val="0"/>
        <w:numPr>
          <w:ilvl w:val="0"/>
          <w:numId w:val="52"/>
        </w:numPr>
        <w:spacing w:before="0" w:after="120" w:line="300" w:lineRule="auto"/>
      </w:pPr>
      <w:r>
        <w:rPr>
          <w:rFonts w:ascii="Calibri" w:hAnsi="Calibri"/>
          <w:b w:val="0"/>
          <w:i w:val="0"/>
          <w:color w:val="233044"/>
          <w:sz w:val="22"/>
        </w:rPr>
        <w:t>The BEEAH tenant administrator reviews and runs the Azure Cloud Shell setup to create or confirm the Denali service principal. The Azure subscription operator selects the approved subscriptions and assigns Reader. This Azure step requests no Microsoft Graph consent.</w:t>
      </w:r>
    </w:p>
    <w:p>
      <w:pPr>
        <w:keepLines w:val="0"/>
        <w:numPr>
          <w:ilvl w:val="0"/>
          <w:numId w:val="52"/>
        </w:numPr>
        <w:spacing w:before="0" w:after="120" w:line="300" w:lineRule="auto"/>
      </w:pPr>
      <w:r>
        <w:rPr>
          <w:rFonts w:ascii="Calibri" w:hAnsi="Calibri"/>
          <w:b w:val="0"/>
          <w:i w:val="0"/>
          <w:color w:val="233044"/>
          <w:sz w:val="22"/>
        </w:rPr>
        <w:t>The operator returns the one-time completion code to Denali. Denali validates the tenant, subscription binding and every declared Azure plane, then collects Azure evidence.</w:t>
      </w:r>
    </w:p>
    <w:p>
      <w:pPr>
        <w:keepLines w:val="0"/>
        <w:numPr>
          <w:ilvl w:val="0"/>
          <w:numId w:val="52"/>
        </w:numPr>
        <w:spacing w:before="0" w:after="120" w:line="300" w:lineRule="auto"/>
      </w:pPr>
      <w:r>
        <w:rPr>
          <w:rFonts w:ascii="Calibri" w:hAnsi="Calibri"/>
          <w:b w:val="0"/>
          <w:i w:val="0"/>
          <w:color w:val="233044"/>
          <w:sz w:val="22"/>
        </w:rPr>
        <w:t>In a separate Entra connection, a BEEAH Global Administrator reviews and grants Directory.Read.All and AuditLog.Read.All. Denali validates each Graph plane and then collects application and audit metadata. Licensing or retention limits remain visible.</w:t>
      </w:r>
    </w:p>
    <w:p>
      <w:pPr>
        <w:keepLines w:val="0"/>
        <w:numPr>
          <w:ilvl w:val="0"/>
          <w:numId w:val="52"/>
        </w:numPr>
        <w:spacing w:before="0" w:after="120" w:line="300" w:lineRule="auto"/>
      </w:pPr>
      <w:r>
        <w:rPr>
          <w:rFonts w:ascii="Calibri" w:hAnsi="Calibri"/>
          <w:b w:val="0"/>
          <w:i w:val="0"/>
          <w:color w:val="233044"/>
          <w:sz w:val="22"/>
        </w:rPr>
        <w:t>The parties review the results, confirm tenant isolation and role behavior, and record any partial, failed, unsupported or license-limited coverage without treating missing evidence as a safe result.</w:t>
      </w:r>
    </w:p>
    <w:p>
      <w:pPr>
        <w:pStyle w:val="Heading1"/>
        <w:keepNext/>
        <w:pageBreakBefore w:val="0"/>
      </w:pPr>
      <w:r>
        <w:rPr>
          <w:rFonts w:ascii="Calibri" w:hAnsi="Calibri"/>
          <w:b/>
          <w:i w:val="0"/>
          <w:color w:val="2E74B5"/>
          <w:sz w:val="32"/>
        </w:rPr>
        <w:t>6 POC acceptance criteria</w:t>
      </w:r>
    </w:p>
    <w:p>
      <w:pPr>
        <w:keepLines w:val="0"/>
        <w:spacing w:before="0" w:after="100" w:line="300" w:lineRule="auto"/>
        <w:ind w:left="29"/>
      </w:pPr>
      <w:r>
        <w:rPr>
          <w:rFonts w:ascii="Calibri" w:hAnsi="Calibri"/>
          <w:b w:val="0"/>
          <w:i w:val="0"/>
          <w:color w:val="233044"/>
          <w:sz w:val="22"/>
        </w:rPr>
      </w:r>
      <w:r>
        <w:rPr>
          <w:rFonts w:ascii="Calibri" w:hAnsi="Calibri"/>
          <w:b w:val="0"/>
          <w:i w:val="0"/>
          <w:color w:val="2E74B5"/>
          <w:sz w:val="24"/>
        </w:rPr>
        <w:t xml:space="preserve">☐  </w:t>
      </w:r>
      <w:r>
        <w:rPr>
          <w:rFonts w:ascii="Calibri" w:hAnsi="Calibri"/>
          <w:b w:val="0"/>
          <w:i w:val="0"/>
          <w:color w:val="233044"/>
          <w:sz w:val="21"/>
        </w:rPr>
        <w:t>The authenticated context shows the BEEAH organization and a BEEAH-specific internal tenant; no other customer data is visible.</w:t>
      </w:r>
    </w:p>
    <w:p>
      <w:pPr>
        <w:keepLines w:val="0"/>
        <w:spacing w:before="0" w:after="100" w:line="300" w:lineRule="auto"/>
        <w:ind w:left="29"/>
      </w:pPr>
      <w:r>
        <w:rPr>
          <w:rFonts w:ascii="Calibri" w:hAnsi="Calibri"/>
          <w:b w:val="0"/>
          <w:i w:val="0"/>
          <w:color w:val="233044"/>
          <w:sz w:val="22"/>
        </w:rPr>
      </w:r>
      <w:r>
        <w:rPr>
          <w:rFonts w:ascii="Calibri" w:hAnsi="Calibri"/>
          <w:b w:val="0"/>
          <w:i w:val="0"/>
          <w:color w:val="2E74B5"/>
          <w:sz w:val="24"/>
        </w:rPr>
        <w:t xml:space="preserve">☐  </w:t>
      </w:r>
      <w:r>
        <w:rPr>
          <w:rFonts w:ascii="Calibri" w:hAnsi="Calibri"/>
          <w:b w:val="0"/>
          <w:i w:val="0"/>
          <w:color w:val="233044"/>
          <w:sz w:val="21"/>
        </w:rPr>
        <w:t>An organization member can read but receives a denial for connection and governance mutations; an organization admin can perform approved mutations.</w:t>
      </w:r>
    </w:p>
    <w:p>
      <w:pPr>
        <w:keepLines w:val="0"/>
        <w:spacing w:before="0" w:after="100" w:line="300" w:lineRule="auto"/>
        <w:ind w:left="29"/>
      </w:pPr>
      <w:r>
        <w:rPr>
          <w:rFonts w:ascii="Calibri" w:hAnsi="Calibri"/>
          <w:b w:val="0"/>
          <w:i w:val="0"/>
          <w:color w:val="233044"/>
          <w:sz w:val="22"/>
        </w:rPr>
      </w:r>
      <w:r>
        <w:rPr>
          <w:rFonts w:ascii="Calibri" w:hAnsi="Calibri"/>
          <w:b w:val="0"/>
          <w:i w:val="0"/>
          <w:color w:val="2E74B5"/>
          <w:sz w:val="24"/>
        </w:rPr>
        <w:t xml:space="preserve">☐  </w:t>
      </w:r>
      <w:r>
        <w:rPr>
          <w:rFonts w:ascii="Calibri" w:hAnsi="Calibri"/>
          <w:b w:val="0"/>
          <w:i w:val="0"/>
          <w:color w:val="233044"/>
          <w:sz w:val="21"/>
        </w:rPr>
        <w:t>Azure validation binds to the expected BEEAH tenant and only the selected sandbox subscriptions.</w:t>
      </w:r>
    </w:p>
    <w:p>
      <w:pPr>
        <w:keepLines w:val="0"/>
        <w:spacing w:before="0" w:after="100" w:line="300" w:lineRule="auto"/>
        <w:ind w:left="29"/>
      </w:pPr>
      <w:r>
        <w:rPr>
          <w:rFonts w:ascii="Calibri" w:hAnsi="Calibri"/>
          <w:b w:val="0"/>
          <w:i w:val="0"/>
          <w:color w:val="233044"/>
          <w:sz w:val="22"/>
        </w:rPr>
      </w:r>
      <w:r>
        <w:rPr>
          <w:rFonts w:ascii="Calibri" w:hAnsi="Calibri"/>
          <w:b w:val="0"/>
          <w:i w:val="0"/>
          <w:color w:val="2E74B5"/>
          <w:sz w:val="24"/>
        </w:rPr>
        <w:t xml:space="preserve">☐  </w:t>
      </w:r>
      <w:r>
        <w:rPr>
          <w:rFonts w:ascii="Calibri" w:hAnsi="Calibri"/>
          <w:b w:val="0"/>
          <w:i w:val="0"/>
          <w:color w:val="233044"/>
          <w:sz w:val="21"/>
        </w:rPr>
        <w:t>Every Azure and Entra plane displays an explicit coverage state. Partial, failed, unsupported or license-limited coverage remains visible.</w:t>
      </w:r>
    </w:p>
    <w:p>
      <w:pPr>
        <w:keepLines w:val="0"/>
        <w:spacing w:before="0" w:after="100" w:line="300" w:lineRule="auto"/>
        <w:ind w:left="29"/>
      </w:pPr>
      <w:r>
        <w:rPr>
          <w:rFonts w:ascii="Calibri" w:hAnsi="Calibri"/>
          <w:b w:val="0"/>
          <w:i w:val="0"/>
          <w:color w:val="233044"/>
          <w:sz w:val="22"/>
        </w:rPr>
      </w:r>
      <w:r>
        <w:rPr>
          <w:rFonts w:ascii="Calibri" w:hAnsi="Calibri"/>
          <w:b w:val="0"/>
          <w:i w:val="0"/>
          <w:color w:val="2E74B5"/>
          <w:sz w:val="24"/>
        </w:rPr>
        <w:t xml:space="preserve">☐  </w:t>
      </w:r>
      <w:r>
        <w:rPr>
          <w:rFonts w:ascii="Calibri" w:hAnsi="Calibri"/>
          <w:b w:val="0"/>
          <w:i w:val="0"/>
          <w:color w:val="233044"/>
          <w:sz w:val="21"/>
        </w:rPr>
        <w:t>A sample of observed Azure resources can be traced to provider identifiers and collection evidence without exposing secrets or payload content.</w:t>
      </w:r>
    </w:p>
    <w:p>
      <w:pPr>
        <w:keepLines w:val="0"/>
        <w:spacing w:before="0" w:after="100" w:line="300" w:lineRule="auto"/>
        <w:ind w:left="29"/>
      </w:pPr>
      <w:r>
        <w:rPr>
          <w:rFonts w:ascii="Calibri" w:hAnsi="Calibri"/>
          <w:b w:val="0"/>
          <w:i w:val="0"/>
          <w:color w:val="233044"/>
          <w:sz w:val="22"/>
        </w:rPr>
      </w:r>
      <w:r>
        <w:rPr>
          <w:rFonts w:ascii="Calibri" w:hAnsi="Calibri"/>
          <w:b w:val="0"/>
          <w:i w:val="0"/>
          <w:color w:val="2E74B5"/>
          <w:sz w:val="24"/>
        </w:rPr>
        <w:t xml:space="preserve">☐  </w:t>
      </w:r>
      <w:r>
        <w:rPr>
          <w:rFonts w:ascii="Calibri" w:hAnsi="Calibri"/>
          <w:b w:val="0"/>
          <w:i w:val="0"/>
          <w:color w:val="233044"/>
          <w:sz w:val="21"/>
        </w:rPr>
        <w:t>Entra catalog matches are presented for governance review and are not labelled unauthorized solely because they matched the catalog.</w:t>
      </w:r>
    </w:p>
    <w:p>
      <w:pPr>
        <w:keepLines w:val="0"/>
        <w:spacing w:before="0" w:after="100" w:line="300" w:lineRule="auto"/>
        <w:ind w:left="29"/>
      </w:pPr>
      <w:r>
        <w:rPr>
          <w:rFonts w:ascii="Calibri" w:hAnsi="Calibri"/>
          <w:b w:val="0"/>
          <w:i w:val="0"/>
          <w:color w:val="233044"/>
          <w:sz w:val="22"/>
        </w:rPr>
      </w:r>
      <w:r>
        <w:rPr>
          <w:rFonts w:ascii="Calibri" w:hAnsi="Calibri"/>
          <w:b w:val="0"/>
          <w:i w:val="0"/>
          <w:color w:val="2E74B5"/>
          <w:sz w:val="24"/>
        </w:rPr>
        <w:t xml:space="preserve">☐  </w:t>
      </w:r>
      <w:r>
        <w:rPr>
          <w:rFonts w:ascii="Calibri" w:hAnsi="Calibri"/>
          <w:b w:val="0"/>
          <w:i w:val="0"/>
          <w:color w:val="233044"/>
          <w:sz w:val="21"/>
        </w:rPr>
        <w:t>Disable and delete behavior is demonstrated, and BEEAH-side Azure/Entra revocation steps are confirmed.</w:t>
      </w:r>
    </w:p>
    <w:p>
      <w:pPr>
        <w:keepLines w:val="0"/>
        <w:spacing w:before="0" w:after="100" w:line="300" w:lineRule="auto"/>
        <w:ind w:left="29"/>
      </w:pPr>
      <w:r>
        <w:rPr>
          <w:rFonts w:ascii="Calibri" w:hAnsi="Calibri"/>
          <w:b w:val="0"/>
          <w:i w:val="0"/>
          <w:color w:val="233044"/>
          <w:sz w:val="22"/>
        </w:rPr>
      </w:r>
      <w:r>
        <w:rPr>
          <w:rFonts w:ascii="Calibri" w:hAnsi="Calibri"/>
          <w:b w:val="0"/>
          <w:i w:val="0"/>
          <w:color w:val="2E74B5"/>
          <w:sz w:val="24"/>
        </w:rPr>
        <w:t xml:space="preserve">☐  </w:t>
      </w:r>
      <w:r>
        <w:rPr>
          <w:rFonts w:ascii="Calibri" w:hAnsi="Calibri"/>
          <w:b w:val="0"/>
          <w:i w:val="0"/>
          <w:color w:val="233044"/>
          <w:sz w:val="21"/>
        </w:rPr>
        <w:t>Operational logs reviewed for the POC contain structured tenant/connection/job identifiers but no tokens, secrets, callback codes or raw provider payloads.</w:t>
      </w:r>
    </w:p>
    <w:p>
      <w:pPr>
        <w:keepLines w:val="0"/>
        <w:spacing w:before="0" w:after="100" w:line="300" w:lineRule="auto"/>
        <w:ind w:left="29"/>
      </w:pPr>
      <w:r>
        <w:rPr>
          <w:rFonts w:ascii="Calibri" w:hAnsi="Calibri"/>
          <w:b w:val="0"/>
          <w:i w:val="0"/>
          <w:color w:val="233044"/>
          <w:sz w:val="22"/>
        </w:rPr>
      </w:r>
      <w:r>
        <w:rPr>
          <w:rFonts w:ascii="Calibri" w:hAnsi="Calibri"/>
          <w:b w:val="0"/>
          <w:i w:val="0"/>
          <w:color w:val="2E74B5"/>
          <w:sz w:val="24"/>
        </w:rPr>
        <w:t xml:space="preserve">☐  </w:t>
      </w:r>
      <w:r>
        <w:rPr>
          <w:rFonts w:ascii="Calibri" w:hAnsi="Calibri"/>
          <w:b w:val="0"/>
          <w:i w:val="0"/>
          <w:color w:val="233044"/>
          <w:sz w:val="21"/>
        </w:rPr>
        <w:t>Microsoft 365 workload and Copilot telemetry and Azure Repos are explicitly excluded from phase 1 or covered by separately documented and accepted connector designs.</w:t>
      </w:r>
    </w:p>
    <w:p>
      <w:pPr>
        <w:pStyle w:val="Heading1"/>
        <w:keepNext/>
        <w:pageBreakBefore w:val="0"/>
      </w:pPr>
      <w:r>
        <w:rPr>
          <w:rFonts w:ascii="Calibri" w:hAnsi="Calibri"/>
          <w:b/>
          <w:i w:val="0"/>
          <w:color w:val="2E74B5"/>
          <w:sz w:val="32"/>
        </w:rPr>
        <w:t>7 Offboarding and rollback</w:t>
      </w:r>
    </w:p>
    <w:p>
      <w:pPr>
        <w:keepLines w:val="0"/>
        <w:numPr>
          <w:ilvl w:val="0"/>
          <w:numId w:val="53"/>
        </w:numPr>
        <w:spacing w:before="0" w:after="120" w:line="300" w:lineRule="auto"/>
      </w:pPr>
      <w:r>
        <w:rPr>
          <w:rFonts w:ascii="Calibri" w:hAnsi="Calibri"/>
          <w:b w:val="0"/>
          <w:i w:val="0"/>
          <w:color w:val="233044"/>
          <w:sz w:val="22"/>
        </w:rPr>
        <w:t>Disable the BEEAH connections in Denali and stop any further collection.</w:t>
      </w:r>
    </w:p>
    <w:p>
      <w:pPr>
        <w:keepLines w:val="0"/>
        <w:numPr>
          <w:ilvl w:val="0"/>
          <w:numId w:val="53"/>
        </w:numPr>
        <w:spacing w:before="0" w:after="120" w:line="300" w:lineRule="auto"/>
      </w:pPr>
      <w:r>
        <w:rPr>
          <w:rFonts w:ascii="Calibri" w:hAnsi="Calibri"/>
          <w:b w:val="0"/>
          <w:i w:val="0"/>
          <w:color w:val="233044"/>
          <w:sz w:val="22"/>
        </w:rPr>
        <w:t>Export or retain only the evidence agreed in the POC closeout; apply the agreed retention/deletion period.</w:t>
      </w:r>
    </w:p>
    <w:p>
      <w:pPr>
        <w:keepLines w:val="0"/>
        <w:numPr>
          <w:ilvl w:val="0"/>
          <w:numId w:val="53"/>
        </w:numPr>
        <w:spacing w:before="0" w:after="120" w:line="300" w:lineRule="auto"/>
      </w:pPr>
      <w:r>
        <w:rPr>
          <w:rFonts w:ascii="Calibri" w:hAnsi="Calibri"/>
          <w:b w:val="0"/>
          <w:i w:val="0"/>
          <w:color w:val="233044"/>
          <w:sz w:val="22"/>
        </w:rPr>
        <w:t>Delete the Denali connection configuration after confirmation. Previously collected evidence is handled according to the agreed retention decision.</w:t>
      </w:r>
    </w:p>
    <w:p>
      <w:pPr>
        <w:keepLines w:val="0"/>
        <w:numPr>
          <w:ilvl w:val="0"/>
          <w:numId w:val="53"/>
        </w:numPr>
        <w:spacing w:before="0" w:after="120" w:line="300" w:lineRule="auto"/>
      </w:pPr>
      <w:r>
        <w:rPr>
          <w:rFonts w:ascii="Calibri" w:hAnsi="Calibri"/>
          <w:b w:val="0"/>
          <w:i w:val="0"/>
          <w:color w:val="233044"/>
          <w:sz w:val="22"/>
        </w:rPr>
        <w:t>BEEAH removes Azure Reader role assignments from every selected subscription and revokes/deletes the relevant enterprise applications or application-role grants.</w:t>
      </w:r>
    </w:p>
    <w:p>
      <w:pPr>
        <w:keepLines w:val="0"/>
        <w:numPr>
          <w:ilvl w:val="0"/>
          <w:numId w:val="53"/>
        </w:numPr>
        <w:spacing w:before="0" w:after="120" w:line="300" w:lineRule="auto"/>
      </w:pPr>
      <w:r>
        <w:rPr>
          <w:rFonts w:ascii="Calibri" w:hAnsi="Calibri"/>
          <w:b w:val="0"/>
          <w:i w:val="0"/>
          <w:color w:val="233044"/>
          <w:sz w:val="22"/>
        </w:rPr>
        <w:t>Both parties verify that validation and collection no longer succeed and record the closeout date and owners.</w:t>
      </w:r>
    </w:p>
    <w:p>
      <w:pPr>
        <w:pStyle w:val="Heading1"/>
        <w:keepNext/>
        <w:pageBreakBefore w:val="0"/>
      </w:pPr>
      <w:r>
        <w:rPr>
          <w:rFonts w:ascii="Calibri" w:hAnsi="Calibri"/>
          <w:b/>
          <w:i w:val="0"/>
          <w:color w:val="2E74B5"/>
          <w:sz w:val="32"/>
        </w:rPr>
        <w:t>8 Information requested from BEEAH</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3000"/>
        <w:gridCol w:w="6360"/>
      </w:tblGrid>
      <w:tr>
        <w:trPr>
          <w:tblHeader/>
          <w:cantSplit/>
        </w:trPr>
        <w:tc>
          <w:tcPr>
            <w:tcW w:type="dxa" w:w="3000"/>
            <w:shd w:fill="0B2545"/>
            <w:vAlign w:val="center"/>
            <w:tcMar>
              <w:top w:w="80" w:type="dxa"/>
              <w:start w:w="120" w:type="dxa"/>
              <w:bottom w:w="80" w:type="dxa"/>
              <w:end w:w="120" w:type="dxa"/>
            </w:tcMar>
          </w:tcPr>
          <w:p>
            <w:pPr>
              <w:spacing w:before="0" w:after="0" w:line="269" w:lineRule="auto"/>
              <w:jc w:val="left"/>
            </w:pPr>
            <w:r>
              <w:rPr>
                <w:rFonts w:ascii="Calibri" w:hAnsi="Calibri"/>
                <w:b/>
                <w:i w:val="0"/>
                <w:color w:val="FFFFFF"/>
                <w:sz w:val="18"/>
              </w:rPr>
              <w:t>Item</w:t>
            </w:r>
          </w:p>
        </w:tc>
        <w:tc>
          <w:tcPr>
            <w:tcW w:type="dxa" w:w="6360"/>
            <w:shd w:fill="0B2545"/>
            <w:vAlign w:val="center"/>
            <w:tcMar>
              <w:top w:w="80" w:type="dxa"/>
              <w:start w:w="120" w:type="dxa"/>
              <w:bottom w:w="80" w:type="dxa"/>
              <w:end w:w="120" w:type="dxa"/>
            </w:tcMar>
          </w:tcPr>
          <w:p>
            <w:pPr>
              <w:spacing w:before="0" w:after="0" w:line="269" w:lineRule="auto"/>
              <w:jc w:val="left"/>
            </w:pPr>
            <w:r>
              <w:rPr>
                <w:rFonts w:ascii="Calibri" w:hAnsi="Calibri"/>
                <w:b/>
                <w:i w:val="0"/>
                <w:color w:val="FFFFFF"/>
                <w:sz w:val="18"/>
              </w:rPr>
              <w:t>BEEAH response</w:t>
            </w:r>
          </w:p>
        </w:tc>
      </w:tr>
      <w:tr>
        <w:trPr>
          <w:cantSplit/>
        </w:trPr>
        <w:tc>
          <w:tcPr>
            <w:tcW w:type="dxa" w:w="30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Microsoft Entra tenant ID</w:t>
            </w:r>
          </w:p>
        </w:tc>
        <w:tc>
          <w:tcPr>
            <w:tcW w:type="dxa" w:w="636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To be provided through the agreed secure channel</w:t>
            </w:r>
          </w:p>
        </w:tc>
      </w:tr>
      <w:tr>
        <w:trPr>
          <w:cantSplit/>
        </w:trPr>
        <w:tc>
          <w:tcPr>
            <w:tcW w:type="dxa" w:w="30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Sandbox subscription IDs and names</w:t>
            </w:r>
          </w:p>
        </w:tc>
        <w:tc>
          <w:tcPr>
            <w:tcW w:type="dxa" w:w="636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To be confirmed; production subscriptions are excluded by default</w:t>
            </w:r>
          </w:p>
        </w:tc>
      </w:tr>
      <w:tr>
        <w:trPr>
          <w:cantSplit/>
        </w:trPr>
        <w:tc>
          <w:tcPr>
            <w:tcW w:type="dxa" w:w="30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Excluded subscriptions/resource groups/services</w:t>
            </w:r>
          </w:p>
        </w:tc>
        <w:tc>
          <w:tcPr>
            <w:tcW w:type="dxa" w:w="636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To be confirmed</w:t>
            </w:r>
          </w:p>
        </w:tc>
      </w:tr>
      <w:tr>
        <w:trPr>
          <w:cantSplit/>
        </w:trPr>
        <w:tc>
          <w:tcPr>
            <w:tcW w:type="dxa" w:w="30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Azure DevOps organization/project/repository identifiers</w:t>
            </w:r>
          </w:p>
        </w:tc>
        <w:tc>
          <w:tcPr>
            <w:tcW w:type="dxa" w:w="636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Optional planning information only; no PAT or credential</w:t>
            </w:r>
          </w:p>
        </w:tc>
      </w:tr>
      <w:tr>
        <w:trPr>
          <w:cantSplit/>
        </w:trPr>
        <w:tc>
          <w:tcPr>
            <w:tcW w:type="dxa" w:w="30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Named admin, member, consent, Azure operator and rollback contacts</w:t>
            </w:r>
          </w:p>
        </w:tc>
        <w:tc>
          <w:tcPr>
            <w:tcW w:type="dxa" w:w="636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To be confirmed</w:t>
            </w:r>
          </w:p>
        </w:tc>
      </w:tr>
      <w:tr>
        <w:trPr>
          <w:cantSplit/>
        </w:trPr>
        <w:tc>
          <w:tcPr>
            <w:tcW w:type="dxa" w:w="30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POC start/end dates and change window</w:t>
            </w:r>
          </w:p>
        </w:tc>
        <w:tc>
          <w:tcPr>
            <w:tcW w:type="dxa" w:w="636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To be confirmed</w:t>
            </w:r>
          </w:p>
        </w:tc>
      </w:tr>
      <w:tr>
        <w:trPr>
          <w:cantSplit/>
        </w:trPr>
        <w:tc>
          <w:tcPr>
            <w:tcW w:type="dxa" w:w="30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Data residency, retention and deletion requirements</w:t>
            </w:r>
          </w:p>
        </w:tc>
        <w:tc>
          <w:tcPr>
            <w:tcW w:type="dxa" w:w="636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To be confirmed before consent</w:t>
            </w:r>
          </w:p>
        </w:tc>
      </w:tr>
      <w:tr>
        <w:trPr>
          <w:cantSplit/>
        </w:trPr>
        <w:tc>
          <w:tcPr>
            <w:tcW w:type="dxa" w:w="30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Customer success criteria</w:t>
            </w:r>
          </w:p>
        </w:tc>
        <w:tc>
          <w:tcPr>
            <w:tcW w:type="dxa" w:w="636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To be agreed at kickoff</w:t>
            </w:r>
          </w:p>
        </w:tc>
      </w:tr>
      <w:tr>
        <w:trPr>
          <w:cantSplit/>
        </w:trPr>
        <w:tc>
          <w:tcPr>
            <w:tcW w:type="dxa" w:w="300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Microsoft 365 workload requirements</w:t>
            </w:r>
          </w:p>
        </w:tc>
        <w:tc>
          <w:tcPr>
            <w:tcW w:type="dxa" w:w="6360"/>
            <w:vAlign w:val="center"/>
            <w:tcMar>
              <w:top w:w="80" w:type="dxa"/>
              <w:start w:w="120" w:type="dxa"/>
              <w:bottom w:w="80" w:type="dxa"/>
              <w:end w:w="120" w:type="dxa"/>
            </w:tcMar>
          </w:tcPr>
          <w:p>
            <w:pPr>
              <w:spacing w:before="0" w:after="0" w:line="269" w:lineRule="auto"/>
              <w:jc w:val="left"/>
            </w:pPr>
            <w:r>
              <w:rPr>
                <w:rFonts w:ascii="Calibri" w:hAnsi="Calibri"/>
                <w:b w:val="0"/>
                <w:i w:val="0"/>
                <w:color w:val="233044"/>
                <w:sz w:val="18"/>
              </w:rPr>
              <w:t>Confirm whether Entra application discovery meets the POC objective. Exchange, SharePoint, Teams and Copilot workload telemetry are outside the current connector scope.</w:t>
            </w:r>
          </w:p>
        </w:tc>
      </w:tr>
    </w:tbl>
    <w:p>
      <w:pPr>
        <w:spacing w:after="40"/>
      </w:pPr>
    </w:p>
    <w:p>
      <w:pPr>
        <w:spacing w:before="100" w:after="200" w:line="283" w:lineRule="auto"/>
        <w:ind w:left="202" w:right="115"/>
        <w:shd w:fill="EAF6F3"/>
        <w:pBdr>
          <w:left w:val="single" w:sz="22" w:space="8" w:color="2D7F78"/>
        </w:pBdr>
      </w:pPr>
      <w:r>
        <w:rPr>
          <w:rFonts w:ascii="Calibri" w:hAnsi="Calibri"/>
          <w:b/>
          <w:i w:val="0"/>
          <w:color w:val="2D7F78"/>
          <w:sz w:val="18"/>
        </w:rPr>
        <w:t xml:space="preserve">SECURE EXCHANGE  </w:t>
      </w:r>
      <w:r>
        <w:rPr>
          <w:rFonts w:ascii="Calibri" w:hAnsi="Calibri"/>
          <w:b w:val="0"/>
          <w:i w:val="0"/>
          <w:color w:val="233044"/>
          <w:sz w:val="21"/>
        </w:rPr>
        <w:t>Tenant and subscription identifiers are configuration data, not credentials, but they should still be shared through the agreed BEEAH–Transilience channel. Secrets, tokens and private keys must never be sent by email or entered into Denali.</w:t>
      </w:r>
    </w:p>
    <w:p>
      <w:r>
        <w:br w:type="page"/>
      </w:r>
    </w:p>
    <w:p>
      <w:pPr>
        <w:pStyle w:val="Heading1"/>
        <w:keepNext/>
        <w:pageBreakBefore w:val="0"/>
      </w:pPr>
      <w:r>
        <w:rPr>
          <w:rFonts w:ascii="Calibri" w:hAnsi="Calibri"/>
          <w:b/>
          <w:i w:val="0"/>
          <w:color w:val="2E74B5"/>
          <w:sz w:val="32"/>
        </w:rPr>
        <w:t>9 Approval checklist</w:t>
      </w:r>
    </w:p>
    <w:p>
      <w:pPr>
        <w:keepLines w:val="0"/>
        <w:spacing w:before="0" w:after="100" w:line="300" w:lineRule="auto"/>
        <w:ind w:left="29"/>
      </w:pPr>
      <w:r>
        <w:rPr>
          <w:rFonts w:ascii="Calibri" w:hAnsi="Calibri"/>
          <w:b w:val="0"/>
          <w:i w:val="0"/>
          <w:color w:val="233044"/>
          <w:sz w:val="22"/>
        </w:rPr>
      </w:r>
      <w:r>
        <w:rPr>
          <w:rFonts w:ascii="Calibri" w:hAnsi="Calibri"/>
          <w:b w:val="0"/>
          <w:i w:val="0"/>
          <w:color w:val="2E74B5"/>
          <w:sz w:val="24"/>
        </w:rPr>
        <w:t xml:space="preserve">☐  </w:t>
      </w:r>
      <w:r>
        <w:rPr>
          <w:rFonts w:ascii="Calibri" w:hAnsi="Calibri"/>
          <w:b w:val="0"/>
          <w:i w:val="0"/>
          <w:color w:val="233044"/>
          <w:sz w:val="21"/>
        </w:rPr>
        <w:t>Approve the start of a controlled, time-bounded, read-only Azure and Entra sandbox POC.</w:t>
      </w:r>
    </w:p>
    <w:p>
      <w:pPr>
        <w:keepLines w:val="0"/>
        <w:spacing w:before="0" w:after="100" w:line="300" w:lineRule="auto"/>
        <w:ind w:left="29"/>
      </w:pPr>
      <w:r>
        <w:rPr>
          <w:rFonts w:ascii="Calibri" w:hAnsi="Calibri"/>
          <w:b w:val="0"/>
          <w:i w:val="0"/>
          <w:color w:val="233044"/>
          <w:sz w:val="22"/>
        </w:rPr>
      </w:r>
      <w:r>
        <w:rPr>
          <w:rFonts w:ascii="Calibri" w:hAnsi="Calibri"/>
          <w:b w:val="0"/>
          <w:i w:val="0"/>
          <w:color w:val="2E74B5"/>
          <w:sz w:val="24"/>
        </w:rPr>
        <w:t xml:space="preserve">☐  </w:t>
      </w:r>
      <w:r>
        <w:rPr>
          <w:rFonts w:ascii="Calibri" w:hAnsi="Calibri"/>
          <w:b w:val="0"/>
          <w:i w:val="0"/>
          <w:color w:val="233044"/>
          <w:sz w:val="21"/>
        </w:rPr>
        <w:t>Approve Azure Reader assignment only on the explicitly selected sandbox subscriptions.</w:t>
      </w:r>
    </w:p>
    <w:p>
      <w:pPr>
        <w:keepLines w:val="0"/>
        <w:spacing w:before="0" w:after="100" w:line="300" w:lineRule="auto"/>
        <w:ind w:left="29"/>
      </w:pPr>
      <w:r>
        <w:rPr>
          <w:rFonts w:ascii="Calibri" w:hAnsi="Calibri"/>
          <w:b w:val="0"/>
          <w:i w:val="0"/>
          <w:color w:val="233044"/>
          <w:sz w:val="22"/>
        </w:rPr>
      </w:r>
      <w:r>
        <w:rPr>
          <w:rFonts w:ascii="Calibri" w:hAnsi="Calibri"/>
          <w:b w:val="0"/>
          <w:i w:val="0"/>
          <w:color w:val="2E74B5"/>
          <w:sz w:val="24"/>
        </w:rPr>
        <w:t xml:space="preserve">☐  </w:t>
      </w:r>
      <w:r>
        <w:rPr>
          <w:rFonts w:ascii="Calibri" w:hAnsi="Calibri"/>
          <w:b w:val="0"/>
          <w:i w:val="0"/>
          <w:color w:val="233044"/>
          <w:sz w:val="21"/>
        </w:rPr>
        <w:t>Approve separate Microsoft Entra application-discovery consent after reviewing Denali's application identity and the two listed Graph application permissions.</w:t>
      </w:r>
    </w:p>
    <w:p>
      <w:pPr>
        <w:keepLines w:val="0"/>
        <w:spacing w:before="0" w:after="100" w:line="300" w:lineRule="auto"/>
        <w:ind w:left="29"/>
      </w:pPr>
      <w:r>
        <w:rPr>
          <w:rFonts w:ascii="Calibri" w:hAnsi="Calibri"/>
          <w:b w:val="0"/>
          <w:i w:val="0"/>
          <w:color w:val="233044"/>
          <w:sz w:val="22"/>
        </w:rPr>
      </w:r>
      <w:r>
        <w:rPr>
          <w:rFonts w:ascii="Calibri" w:hAnsi="Calibri"/>
          <w:b w:val="0"/>
          <w:i w:val="0"/>
          <w:color w:val="2E74B5"/>
          <w:sz w:val="24"/>
        </w:rPr>
        <w:t xml:space="preserve">☐  </w:t>
      </w:r>
      <w:r>
        <w:rPr>
          <w:rFonts w:ascii="Calibri" w:hAnsi="Calibri"/>
          <w:b w:val="0"/>
          <w:i w:val="0"/>
          <w:color w:val="233044"/>
          <w:sz w:val="21"/>
        </w:rPr>
        <w:t>Confirm that Microsoft 365 workload and Copilot telemetry and Azure Repos are deferred or require separately designed later phases.</w:t>
      </w:r>
    </w:p>
    <w:p>
      <w:pPr>
        <w:keepLines w:val="0"/>
        <w:spacing w:before="0" w:after="100" w:line="300" w:lineRule="auto"/>
        <w:ind w:left="29"/>
      </w:pPr>
      <w:r>
        <w:rPr>
          <w:rFonts w:ascii="Calibri" w:hAnsi="Calibri"/>
          <w:b w:val="0"/>
          <w:i w:val="0"/>
          <w:color w:val="233044"/>
          <w:sz w:val="22"/>
        </w:rPr>
      </w:r>
      <w:r>
        <w:rPr>
          <w:rFonts w:ascii="Calibri" w:hAnsi="Calibri"/>
          <w:b w:val="0"/>
          <w:i w:val="0"/>
          <w:color w:val="2E74B5"/>
          <w:sz w:val="24"/>
        </w:rPr>
        <w:t xml:space="preserve">☐  </w:t>
      </w:r>
      <w:r>
        <w:rPr>
          <w:rFonts w:ascii="Calibri" w:hAnsi="Calibri"/>
          <w:b w:val="0"/>
          <w:i w:val="0"/>
          <w:color w:val="233044"/>
          <w:sz w:val="21"/>
        </w:rPr>
        <w:t>Confirm data residency, retention and deletion requirements, security contacts, POC dates and success criteria.</w:t>
      </w:r>
    </w:p>
    <w:p>
      <w:pPr>
        <w:spacing w:before="280" w:after="0"/>
        <w:jc w:val="center"/>
      </w:pPr>
      <w:r>
        <w:rPr>
          <w:rFonts w:ascii="Calibri" w:hAnsi="Calibri"/>
          <w:b w:val="0"/>
          <w:i/>
          <w:color w:val="5F6B7A"/>
          <w:sz w:val="18"/>
        </w:rPr>
        <w:t>End of onboarding brief</w:t>
      </w:r>
    </w:p>
    <w:sectPr w:rsidR="00FC693F" w:rsidRPr="0006063C" w:rsidSect="00034616">
      <w:headerReference w:type="default" r:id="rId9"/>
      <w:headerReference w:type="even" r:id="rId10"/>
      <w:footerReference w:type="default" r:id="rId11"/>
      <w:footerReference w:type="even" r:id="rId1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Calibri" w:hAnsi="Calibri"/>
        <w:b w:val="0"/>
        <w:i w:val="0"/>
        <w:color w:val="5F6B7A"/>
        <w:sz w:val="17"/>
      </w:rPr>
      <w:t xml:space="preserve">BEEAH / Transilience — Confidential  |  Page </w:t>
    </w:r>
    <w:r>
      <w:rPr>
        <w:rFonts w:ascii="Calibri" w:hAnsi="Calibri"/>
        <w:b w:val="0"/>
        <w:i w:val="0"/>
        <w:color w:val="5F6B7A"/>
        <w:sz w:val="17"/>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Calibri" w:hAnsi="Calibri"/>
        <w:b w:val="0"/>
        <w:i w:val="0"/>
        <w:color w:val="5F6B7A"/>
        <w:sz w:val="17"/>
      </w:rPr>
      <w:t xml:space="preserve">BEEAH / Transilience — Confidential  |  Page </w:t>
    </w:r>
    <w:r>
      <w:rPr>
        <w:rFonts w:ascii="Calibri" w:hAnsi="Calibri"/>
        <w:b w:val="0"/>
        <w:i w:val="0"/>
        <w:color w:val="5F6B7A"/>
        <w:sz w:val="17"/>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6" w:color="EE6B4D"/>
      </w:pBdr>
    </w:pPr>
    <w:r>
      <w:rPr>
        <w:rFonts w:ascii="Calibri" w:hAnsi="Calibri"/>
        <w:b/>
        <w:i w:val="0"/>
        <w:color w:val="0B2545"/>
        <w:sz w:val="17"/>
      </w:rPr>
      <w:t>DENALI  |  BEEAH POC ONBOARDING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6" w:color="EE6B4D"/>
      </w:pBdr>
    </w:pPr>
    <w:r>
      <w:rPr>
        <w:rFonts w:ascii="Calibri" w:hAnsi="Calibri"/>
        <w:b/>
        <w:i w:val="0"/>
        <w:color w:val="0B2545"/>
        <w:sz w:val="17"/>
      </w:rPr>
      <w:t>DENALI  |  BEEAH POC ONBOARDING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suff w:val="tab"/>
      <w:pPr>
        <w:tabs>
          <w:tab w:val="num" w:pos="270"/>
        </w:tabs>
        <w:ind w:left="540" w:hanging="270"/>
      </w:pPr>
    </w:lvl>
  </w:abstractNum>
  <w:num w:numId="51">
    <w:abstractNumId w:val="41"/>
  </w:num>
  <w:abstractNum w:abstractNumId="42">
    <w:multiLevelType w:val="singleLevel"/>
    <w:lvl w:ilvl="0">
      <w:start w:val="1"/>
      <w:numFmt w:val="decimal"/>
      <w:lvlText w:val="%1."/>
      <w:suff w:val="tab"/>
      <w:pPr>
        <w:tabs>
          <w:tab w:val="num" w:pos="270"/>
        </w:tabs>
        <w:ind w:left="540" w:hanging="270"/>
      </w:pPr>
    </w:lvl>
  </w:abstractNum>
  <w:num w:numId="52">
    <w:abstractNumId w:val="42"/>
  </w:num>
  <w:abstractNum w:abstractNumId="43">
    <w:multiLevelType w:val="singleLevel"/>
    <w:lvl w:ilvl="0">
      <w:start w:val="1"/>
      <w:numFmt w:val="decimal"/>
      <w:lvlText w:val="%1."/>
      <w:suff w:val="tab"/>
      <w:pPr>
        <w:tabs>
          <w:tab w:val="num" w:pos="270"/>
        </w:tabs>
        <w:ind w:left="540" w:hanging="270"/>
      </w:pPr>
    </w:lvl>
  </w:abstractNum>
  <w:num w:numId="5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3304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BEEAH Azure and Microsoft Entra onboarding plan</dc:title>
  <dc:subject>Controlled proof of concept onboarding for BEEAH</dc:subject>
  <dc:creator>Transilience</dc:creator>
  <cp:keywords>Denali, BEEAH, Azure, Microsoft Entra, POC, onboarding</cp:keywords>
  <dc:description>Prepared for BEEAH CISO review; no secret values included.</dc:description>
  <cp:lastModifiedBy/>
  <cp:revision>1</cp:revision>
  <dcterms:created xsi:type="dcterms:W3CDTF">2013-12-23T23:15:00Z</dcterms:created>
  <dcterms:modified xsi:type="dcterms:W3CDTF">2013-12-23T23:15:00Z</dcterms:modified>
  <cp:category/>
</cp:coreProperties>
</file>