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407" w:rsidRDefault="001B2407" w:rsidP="000F7718">
      <w:pPr>
        <w:rPr>
          <w:b/>
          <w:bCs/>
          <w:sz w:val="24"/>
          <w:szCs w:val="24"/>
          <w:lang w:eastAsia="en-GB"/>
        </w:rPr>
      </w:pPr>
      <w:r>
        <w:rPr>
          <w:b/>
          <w:bCs/>
          <w:sz w:val="24"/>
          <w:szCs w:val="24"/>
          <w:lang w:eastAsia="en-GB"/>
        </w:rPr>
        <w:t>Supplementary Data</w:t>
      </w:r>
    </w:p>
    <w:p w:rsidR="00206E74" w:rsidRDefault="001B2407" w:rsidP="00CC5D4E">
      <w:pPr>
        <w:rPr>
          <w:bCs/>
          <w:sz w:val="24"/>
          <w:szCs w:val="24"/>
          <w:lang w:eastAsia="en-GB"/>
        </w:rPr>
      </w:pPr>
      <w:r w:rsidRPr="001B2407">
        <w:rPr>
          <w:bCs/>
          <w:sz w:val="24"/>
          <w:szCs w:val="24"/>
          <w:lang w:eastAsia="en-GB"/>
        </w:rPr>
        <w:t>PLEASE NOTE: The very long list of references supporting</w:t>
      </w:r>
      <w:r>
        <w:rPr>
          <w:b/>
          <w:bCs/>
          <w:sz w:val="24"/>
          <w:szCs w:val="24"/>
          <w:lang w:eastAsia="en-GB"/>
        </w:rPr>
        <w:t xml:space="preserve"> </w:t>
      </w:r>
      <w:r>
        <w:rPr>
          <w:bCs/>
          <w:sz w:val="24"/>
          <w:szCs w:val="24"/>
          <w:lang w:eastAsia="en-GB"/>
        </w:rPr>
        <w:t xml:space="preserve">each of the revised STOPP &amp; START criteria is too large to include in the present paper. The full list of these references is available on the journal website </w:t>
      </w:r>
      <w:hyperlink r:id="rId9" w:history="1">
        <w:r w:rsidRPr="005E62BD">
          <w:rPr>
            <w:rStyle w:val="Hyperlink"/>
            <w:rFonts w:cs="Calibri"/>
            <w:bCs/>
            <w:sz w:val="24"/>
            <w:szCs w:val="24"/>
            <w:lang w:eastAsia="en-GB"/>
          </w:rPr>
          <w:t>http://ageing.oxfordjournals.org</w:t>
        </w:r>
      </w:hyperlink>
      <w:r w:rsidR="00381549">
        <w:rPr>
          <w:bCs/>
          <w:sz w:val="24"/>
          <w:szCs w:val="24"/>
          <w:lang w:eastAsia="en-GB"/>
        </w:rPr>
        <w:t xml:space="preserve"> as Appendix </w:t>
      </w:r>
      <w:r>
        <w:rPr>
          <w:bCs/>
          <w:sz w:val="24"/>
          <w:szCs w:val="24"/>
          <w:lang w:eastAsia="en-GB"/>
        </w:rPr>
        <w:t>1 and Appendix 2.</w:t>
      </w:r>
      <w:r w:rsidR="000200E1">
        <w:rPr>
          <w:bCs/>
          <w:sz w:val="24"/>
          <w:szCs w:val="24"/>
          <w:lang w:eastAsia="en-GB"/>
        </w:rPr>
        <w:t xml:space="preserve"> </w:t>
      </w:r>
      <w:r w:rsidR="000200E1">
        <w:rPr>
          <w:bCs/>
          <w:sz w:val="24"/>
          <w:szCs w:val="24"/>
          <w:lang w:eastAsia="en-GB"/>
        </w:rPr>
        <w:t>In the same website, Appendix 3 shows the new STOPP criteria; Appendix 4 shows the new START criteria.</w:t>
      </w:r>
    </w:p>
    <w:p w:rsidR="00206E74" w:rsidRDefault="00206E74" w:rsidP="00CC5D4E">
      <w:pPr>
        <w:rPr>
          <w:bCs/>
          <w:sz w:val="24"/>
          <w:szCs w:val="24"/>
          <w:lang w:eastAsia="en-GB"/>
        </w:rPr>
      </w:pPr>
    </w:p>
    <w:p w:rsidR="00381549" w:rsidRDefault="00381549">
      <w:pPr>
        <w:spacing w:after="0" w:line="240" w:lineRule="auto"/>
        <w:rPr>
          <w:b/>
          <w:bCs/>
          <w:sz w:val="24"/>
          <w:szCs w:val="24"/>
        </w:rPr>
      </w:pPr>
      <w:r>
        <w:rPr>
          <w:b/>
          <w:bCs/>
          <w:sz w:val="24"/>
          <w:szCs w:val="24"/>
        </w:rPr>
        <w:br w:type="page"/>
      </w:r>
    </w:p>
    <w:p w:rsidR="00CC5D4E" w:rsidRDefault="00CC5D4E" w:rsidP="00CC5D4E">
      <w:pPr>
        <w:rPr>
          <w:b/>
          <w:bCs/>
          <w:sz w:val="24"/>
          <w:szCs w:val="24"/>
          <w:lang w:eastAsia="en-GB"/>
        </w:rPr>
      </w:pPr>
      <w:r w:rsidRPr="00CC5D4E">
        <w:rPr>
          <w:b/>
          <w:bCs/>
          <w:sz w:val="36"/>
          <w:szCs w:val="36"/>
          <w:lang w:eastAsia="en-GB"/>
        </w:rPr>
        <w:lastRenderedPageBreak/>
        <w:t>Supplementary Data</w:t>
      </w:r>
    </w:p>
    <w:p w:rsidR="00CC5D4E" w:rsidRDefault="00CC5D4E" w:rsidP="000F7718">
      <w:pPr>
        <w:rPr>
          <w:b/>
          <w:bCs/>
          <w:sz w:val="24"/>
          <w:szCs w:val="24"/>
          <w:lang w:eastAsia="en-GB"/>
        </w:rPr>
      </w:pPr>
    </w:p>
    <w:p w:rsidR="00851DC2" w:rsidRPr="00E07D15" w:rsidRDefault="00851DC2" w:rsidP="00851DC2">
      <w:pPr>
        <w:rPr>
          <w:sz w:val="24"/>
          <w:szCs w:val="24"/>
        </w:rPr>
      </w:pPr>
      <w:r>
        <w:rPr>
          <w:b/>
          <w:bCs/>
          <w:sz w:val="28"/>
          <w:szCs w:val="28"/>
          <w:u w:val="single"/>
          <w:lang w:eastAsia="en-GB"/>
        </w:rPr>
        <w:t xml:space="preserve">Appendix 1: </w:t>
      </w:r>
      <w:r w:rsidRPr="002D54F4">
        <w:rPr>
          <w:b/>
          <w:bCs/>
          <w:sz w:val="28"/>
          <w:szCs w:val="28"/>
          <w:u w:val="single"/>
          <w:lang w:eastAsia="en-GB"/>
        </w:rPr>
        <w:t>STOPP Criteria</w:t>
      </w:r>
      <w:r>
        <w:rPr>
          <w:b/>
          <w:bCs/>
          <w:sz w:val="28"/>
          <w:szCs w:val="28"/>
          <w:u w:val="single"/>
          <w:lang w:eastAsia="en-GB"/>
        </w:rPr>
        <w:t xml:space="preserve"> References</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r>
        <w:rPr>
          <w:b/>
          <w:bCs/>
          <w:sz w:val="28"/>
          <w:szCs w:val="28"/>
          <w:lang w:eastAsia="en-GB"/>
        </w:rPr>
        <w:t>Section A: Drug i</w:t>
      </w:r>
      <w:r w:rsidRPr="002D54F4">
        <w:rPr>
          <w:b/>
          <w:bCs/>
          <w:sz w:val="28"/>
          <w:szCs w:val="28"/>
          <w:lang w:eastAsia="en-GB"/>
        </w:rPr>
        <w:t>ndication</w:t>
      </w:r>
      <w:r>
        <w:rPr>
          <w:b/>
          <w:bCs/>
          <w:sz w:val="28"/>
          <w:szCs w:val="28"/>
          <w:lang w:eastAsia="en-GB"/>
        </w:rPr>
        <w:t xml:space="preserve"> criteria</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333333"/>
          <w:lang w:eastAsia="en-IE"/>
        </w:rPr>
      </w:pPr>
      <w:r w:rsidRPr="002D54F4">
        <w:rPr>
          <w:b/>
          <w:bCs/>
          <w:color w:val="333333"/>
          <w:lang w:eastAsia="en-IE"/>
        </w:rPr>
        <w:t>A1. Any drug prescribed without an evidence-based clinical indication.</w:t>
      </w:r>
    </w:p>
    <w:p w:rsidR="00851DC2" w:rsidRPr="002D54F4" w:rsidRDefault="00851DC2" w:rsidP="00851DC2">
      <w:pPr>
        <w:spacing w:after="0" w:line="240" w:lineRule="auto"/>
        <w:rPr>
          <w:lang w:val="en-IE" w:eastAsia="en-GB"/>
        </w:rPr>
      </w:pPr>
    </w:p>
    <w:p w:rsidR="00851DC2" w:rsidRPr="002D54F4" w:rsidRDefault="00851DC2" w:rsidP="00851DC2">
      <w:pPr>
        <w:spacing w:after="0" w:line="240" w:lineRule="auto"/>
        <w:rPr>
          <w:lang w:val="en-IE" w:eastAsia="en-GB"/>
        </w:rPr>
      </w:pPr>
      <w:r w:rsidRPr="002D54F4">
        <w:rPr>
          <w:lang w:val="en-IE" w:eastAsia="en-GB"/>
        </w:rPr>
        <w:t>No references (self-evident)</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333333"/>
          <w:lang w:eastAsia="en-IE"/>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333333"/>
          <w:lang w:eastAsia="en-IE"/>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333333"/>
          <w:lang w:eastAsia="en-IE"/>
        </w:rPr>
      </w:pPr>
      <w:r w:rsidRPr="002D54F4">
        <w:rPr>
          <w:b/>
          <w:bCs/>
          <w:color w:val="333333"/>
          <w:lang w:eastAsia="en-IE"/>
        </w:rPr>
        <w:t>A2. Any drug prescribed beyond the recommended duration, where treatment duration is well defined.</w:t>
      </w:r>
    </w:p>
    <w:p w:rsidR="00851DC2" w:rsidRPr="002D54F4" w:rsidRDefault="00851DC2" w:rsidP="00851DC2">
      <w:pPr>
        <w:spacing w:after="0" w:line="240" w:lineRule="auto"/>
        <w:rPr>
          <w:lang w:val="en-IE" w:eastAsia="en-GB"/>
        </w:rPr>
      </w:pPr>
    </w:p>
    <w:p w:rsidR="00851DC2" w:rsidRPr="002D54F4" w:rsidRDefault="00851DC2" w:rsidP="00851DC2">
      <w:pPr>
        <w:spacing w:after="0" w:line="240" w:lineRule="auto"/>
        <w:rPr>
          <w:lang w:val="en-IE" w:eastAsia="en-GB"/>
        </w:rPr>
      </w:pPr>
      <w:r w:rsidRPr="002D54F4">
        <w:rPr>
          <w:lang w:val="en-IE" w:eastAsia="en-GB"/>
        </w:rPr>
        <w:t>No references (self-evident)</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333333"/>
          <w:lang w:eastAsia="en-IE"/>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333333"/>
          <w:lang w:eastAsia="en-IE"/>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333333"/>
          <w:lang w:eastAsia="en-IE"/>
        </w:rPr>
      </w:pPr>
      <w:r w:rsidRPr="002D54F4">
        <w:rPr>
          <w:b/>
          <w:bCs/>
          <w:color w:val="333333"/>
          <w:lang w:eastAsia="en-IE"/>
        </w:rPr>
        <w:t>A3. Any duplicate drug class prescription e.g. two concurrent NSAIDs, SSRIs, loop diuretics, ACE inhibitors, anticoagulants (optimisation of monotherapy within a single drug class should be observed prior to considering a new agent).</w:t>
      </w:r>
    </w:p>
    <w:p w:rsidR="00851DC2" w:rsidRPr="002D54F4" w:rsidRDefault="00851DC2" w:rsidP="00851DC2">
      <w:pPr>
        <w:spacing w:after="0" w:line="240" w:lineRule="auto"/>
        <w:rPr>
          <w:lang w:val="en-IE" w:eastAsia="en-GB"/>
        </w:rPr>
      </w:pPr>
    </w:p>
    <w:p w:rsidR="00851DC2" w:rsidRPr="002D54F4" w:rsidRDefault="00851DC2" w:rsidP="00851DC2">
      <w:pPr>
        <w:spacing w:after="0" w:line="240" w:lineRule="auto"/>
        <w:rPr>
          <w:lang w:val="en-IE" w:eastAsia="en-GB"/>
        </w:rPr>
      </w:pPr>
      <w:r w:rsidRPr="002D54F4">
        <w:rPr>
          <w:lang w:val="en-IE" w:eastAsia="en-GB"/>
        </w:rPr>
        <w:t>A3. (i): Olsson J, Bergman A, Carlsten A, Oké T, Bernsten C, Schmidt IK, Fastbom J.</w:t>
      </w:r>
      <w:r>
        <w:rPr>
          <w:lang w:val="en-IE" w:eastAsia="en-GB"/>
        </w:rPr>
        <w:t xml:space="preserve"> </w:t>
      </w:r>
      <w:r w:rsidRPr="002D54F4">
        <w:rPr>
          <w:lang w:val="en-IE" w:eastAsia="en-GB"/>
        </w:rPr>
        <w:t>Quality of drug prescribing in elderly people in nursing homes and special care units for dementia: a cross-sectional computerized pharmacy register analysis.</w:t>
      </w:r>
      <w:r>
        <w:rPr>
          <w:lang w:val="en-IE" w:eastAsia="en-GB"/>
        </w:rPr>
        <w:t>Clin Drug Investig</w:t>
      </w:r>
      <w:r w:rsidRPr="002D54F4">
        <w:rPr>
          <w:lang w:val="en-IE" w:eastAsia="en-GB"/>
        </w:rPr>
        <w:t xml:space="preserve"> 2010;</w:t>
      </w:r>
      <w:r>
        <w:rPr>
          <w:lang w:val="en-IE" w:eastAsia="en-GB"/>
        </w:rPr>
        <w:t xml:space="preserve"> </w:t>
      </w:r>
      <w:r w:rsidRPr="002D54F4">
        <w:rPr>
          <w:lang w:val="en-IE" w:eastAsia="en-GB"/>
        </w:rPr>
        <w:t>30(5):</w:t>
      </w:r>
      <w:r>
        <w:rPr>
          <w:lang w:val="en-IE" w:eastAsia="en-GB"/>
        </w:rPr>
        <w:t xml:space="preserve"> </w:t>
      </w:r>
      <w:r w:rsidRPr="002D54F4">
        <w:rPr>
          <w:lang w:val="en-IE" w:eastAsia="en-GB"/>
        </w:rPr>
        <w:t>289-300. PubMed PMID: 20384385.</w:t>
      </w:r>
    </w:p>
    <w:p w:rsidR="00851DC2" w:rsidRPr="002D54F4" w:rsidRDefault="00851DC2" w:rsidP="00851DC2">
      <w:pPr>
        <w:spacing w:after="0" w:line="240" w:lineRule="auto"/>
        <w:rPr>
          <w:lang w:val="en-IE" w:eastAsia="en-GB"/>
        </w:rPr>
      </w:pPr>
    </w:p>
    <w:p w:rsidR="00851DC2" w:rsidRPr="002D54F4" w:rsidRDefault="00851DC2" w:rsidP="00851DC2">
      <w:pPr>
        <w:spacing w:after="0" w:line="240" w:lineRule="auto"/>
        <w:rPr>
          <w:lang w:val="en-IE" w:eastAsia="en-GB"/>
        </w:rPr>
      </w:pPr>
      <w:r w:rsidRPr="002D54F4">
        <w:rPr>
          <w:lang w:val="en-IE" w:eastAsia="en-GB"/>
        </w:rPr>
        <w:t>A3. (ii): Martin BC, Wiley-Exley EK, Richards S, Domino ME, Carey TS, Sleath BL.</w:t>
      </w:r>
      <w:r>
        <w:rPr>
          <w:lang w:val="en-IE" w:eastAsia="en-GB"/>
        </w:rPr>
        <w:t xml:space="preserve"> </w:t>
      </w:r>
      <w:r w:rsidRPr="002D54F4">
        <w:rPr>
          <w:lang w:val="en-IE" w:eastAsia="en-GB"/>
        </w:rPr>
        <w:t>Contrasting measures of adherence with simple drug use, medication switching, and</w:t>
      </w:r>
      <w:r>
        <w:rPr>
          <w:lang w:val="en-IE" w:eastAsia="en-GB"/>
        </w:rPr>
        <w:t xml:space="preserve"> </w:t>
      </w:r>
      <w:r w:rsidRPr="002D54F4">
        <w:rPr>
          <w:lang w:val="en-IE" w:eastAsia="en-GB"/>
        </w:rPr>
        <w:t>therapeuti</w:t>
      </w:r>
      <w:r>
        <w:rPr>
          <w:lang w:val="en-IE" w:eastAsia="en-GB"/>
        </w:rPr>
        <w:t>c duplication. Ann Pharmacother 2009</w:t>
      </w:r>
      <w:r w:rsidRPr="002D54F4">
        <w:rPr>
          <w:lang w:val="en-IE" w:eastAsia="en-GB"/>
        </w:rPr>
        <w:t>;</w:t>
      </w:r>
      <w:r>
        <w:rPr>
          <w:lang w:val="en-IE" w:eastAsia="en-GB"/>
        </w:rPr>
        <w:t xml:space="preserve"> </w:t>
      </w:r>
      <w:r w:rsidRPr="002D54F4">
        <w:rPr>
          <w:lang w:val="en-IE" w:eastAsia="en-GB"/>
        </w:rPr>
        <w:t>43(1):</w:t>
      </w:r>
      <w:r>
        <w:rPr>
          <w:lang w:val="en-IE" w:eastAsia="en-GB"/>
        </w:rPr>
        <w:t xml:space="preserve"> </w:t>
      </w:r>
      <w:r w:rsidRPr="002D54F4">
        <w:rPr>
          <w:lang w:val="en-IE" w:eastAsia="en-GB"/>
        </w:rPr>
        <w:t>36-44. PubMed PMID: 19126828.</w:t>
      </w:r>
    </w:p>
    <w:p w:rsidR="00851DC2" w:rsidRPr="002D54F4" w:rsidRDefault="00851DC2" w:rsidP="00851DC2">
      <w:pPr>
        <w:spacing w:after="0" w:line="240" w:lineRule="auto"/>
        <w:rPr>
          <w:lang w:val="en-IE" w:eastAsia="en-GB"/>
        </w:rPr>
      </w:pPr>
    </w:p>
    <w:p w:rsidR="00851DC2" w:rsidRPr="002D54F4" w:rsidRDefault="00851DC2" w:rsidP="00851DC2">
      <w:pPr>
        <w:spacing w:after="0" w:line="240" w:lineRule="auto"/>
        <w:rPr>
          <w:lang w:val="en-IE" w:eastAsia="en-GB"/>
        </w:rPr>
      </w:pPr>
      <w:r w:rsidRPr="002D54F4">
        <w:rPr>
          <w:lang w:val="en-IE" w:eastAsia="en-GB"/>
        </w:rPr>
        <w:t xml:space="preserve">A3. (iii): Laurier C, Moride Y, Kennedy WA. </w:t>
      </w:r>
      <w:proofErr w:type="gramStart"/>
      <w:r w:rsidRPr="002D54F4">
        <w:rPr>
          <w:lang w:val="en-IE" w:eastAsia="en-GB"/>
        </w:rPr>
        <w:t>Health survey data on potentially</w:t>
      </w:r>
      <w:r>
        <w:rPr>
          <w:lang w:val="en-IE" w:eastAsia="en-GB"/>
        </w:rPr>
        <w:t xml:space="preserve"> </w:t>
      </w:r>
      <w:r w:rsidRPr="002D54F4">
        <w:rPr>
          <w:lang w:val="en-IE" w:eastAsia="en-GB"/>
        </w:rPr>
        <w:t>inappropriate geriat</w:t>
      </w:r>
      <w:r>
        <w:rPr>
          <w:lang w:val="en-IE" w:eastAsia="en-GB"/>
        </w:rPr>
        <w:t>ric drug use.</w:t>
      </w:r>
      <w:proofErr w:type="gramEnd"/>
      <w:r>
        <w:rPr>
          <w:lang w:val="en-IE" w:eastAsia="en-GB"/>
        </w:rPr>
        <w:t xml:space="preserve"> Ann Pharmacother 2002</w:t>
      </w:r>
      <w:r w:rsidRPr="002D54F4">
        <w:rPr>
          <w:lang w:val="en-IE" w:eastAsia="en-GB"/>
        </w:rPr>
        <w:t>;</w:t>
      </w:r>
      <w:r>
        <w:rPr>
          <w:lang w:val="en-IE" w:eastAsia="en-GB"/>
        </w:rPr>
        <w:t xml:space="preserve"> </w:t>
      </w:r>
      <w:r w:rsidRPr="002D54F4">
        <w:rPr>
          <w:lang w:val="en-IE" w:eastAsia="en-GB"/>
        </w:rPr>
        <w:t>36(3):</w:t>
      </w:r>
      <w:r>
        <w:rPr>
          <w:lang w:val="en-IE" w:eastAsia="en-GB"/>
        </w:rPr>
        <w:t xml:space="preserve"> </w:t>
      </w:r>
      <w:r w:rsidRPr="002D54F4">
        <w:rPr>
          <w:lang w:val="en-IE" w:eastAsia="en-GB"/>
        </w:rPr>
        <w:t>404-9. PubMed PMID: 11895051.</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r w:rsidRPr="002D54F4">
        <w:rPr>
          <w:b/>
          <w:bCs/>
          <w:sz w:val="28"/>
          <w:szCs w:val="28"/>
          <w:lang w:eastAsia="en-GB"/>
        </w:rPr>
        <w:t xml:space="preserve">Section B: Cardiovascular </w:t>
      </w:r>
      <w:r>
        <w:rPr>
          <w:b/>
          <w:bCs/>
          <w:sz w:val="28"/>
          <w:szCs w:val="28"/>
          <w:lang w:eastAsia="en-GB"/>
        </w:rPr>
        <w:t xml:space="preserve">System </w:t>
      </w:r>
      <w:r w:rsidRPr="002D54F4">
        <w:rPr>
          <w:b/>
          <w:bCs/>
          <w:sz w:val="28"/>
          <w:szCs w:val="28"/>
          <w:lang w:eastAsia="en-GB"/>
        </w:rPr>
        <w:t>criteria</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333333"/>
          <w:lang w:eastAsia="en-IE"/>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2D54F4">
        <w:rPr>
          <w:b/>
          <w:bCs/>
          <w:color w:val="333333"/>
          <w:lang w:eastAsia="en-IE"/>
        </w:rPr>
        <w:t>B1. Digoxin for heart failure with preserved systolic ventricular function (no clear evidence of benefit)</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2D54F4">
        <w:rPr>
          <w:lang w:eastAsia="en-GB"/>
        </w:rPr>
        <w:t>B1</w:t>
      </w:r>
      <w:r>
        <w:rPr>
          <w:lang w:eastAsia="en-GB"/>
        </w:rPr>
        <w:t xml:space="preserve"> (i)</w:t>
      </w:r>
      <w:r w:rsidRPr="002D54F4">
        <w:rPr>
          <w:lang w:eastAsia="en-GB"/>
        </w:rPr>
        <w:t>.</w:t>
      </w:r>
      <w:proofErr w:type="gramEnd"/>
      <w:r w:rsidRPr="002D54F4">
        <w:rPr>
          <w:lang w:eastAsia="en-GB"/>
        </w:rPr>
        <w:t xml:space="preserve"> Jessup M, Abraham WT, Casey DE, Feldman AM, Francis GS, Ganiats TG, Konstam</w:t>
      </w:r>
      <w:r>
        <w:rPr>
          <w:lang w:eastAsia="en-GB"/>
        </w:rPr>
        <w:t xml:space="preserve"> </w:t>
      </w:r>
      <w:r w:rsidRPr="002D54F4">
        <w:rPr>
          <w:lang w:eastAsia="en-GB"/>
        </w:rPr>
        <w:t>MA, Mancini DM, Rahko PS, Silver MA, Stevenson LW, Yancy CW. 2009 focused update:</w:t>
      </w:r>
      <w:r>
        <w:rPr>
          <w:lang w:eastAsia="en-GB"/>
        </w:rPr>
        <w:t xml:space="preserve"> </w:t>
      </w:r>
      <w:r w:rsidRPr="002D54F4">
        <w:rPr>
          <w:lang w:eastAsia="en-GB"/>
        </w:rPr>
        <w:t>ACCF/AHA Guidelines for the Diagnosis and Management of Heart Failure in Adults</w:t>
      </w:r>
      <w:proofErr w:type="gramStart"/>
      <w:r w:rsidRPr="002D54F4">
        <w:rPr>
          <w:lang w:eastAsia="en-GB"/>
        </w:rPr>
        <w:t>:a</w:t>
      </w:r>
      <w:proofErr w:type="gramEnd"/>
      <w:r w:rsidRPr="002D54F4">
        <w:rPr>
          <w:lang w:eastAsia="en-GB"/>
        </w:rPr>
        <w:t xml:space="preserve"> re</w:t>
      </w:r>
      <w:r>
        <w:rPr>
          <w:lang w:eastAsia="en-GB"/>
        </w:rPr>
        <w:t xml:space="preserve">port of the American College of </w:t>
      </w:r>
      <w:r w:rsidRPr="002D54F4">
        <w:rPr>
          <w:lang w:eastAsia="en-GB"/>
        </w:rPr>
        <w:t>Cardiology Foundation/American Heart</w:t>
      </w:r>
      <w:r>
        <w:rPr>
          <w:lang w:eastAsia="en-GB"/>
        </w:rPr>
        <w:t xml:space="preserve"> </w:t>
      </w:r>
      <w:r w:rsidRPr="002D54F4">
        <w:rPr>
          <w:lang w:eastAsia="en-GB"/>
        </w:rPr>
        <w:t>Association Task Force on Practice Guidelines: developed in collaboration with</w:t>
      </w:r>
      <w:r>
        <w:rPr>
          <w:lang w:eastAsia="en-GB"/>
        </w:rPr>
        <w:t xml:space="preserve"> </w:t>
      </w:r>
      <w:r w:rsidRPr="002D54F4">
        <w:rPr>
          <w:lang w:eastAsia="en-GB"/>
        </w:rPr>
        <w:t>the International Society for Heart and Lu</w:t>
      </w:r>
      <w:r>
        <w:rPr>
          <w:lang w:eastAsia="en-GB"/>
        </w:rPr>
        <w:t>ng Transplantation. Circulation 2009</w:t>
      </w:r>
      <w:r w:rsidRPr="002D54F4">
        <w:rPr>
          <w:lang w:eastAsia="en-GB"/>
        </w:rPr>
        <w:t>;</w:t>
      </w:r>
      <w:r>
        <w:rPr>
          <w:lang w:eastAsia="en-GB"/>
        </w:rPr>
        <w:t xml:space="preserve"> </w:t>
      </w:r>
      <w:r w:rsidRPr="002D54F4">
        <w:rPr>
          <w:lang w:eastAsia="en-GB"/>
        </w:rPr>
        <w:t>119(14):</w:t>
      </w:r>
      <w:r>
        <w:rPr>
          <w:lang w:eastAsia="en-GB"/>
        </w:rPr>
        <w:t xml:space="preserve"> </w:t>
      </w:r>
      <w:r w:rsidRPr="002D54F4">
        <w:rPr>
          <w:lang w:eastAsia="en-GB"/>
        </w:rPr>
        <w:t>1977-2016. PubMed PMID: 19324967.</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D4739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Pr>
          <w:lang w:eastAsia="en-GB"/>
        </w:rPr>
        <w:lastRenderedPageBreak/>
        <w:t xml:space="preserve">B1 (ii): </w:t>
      </w:r>
      <w:r w:rsidRPr="00D47395">
        <w:rPr>
          <w:lang w:val="en-IE" w:eastAsia="en-GB"/>
        </w:rPr>
        <w:t xml:space="preserve">Cheng JW, Nayar M. </w:t>
      </w:r>
      <w:proofErr w:type="gramStart"/>
      <w:r w:rsidRPr="00D47395">
        <w:rPr>
          <w:lang w:val="en-IE" w:eastAsia="en-GB"/>
        </w:rPr>
        <w:t>A review of heart fa</w:t>
      </w:r>
      <w:r>
        <w:rPr>
          <w:lang w:val="en-IE" w:eastAsia="en-GB"/>
        </w:rPr>
        <w:t xml:space="preserve">ilure management in the elderly </w:t>
      </w:r>
      <w:r w:rsidRPr="00D47395">
        <w:rPr>
          <w:lang w:val="en-IE" w:eastAsia="en-GB"/>
        </w:rPr>
        <w:t>popula</w:t>
      </w:r>
      <w:r>
        <w:rPr>
          <w:lang w:val="en-IE" w:eastAsia="en-GB"/>
        </w:rPr>
        <w:t>tion.</w:t>
      </w:r>
      <w:proofErr w:type="gramEnd"/>
      <w:r>
        <w:rPr>
          <w:lang w:val="en-IE" w:eastAsia="en-GB"/>
        </w:rPr>
        <w:t xml:space="preserve">  Am J Geriatr Pharmacother 2009</w:t>
      </w:r>
      <w:r w:rsidRPr="00D47395">
        <w:rPr>
          <w:lang w:val="en-IE" w:eastAsia="en-GB"/>
        </w:rPr>
        <w:t>;</w:t>
      </w:r>
      <w:r>
        <w:rPr>
          <w:lang w:val="en-IE" w:eastAsia="en-GB"/>
        </w:rPr>
        <w:t xml:space="preserve"> </w:t>
      </w:r>
      <w:r w:rsidRPr="00D47395">
        <w:rPr>
          <w:lang w:val="en-IE" w:eastAsia="en-GB"/>
        </w:rPr>
        <w:t>7(5):</w:t>
      </w:r>
      <w:r>
        <w:rPr>
          <w:lang w:val="en-IE" w:eastAsia="en-GB"/>
        </w:rPr>
        <w:t xml:space="preserve"> </w:t>
      </w:r>
      <w:r w:rsidRPr="00D47395">
        <w:rPr>
          <w:lang w:val="en-IE" w:eastAsia="en-GB"/>
        </w:rPr>
        <w:t xml:space="preserve">233-49. </w:t>
      </w:r>
      <w:proofErr w:type="gramStart"/>
      <w:r w:rsidRPr="00D47395">
        <w:rPr>
          <w:lang w:val="en-IE" w:eastAsia="en-GB"/>
        </w:rPr>
        <w:t>Review.</w:t>
      </w:r>
      <w:proofErr w:type="gramEnd"/>
      <w:r w:rsidRPr="00D47395">
        <w:rPr>
          <w:lang w:val="en-IE" w:eastAsia="en-GB"/>
        </w:rPr>
        <w:t xml:space="preserve"> PubMed PMID: 19948300.</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2D54F4" w:rsidRDefault="00851DC2" w:rsidP="00851DC2">
      <w:pPr>
        <w:spacing w:after="0" w:line="240" w:lineRule="auto"/>
        <w:rPr>
          <w:b/>
          <w:bCs/>
          <w:color w:val="333333"/>
          <w:lang w:eastAsia="en-IE"/>
        </w:rPr>
      </w:pPr>
      <w:r w:rsidRPr="002D54F4">
        <w:rPr>
          <w:b/>
          <w:bCs/>
          <w:color w:val="333333"/>
          <w:lang w:eastAsia="en-IE"/>
        </w:rPr>
        <w:t>B2. Verapamil or diltiazem with NYHA Class III or IV heart failure (may worsen heart failure).</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2D54F4">
        <w:rPr>
          <w:lang w:eastAsia="en-GB"/>
        </w:rPr>
        <w:t>B2</w:t>
      </w:r>
      <w:r>
        <w:rPr>
          <w:lang w:eastAsia="en-GB"/>
        </w:rPr>
        <w:t xml:space="preserve"> (i): </w:t>
      </w:r>
      <w:r w:rsidRPr="002D54F4">
        <w:rPr>
          <w:lang w:eastAsia="en-GB"/>
        </w:rPr>
        <w:t xml:space="preserve">Amabile CM, Spencer AP. </w:t>
      </w:r>
      <w:proofErr w:type="gramStart"/>
      <w:r w:rsidRPr="002D54F4">
        <w:rPr>
          <w:lang w:eastAsia="en-GB"/>
        </w:rPr>
        <w:t>Keeping</w:t>
      </w:r>
      <w:proofErr w:type="gramEnd"/>
      <w:r w:rsidRPr="002D54F4">
        <w:rPr>
          <w:lang w:eastAsia="en-GB"/>
        </w:rPr>
        <w:t xml:space="preserve"> your patient with heart failure safe: a review</w:t>
      </w:r>
      <w:r>
        <w:rPr>
          <w:lang w:eastAsia="en-GB"/>
        </w:rPr>
        <w:t xml:space="preserve"> </w:t>
      </w:r>
      <w:r w:rsidRPr="002D54F4">
        <w:rPr>
          <w:lang w:eastAsia="en-GB"/>
        </w:rPr>
        <w:t>of potentially dangero</w:t>
      </w:r>
      <w:r>
        <w:rPr>
          <w:lang w:eastAsia="en-GB"/>
        </w:rPr>
        <w:t>us medications. Arch Intern Med 2004</w:t>
      </w:r>
      <w:r w:rsidRPr="002D54F4">
        <w:rPr>
          <w:lang w:eastAsia="en-GB"/>
        </w:rPr>
        <w:t>;</w:t>
      </w:r>
      <w:r>
        <w:rPr>
          <w:lang w:eastAsia="en-GB"/>
        </w:rPr>
        <w:t xml:space="preserve"> </w:t>
      </w:r>
      <w:r w:rsidRPr="002D54F4">
        <w:rPr>
          <w:lang w:eastAsia="en-GB"/>
        </w:rPr>
        <w:t>164(7):</w:t>
      </w:r>
      <w:r>
        <w:rPr>
          <w:lang w:eastAsia="en-GB"/>
        </w:rPr>
        <w:t xml:space="preserve"> </w:t>
      </w:r>
      <w:r w:rsidRPr="002D54F4">
        <w:rPr>
          <w:lang w:eastAsia="en-GB"/>
        </w:rPr>
        <w:t>709-20.</w:t>
      </w:r>
      <w:r>
        <w:rPr>
          <w:lang w:eastAsia="en-GB"/>
        </w:rPr>
        <w:t xml:space="preserve"> </w:t>
      </w:r>
      <w:proofErr w:type="gramStart"/>
      <w:r>
        <w:rPr>
          <w:lang w:eastAsia="en-GB"/>
        </w:rPr>
        <w:t>Review.</w:t>
      </w:r>
      <w:proofErr w:type="gramEnd"/>
      <w:r>
        <w:rPr>
          <w:lang w:eastAsia="en-GB"/>
        </w:rPr>
        <w:t xml:space="preserve"> PubMed </w:t>
      </w:r>
      <w:r w:rsidRPr="002D54F4">
        <w:rPr>
          <w:lang w:eastAsia="en-GB"/>
        </w:rPr>
        <w:t>PMID</w:t>
      </w:r>
      <w:proofErr w:type="gramStart"/>
      <w:r w:rsidRPr="002D54F4">
        <w:rPr>
          <w:lang w:eastAsia="en-GB"/>
        </w:rPr>
        <w:t>:15078640</w:t>
      </w:r>
      <w:proofErr w:type="gramEnd"/>
      <w:r w:rsidRPr="002D54F4">
        <w:rPr>
          <w:lang w:eastAsia="en-GB"/>
        </w:rPr>
        <w:t>.</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Pr>
          <w:lang w:eastAsia="en-GB"/>
        </w:rPr>
        <w:t xml:space="preserve">B2 (ii): </w:t>
      </w:r>
      <w:r w:rsidRPr="0074516F">
        <w:rPr>
          <w:lang w:val="en-IE" w:eastAsia="en-GB"/>
        </w:rPr>
        <w:t>Opie LH, Yusuf S, Kübler W. Current status of</w:t>
      </w:r>
      <w:r>
        <w:rPr>
          <w:lang w:val="en-IE" w:eastAsia="en-GB"/>
        </w:rPr>
        <w:t xml:space="preserve"> safety and efficacy of calcium </w:t>
      </w:r>
      <w:r w:rsidRPr="0074516F">
        <w:rPr>
          <w:lang w:val="en-IE" w:eastAsia="en-GB"/>
        </w:rPr>
        <w:t>channel blockers in cardiovascular diseases: a critical analysis based on 100</w:t>
      </w:r>
      <w:r>
        <w:rPr>
          <w:lang w:val="en-IE" w:eastAsia="en-GB"/>
        </w:rPr>
        <w:t xml:space="preserve"> </w:t>
      </w:r>
      <w:r w:rsidRPr="0074516F">
        <w:rPr>
          <w:lang w:val="en-IE" w:eastAsia="en-GB"/>
        </w:rPr>
        <w:t>studies. Prog</w:t>
      </w:r>
      <w:r>
        <w:rPr>
          <w:lang w:val="en-IE" w:eastAsia="en-GB"/>
        </w:rPr>
        <w:t xml:space="preserve"> Cardiovasc Dis 2000</w:t>
      </w:r>
      <w:r w:rsidRPr="0074516F">
        <w:rPr>
          <w:lang w:val="en-IE" w:eastAsia="en-GB"/>
        </w:rPr>
        <w:t>;</w:t>
      </w:r>
      <w:r>
        <w:rPr>
          <w:lang w:val="en-IE" w:eastAsia="en-GB"/>
        </w:rPr>
        <w:t xml:space="preserve"> </w:t>
      </w:r>
      <w:r w:rsidRPr="0074516F">
        <w:rPr>
          <w:lang w:val="en-IE" w:eastAsia="en-GB"/>
        </w:rPr>
        <w:t>43(2):</w:t>
      </w:r>
      <w:r>
        <w:rPr>
          <w:lang w:val="en-IE" w:eastAsia="en-GB"/>
        </w:rPr>
        <w:t xml:space="preserve"> </w:t>
      </w:r>
      <w:r w:rsidRPr="0074516F">
        <w:rPr>
          <w:lang w:val="en-IE" w:eastAsia="en-GB"/>
        </w:rPr>
        <w:t xml:space="preserve">171-96. </w:t>
      </w:r>
      <w:proofErr w:type="gramStart"/>
      <w:r w:rsidRPr="0074516F">
        <w:rPr>
          <w:lang w:val="en-IE" w:eastAsia="en-GB"/>
        </w:rPr>
        <w:t>Review.</w:t>
      </w:r>
      <w:proofErr w:type="gramEnd"/>
      <w:r w:rsidRPr="0074516F">
        <w:rPr>
          <w:lang w:val="en-IE" w:eastAsia="en-GB"/>
        </w:rPr>
        <w:t xml:space="preserve"> PubMed PMID</w:t>
      </w:r>
      <w:proofErr w:type="gramStart"/>
      <w:r w:rsidRPr="0074516F">
        <w:rPr>
          <w:lang w:val="en-IE" w:eastAsia="en-GB"/>
        </w:rPr>
        <w:t>:11014332</w:t>
      </w:r>
      <w:proofErr w:type="gramEnd"/>
      <w:r w:rsidRPr="0074516F">
        <w:rPr>
          <w:lang w:val="en-IE" w:eastAsia="en-GB"/>
        </w:rPr>
        <w:t>.</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p>
    <w:p w:rsidR="00851DC2" w:rsidRPr="0074516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sidRPr="002D54F4">
        <w:rPr>
          <w:b/>
          <w:bCs/>
          <w:color w:val="333333"/>
          <w:lang w:eastAsia="en-IE"/>
        </w:rPr>
        <w:t xml:space="preserve">B3. </w:t>
      </w:r>
      <w:proofErr w:type="gramStart"/>
      <w:r w:rsidRPr="002D54F4">
        <w:rPr>
          <w:b/>
          <w:bCs/>
          <w:color w:val="333333"/>
          <w:lang w:eastAsia="en-IE"/>
        </w:rPr>
        <w:t>Beta-blocker in combination with verapamil or diltiazem (risk of heart block).</w:t>
      </w:r>
      <w:proofErr w:type="gramEnd"/>
    </w:p>
    <w:p w:rsidR="00851DC2" w:rsidRPr="0002191C"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Pr>
          <w:lang w:val="en-IE" w:eastAsia="en-GB"/>
        </w:rPr>
        <w:t xml:space="preserve">B3 (i): </w:t>
      </w:r>
      <w:r w:rsidRPr="0002191C">
        <w:rPr>
          <w:lang w:val="en-IE" w:eastAsia="en-GB"/>
        </w:rPr>
        <w:t>Lee DW, Cohan B. Refractory cardiogenic shock and complete heart block after</w:t>
      </w:r>
      <w:r>
        <w:rPr>
          <w:lang w:val="en-IE" w:eastAsia="en-GB"/>
        </w:rPr>
        <w:t xml:space="preserve"> </w:t>
      </w:r>
      <w:r w:rsidRPr="0002191C">
        <w:rPr>
          <w:lang w:val="en-IE" w:eastAsia="en-GB"/>
        </w:rPr>
        <w:t>verapamil SR and metoprolol trea</w:t>
      </w:r>
      <w:r>
        <w:rPr>
          <w:lang w:val="en-IE" w:eastAsia="en-GB"/>
        </w:rPr>
        <w:t xml:space="preserve">tment. </w:t>
      </w:r>
      <w:proofErr w:type="gramStart"/>
      <w:r>
        <w:rPr>
          <w:lang w:val="en-IE" w:eastAsia="en-GB"/>
        </w:rPr>
        <w:t>A case report.</w:t>
      </w:r>
      <w:proofErr w:type="gramEnd"/>
      <w:r>
        <w:rPr>
          <w:lang w:val="en-IE" w:eastAsia="en-GB"/>
        </w:rPr>
        <w:t xml:space="preserve"> Angiology 1995</w:t>
      </w:r>
      <w:r w:rsidRPr="0002191C">
        <w:rPr>
          <w:lang w:val="en-IE" w:eastAsia="en-GB"/>
        </w:rPr>
        <w:t>;</w:t>
      </w:r>
      <w:r>
        <w:rPr>
          <w:lang w:val="en-IE" w:eastAsia="en-GB"/>
        </w:rPr>
        <w:t xml:space="preserve"> </w:t>
      </w:r>
      <w:r w:rsidRPr="0002191C">
        <w:rPr>
          <w:lang w:val="en-IE" w:eastAsia="en-GB"/>
        </w:rPr>
        <w:t>46(6):</w:t>
      </w:r>
      <w:r>
        <w:rPr>
          <w:lang w:val="en-IE" w:eastAsia="en-GB"/>
        </w:rPr>
        <w:t xml:space="preserve"> </w:t>
      </w:r>
      <w:r w:rsidRPr="0002191C">
        <w:rPr>
          <w:lang w:val="en-IE" w:eastAsia="en-GB"/>
        </w:rPr>
        <w:t xml:space="preserve">517-9. </w:t>
      </w:r>
      <w:proofErr w:type="gramStart"/>
      <w:r w:rsidRPr="0002191C">
        <w:rPr>
          <w:lang w:val="en-IE" w:eastAsia="en-GB"/>
        </w:rPr>
        <w:t>Review.</w:t>
      </w:r>
      <w:proofErr w:type="gramEnd"/>
      <w:r w:rsidRPr="0002191C">
        <w:rPr>
          <w:lang w:val="en-IE" w:eastAsia="en-GB"/>
        </w:rPr>
        <w:t xml:space="preserve"> PubMed PMID: 7785794.</w:t>
      </w:r>
    </w:p>
    <w:p w:rsidR="00851DC2" w:rsidRPr="0002191C"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02191C"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Pr>
          <w:lang w:val="en-IE" w:eastAsia="en-GB"/>
        </w:rPr>
        <w:t>B3 (ii)</w:t>
      </w:r>
      <w:r w:rsidRPr="0002191C">
        <w:rPr>
          <w:lang w:val="en-IE" w:eastAsia="en-GB"/>
        </w:rPr>
        <w:t xml:space="preserve">: </w:t>
      </w:r>
      <w:r w:rsidRPr="006A2120">
        <w:rPr>
          <w:lang w:val="en-IE" w:eastAsia="en-GB"/>
        </w:rPr>
        <w:t>Edoute Y, Nagachandran P, Svirski B, Ben-Ami</w:t>
      </w:r>
      <w:r>
        <w:rPr>
          <w:lang w:val="en-IE" w:eastAsia="en-GB"/>
        </w:rPr>
        <w:t xml:space="preserve"> H. Cardiovascular adverse drug </w:t>
      </w:r>
      <w:r w:rsidRPr="006A2120">
        <w:rPr>
          <w:lang w:val="en-IE" w:eastAsia="en-GB"/>
        </w:rPr>
        <w:t>reaction associated with combined beta-adrenergic and calcium entry-blocking</w:t>
      </w:r>
      <w:r>
        <w:rPr>
          <w:lang w:val="en-IE" w:eastAsia="en-GB"/>
        </w:rPr>
        <w:t xml:space="preserve"> agents. J Cardiovasc Pharmacol 2000</w:t>
      </w:r>
      <w:r w:rsidRPr="006A2120">
        <w:rPr>
          <w:lang w:val="en-IE" w:eastAsia="en-GB"/>
        </w:rPr>
        <w:t>;</w:t>
      </w:r>
      <w:r>
        <w:rPr>
          <w:lang w:val="en-IE" w:eastAsia="en-GB"/>
        </w:rPr>
        <w:t xml:space="preserve"> </w:t>
      </w:r>
      <w:r w:rsidRPr="006A2120">
        <w:rPr>
          <w:lang w:val="en-IE" w:eastAsia="en-GB"/>
        </w:rPr>
        <w:t>35(4):</w:t>
      </w:r>
      <w:r>
        <w:rPr>
          <w:lang w:val="en-IE" w:eastAsia="en-GB"/>
        </w:rPr>
        <w:t xml:space="preserve"> </w:t>
      </w:r>
      <w:r w:rsidRPr="006A2120">
        <w:rPr>
          <w:lang w:val="en-IE" w:eastAsia="en-GB"/>
        </w:rPr>
        <w:t>556-9. PubMed PMID: 10774785.</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2D54F4" w:rsidRDefault="00851DC2" w:rsidP="00851DC2">
      <w:pPr>
        <w:spacing w:after="0" w:line="240" w:lineRule="auto"/>
        <w:rPr>
          <w:b/>
          <w:bCs/>
          <w:color w:val="333333"/>
          <w:lang w:eastAsia="en-IE"/>
        </w:rPr>
      </w:pPr>
      <w:r w:rsidRPr="002D54F4">
        <w:rPr>
          <w:b/>
          <w:bCs/>
          <w:color w:val="333333"/>
          <w:lang w:eastAsia="en-IE"/>
        </w:rPr>
        <w:t>B4. Beta blocker with symptomatic bradycardia (&lt; 50/min)</w:t>
      </w:r>
      <w:r>
        <w:rPr>
          <w:b/>
          <w:bCs/>
          <w:color w:val="333333"/>
          <w:lang w:eastAsia="en-IE"/>
        </w:rPr>
        <w:t>,</w:t>
      </w:r>
      <w:r w:rsidRPr="002D54F4">
        <w:rPr>
          <w:b/>
          <w:bCs/>
          <w:color w:val="333333"/>
          <w:lang w:eastAsia="en-IE"/>
        </w:rPr>
        <w:t xml:space="preserve"> type II heart block or complete heart block (risk of </w:t>
      </w:r>
      <w:r>
        <w:rPr>
          <w:b/>
          <w:bCs/>
          <w:color w:val="333333"/>
          <w:lang w:eastAsia="en-IE"/>
        </w:rPr>
        <w:t>profound hypotension</w:t>
      </w:r>
      <w:r w:rsidRPr="002D54F4">
        <w:rPr>
          <w:b/>
          <w:bCs/>
          <w:color w:val="333333"/>
          <w:lang w:eastAsia="en-IE"/>
        </w:rPr>
        <w:t>, asystole).</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2D54F4">
        <w:rPr>
          <w:lang w:eastAsia="en-GB"/>
        </w:rPr>
        <w:t>B4. British National Formulary, No. 61, March 2011, p97.</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2D54F4" w:rsidRDefault="00851DC2" w:rsidP="00851DC2">
      <w:pPr>
        <w:spacing w:after="0" w:line="240" w:lineRule="auto"/>
        <w:rPr>
          <w:b/>
          <w:bCs/>
          <w:color w:val="333333"/>
          <w:lang w:eastAsia="en-IE"/>
        </w:rPr>
      </w:pPr>
      <w:r>
        <w:rPr>
          <w:b/>
          <w:bCs/>
          <w:color w:val="333333"/>
          <w:lang w:eastAsia="en-IE"/>
        </w:rPr>
        <w:t xml:space="preserve">B5. </w:t>
      </w:r>
      <w:r w:rsidRPr="002D54F4">
        <w:rPr>
          <w:b/>
          <w:bCs/>
          <w:color w:val="333333"/>
          <w:lang w:eastAsia="en-IE"/>
        </w:rPr>
        <w:t>Amiodarone as first-line antiarrhythmic therapy in supraventricular tachyarrhythmias (higher risk of side-effects than beta-blockers, digoxin, verapamil or diltiazem)</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2D54F4">
        <w:rPr>
          <w:lang w:eastAsia="en-GB"/>
        </w:rPr>
        <w:t>B5</w:t>
      </w:r>
      <w:r>
        <w:rPr>
          <w:lang w:eastAsia="en-GB"/>
        </w:rPr>
        <w:t xml:space="preserve"> (i): </w:t>
      </w:r>
      <w:r w:rsidRPr="002D54F4">
        <w:rPr>
          <w:lang w:eastAsia="en-GB"/>
        </w:rPr>
        <w:t xml:space="preserve"> Lafuente-Lafuente C, Mouly S, Longás-Tejero MA, Mahé I, </w:t>
      </w:r>
      <w:proofErr w:type="gramStart"/>
      <w:r w:rsidRPr="002D54F4">
        <w:rPr>
          <w:lang w:eastAsia="en-GB"/>
        </w:rPr>
        <w:t>Bergmann</w:t>
      </w:r>
      <w:proofErr w:type="gramEnd"/>
      <w:r w:rsidRPr="002D54F4">
        <w:rPr>
          <w:lang w:eastAsia="en-GB"/>
        </w:rPr>
        <w:t xml:space="preserve"> JF.</w:t>
      </w:r>
      <w:r>
        <w:rPr>
          <w:lang w:eastAsia="en-GB"/>
        </w:rPr>
        <w:t xml:space="preserve"> </w:t>
      </w:r>
      <w:r w:rsidRPr="002D54F4">
        <w:rPr>
          <w:lang w:eastAsia="en-GB"/>
        </w:rPr>
        <w:t>Antiarrhythmic drugs for maintaining sinus rhythm after cardioversion of atrial</w:t>
      </w:r>
      <w:r>
        <w:rPr>
          <w:lang w:eastAsia="en-GB"/>
        </w:rPr>
        <w:t xml:space="preserve"> </w:t>
      </w:r>
      <w:r w:rsidRPr="002D54F4">
        <w:rPr>
          <w:lang w:eastAsia="en-GB"/>
        </w:rPr>
        <w:t>fibrillation: a systematic review of randomized controlled trials. Arch Intern</w:t>
      </w:r>
      <w:r>
        <w:rPr>
          <w:lang w:eastAsia="en-GB"/>
        </w:rPr>
        <w:t xml:space="preserve"> Med</w:t>
      </w:r>
      <w:r w:rsidRPr="002D54F4">
        <w:rPr>
          <w:lang w:eastAsia="en-GB"/>
        </w:rPr>
        <w:t xml:space="preserve"> 2006;</w:t>
      </w:r>
      <w:r>
        <w:rPr>
          <w:lang w:eastAsia="en-GB"/>
        </w:rPr>
        <w:t xml:space="preserve"> </w:t>
      </w:r>
      <w:r w:rsidRPr="002D54F4">
        <w:rPr>
          <w:lang w:eastAsia="en-GB"/>
        </w:rPr>
        <w:t xml:space="preserve">166(7):719-28. </w:t>
      </w:r>
      <w:proofErr w:type="gramStart"/>
      <w:r w:rsidRPr="002D54F4">
        <w:rPr>
          <w:lang w:eastAsia="en-GB"/>
        </w:rPr>
        <w:t>Review.</w:t>
      </w:r>
      <w:proofErr w:type="gramEnd"/>
      <w:r w:rsidRPr="002D54F4">
        <w:rPr>
          <w:lang w:eastAsia="en-GB"/>
        </w:rPr>
        <w:t xml:space="preserve"> PubMed PMID: 16606807.</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21AF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Pr>
          <w:lang w:eastAsia="en-GB"/>
        </w:rPr>
        <w:t xml:space="preserve">B5 (ii): </w:t>
      </w:r>
      <w:r w:rsidRPr="00021AF1">
        <w:rPr>
          <w:lang w:val="en-IE" w:eastAsia="en-GB"/>
        </w:rPr>
        <w:t xml:space="preserve">Piccini JP, Berger JS, </w:t>
      </w:r>
      <w:proofErr w:type="gramStart"/>
      <w:r w:rsidRPr="00021AF1">
        <w:rPr>
          <w:lang w:val="en-IE" w:eastAsia="en-GB"/>
        </w:rPr>
        <w:t>O'Connor</w:t>
      </w:r>
      <w:proofErr w:type="gramEnd"/>
      <w:r w:rsidRPr="00021AF1">
        <w:rPr>
          <w:lang w:val="en-IE" w:eastAsia="en-GB"/>
        </w:rPr>
        <w:t xml:space="preserve"> CM. Amiodaro</w:t>
      </w:r>
      <w:r>
        <w:rPr>
          <w:lang w:val="en-IE" w:eastAsia="en-GB"/>
        </w:rPr>
        <w:t xml:space="preserve">ne for the prevention of sudden </w:t>
      </w:r>
      <w:r w:rsidRPr="00021AF1">
        <w:rPr>
          <w:lang w:val="en-IE" w:eastAsia="en-GB"/>
        </w:rPr>
        <w:t>cardiac death: a meta-analysis of randomized</w:t>
      </w:r>
      <w:r>
        <w:rPr>
          <w:lang w:val="en-IE" w:eastAsia="en-GB"/>
        </w:rPr>
        <w:t xml:space="preserve"> controlled trials. Eur Heart J 2009</w:t>
      </w:r>
      <w:r w:rsidRPr="00021AF1">
        <w:rPr>
          <w:lang w:val="en-IE" w:eastAsia="en-GB"/>
        </w:rPr>
        <w:t>;</w:t>
      </w:r>
      <w:r>
        <w:rPr>
          <w:lang w:val="en-IE" w:eastAsia="en-GB"/>
        </w:rPr>
        <w:t xml:space="preserve"> </w:t>
      </w:r>
      <w:r w:rsidRPr="00021AF1">
        <w:rPr>
          <w:lang w:val="en-IE" w:eastAsia="en-GB"/>
        </w:rPr>
        <w:t xml:space="preserve">30(10):1245-53. </w:t>
      </w:r>
      <w:proofErr w:type="gramStart"/>
      <w:r w:rsidRPr="00021AF1">
        <w:rPr>
          <w:lang w:val="en-IE" w:eastAsia="en-GB"/>
        </w:rPr>
        <w:t>Review.</w:t>
      </w:r>
      <w:proofErr w:type="gramEnd"/>
      <w:r>
        <w:rPr>
          <w:lang w:val="en-IE" w:eastAsia="en-GB"/>
        </w:rPr>
        <w:t xml:space="preserve"> </w:t>
      </w:r>
      <w:r w:rsidRPr="00021AF1">
        <w:rPr>
          <w:lang w:val="en-IE" w:eastAsia="en-GB"/>
        </w:rPr>
        <w:t>PubMed PMID: 19336434.</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E349FB" w:rsidRDefault="00851DC2" w:rsidP="00851DC2">
      <w:pPr>
        <w:spacing w:after="0" w:line="240" w:lineRule="auto"/>
        <w:rPr>
          <w:b/>
          <w:bCs/>
          <w:color w:val="FF0000"/>
          <w:lang w:eastAsia="en-IE"/>
        </w:rPr>
      </w:pPr>
      <w:r w:rsidRPr="002D54F4">
        <w:rPr>
          <w:b/>
          <w:bCs/>
          <w:color w:val="333333"/>
          <w:lang w:eastAsia="en-IE"/>
        </w:rPr>
        <w:t>B6. Loop diuretic as first-line treatment for hypertension (</w:t>
      </w:r>
      <w:r>
        <w:rPr>
          <w:b/>
          <w:bCs/>
          <w:color w:val="333333"/>
          <w:lang w:eastAsia="en-IE"/>
        </w:rPr>
        <w:t xml:space="preserve">lack of outcome data for this indication; </w:t>
      </w:r>
      <w:r w:rsidRPr="002D54F4">
        <w:rPr>
          <w:b/>
          <w:bCs/>
          <w:color w:val="333333"/>
          <w:lang w:eastAsia="en-IE"/>
        </w:rPr>
        <w:t>safer, more effective alternatives available).</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B3449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Pr>
          <w:lang w:eastAsia="en-GB"/>
        </w:rPr>
        <w:lastRenderedPageBreak/>
        <w:t xml:space="preserve">B6 (i): </w:t>
      </w:r>
      <w:r w:rsidRPr="00B34498">
        <w:rPr>
          <w:lang w:val="en-IE" w:eastAsia="en-GB"/>
        </w:rPr>
        <w:t>Sica DA, Carter B, Cushman W, Hamm L. Thia</w:t>
      </w:r>
      <w:r>
        <w:rPr>
          <w:lang w:val="en-IE" w:eastAsia="en-GB"/>
        </w:rPr>
        <w:t>zide and loop diuretics. J Clin Hypertens (Greenwich) 2011</w:t>
      </w:r>
      <w:r w:rsidRPr="00B34498">
        <w:rPr>
          <w:lang w:val="en-IE" w:eastAsia="en-GB"/>
        </w:rPr>
        <w:t>;</w:t>
      </w:r>
      <w:r>
        <w:rPr>
          <w:lang w:val="en-IE" w:eastAsia="en-GB"/>
        </w:rPr>
        <w:t xml:space="preserve"> </w:t>
      </w:r>
      <w:r w:rsidRPr="00B34498">
        <w:rPr>
          <w:lang w:val="en-IE" w:eastAsia="en-GB"/>
        </w:rPr>
        <w:t>13(9):</w:t>
      </w:r>
      <w:r>
        <w:rPr>
          <w:lang w:val="en-IE" w:eastAsia="en-GB"/>
        </w:rPr>
        <w:t xml:space="preserve"> </w:t>
      </w:r>
      <w:r w:rsidRPr="00B34498">
        <w:rPr>
          <w:lang w:val="en-IE" w:eastAsia="en-GB"/>
        </w:rPr>
        <w:t>639-43</w:t>
      </w:r>
      <w:r>
        <w:rPr>
          <w:lang w:val="en-IE" w:eastAsia="en-GB"/>
        </w:rPr>
        <w:t xml:space="preserve">. </w:t>
      </w:r>
      <w:proofErr w:type="gramStart"/>
      <w:r w:rsidRPr="00B34498">
        <w:rPr>
          <w:lang w:val="en-IE" w:eastAsia="en-GB"/>
        </w:rPr>
        <w:t>Review.</w:t>
      </w:r>
      <w:proofErr w:type="gramEnd"/>
      <w:r w:rsidRPr="00B34498">
        <w:rPr>
          <w:lang w:val="en-IE" w:eastAsia="en-GB"/>
        </w:rPr>
        <w:t xml:space="preserve"> PubMed PMID:</w:t>
      </w:r>
      <w:r>
        <w:rPr>
          <w:lang w:val="en-IE" w:eastAsia="en-GB"/>
        </w:rPr>
        <w:t xml:space="preserve"> </w:t>
      </w:r>
      <w:r w:rsidRPr="00B34498">
        <w:rPr>
          <w:lang w:val="en-IE" w:eastAsia="en-GB"/>
        </w:rPr>
        <w:t>21896142.</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2D54F4">
        <w:rPr>
          <w:lang w:eastAsia="en-GB"/>
        </w:rPr>
        <w:t>B6</w:t>
      </w:r>
      <w:r>
        <w:rPr>
          <w:lang w:eastAsia="en-GB"/>
        </w:rPr>
        <w:t xml:space="preserve"> (ii)</w:t>
      </w:r>
      <w:r w:rsidRPr="002D54F4">
        <w:rPr>
          <w:lang w:eastAsia="en-GB"/>
        </w:rPr>
        <w:t>.</w:t>
      </w:r>
      <w:proofErr w:type="gramEnd"/>
      <w:r w:rsidRPr="002D54F4">
        <w:rPr>
          <w:lang w:eastAsia="en-GB"/>
        </w:rPr>
        <w:t xml:space="preserve"> Williams B, Poulter NR, Brown MJ, Davis M, McInnes GT, Potter JF, Sever PS,</w:t>
      </w:r>
      <w:r>
        <w:rPr>
          <w:lang w:eastAsia="en-GB"/>
        </w:rPr>
        <w:t xml:space="preserve"> </w:t>
      </w:r>
      <w:r w:rsidRPr="002D54F4">
        <w:rPr>
          <w:lang w:eastAsia="en-GB"/>
        </w:rPr>
        <w:t>Thom SM; BHS guidelines working party, for the British Hypertension Society.</w:t>
      </w:r>
      <w:r>
        <w:rPr>
          <w:lang w:eastAsia="en-GB"/>
        </w:rPr>
        <w:t xml:space="preserve"> </w:t>
      </w:r>
      <w:r w:rsidRPr="002D54F4">
        <w:rPr>
          <w:lang w:eastAsia="en-GB"/>
        </w:rPr>
        <w:t>British Hypertension Society guidelines for hypertension management 2004(</w:t>
      </w:r>
      <w:r>
        <w:rPr>
          <w:lang w:eastAsia="en-GB"/>
        </w:rPr>
        <w:t>BHS-IV): summary. BMJ 2004</w:t>
      </w:r>
      <w:r w:rsidRPr="002D54F4">
        <w:rPr>
          <w:lang w:eastAsia="en-GB"/>
        </w:rPr>
        <w:t>;</w:t>
      </w:r>
      <w:r>
        <w:rPr>
          <w:lang w:eastAsia="en-GB"/>
        </w:rPr>
        <w:t xml:space="preserve"> </w:t>
      </w:r>
      <w:r w:rsidRPr="002D54F4">
        <w:rPr>
          <w:lang w:eastAsia="en-GB"/>
        </w:rPr>
        <w:t>328(7440):</w:t>
      </w:r>
      <w:r>
        <w:rPr>
          <w:lang w:eastAsia="en-GB"/>
        </w:rPr>
        <w:t>634-40. Erratum in: BMJ 2004</w:t>
      </w:r>
      <w:r w:rsidRPr="002D54F4">
        <w:rPr>
          <w:lang w:eastAsia="en-GB"/>
        </w:rPr>
        <w:t>;</w:t>
      </w:r>
      <w:r>
        <w:rPr>
          <w:lang w:eastAsia="en-GB"/>
        </w:rPr>
        <w:t xml:space="preserve"> </w:t>
      </w:r>
      <w:r w:rsidRPr="002D54F4">
        <w:rPr>
          <w:lang w:eastAsia="en-GB"/>
        </w:rPr>
        <w:t>328(7445):926. PubMed PMID: 15016698</w:t>
      </w:r>
      <w:r>
        <w:rPr>
          <w:lang w:eastAsia="en-GB"/>
        </w:rPr>
        <w:t>.</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2D54F4" w:rsidRDefault="00851DC2" w:rsidP="00851DC2">
      <w:pPr>
        <w:spacing w:after="0" w:line="240" w:lineRule="auto"/>
        <w:rPr>
          <w:b/>
          <w:bCs/>
          <w:color w:val="333333"/>
          <w:lang w:eastAsia="en-IE"/>
        </w:rPr>
      </w:pPr>
      <w:r w:rsidRPr="002D54F4">
        <w:rPr>
          <w:b/>
          <w:bCs/>
          <w:color w:val="333333"/>
          <w:lang w:eastAsia="en-IE"/>
        </w:rPr>
        <w:t>B7. Loop diuretic for dependent ankle oedema without clinical, biochemical evidence or radiological evidence of heart failure, liver failure, nephrotic syndrome or renal failure (leg elevation and /or compression hosiery usually more appropriate).</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B3449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Pr>
          <w:lang w:eastAsia="en-GB"/>
        </w:rPr>
        <w:t xml:space="preserve">B7 (i): </w:t>
      </w:r>
      <w:r w:rsidRPr="00B34498">
        <w:rPr>
          <w:lang w:val="en-IE" w:eastAsia="en-GB"/>
        </w:rPr>
        <w:t>Wehling M. Morbus diureticus in the elderl</w:t>
      </w:r>
      <w:r>
        <w:rPr>
          <w:lang w:val="en-IE" w:eastAsia="en-GB"/>
        </w:rPr>
        <w:t xml:space="preserve">y: epidemic overuse of a widely </w:t>
      </w:r>
      <w:r w:rsidRPr="00B34498">
        <w:rPr>
          <w:lang w:val="en-IE" w:eastAsia="en-GB"/>
        </w:rPr>
        <w:t>applied gro</w:t>
      </w:r>
      <w:r>
        <w:rPr>
          <w:lang w:val="en-IE" w:eastAsia="en-GB"/>
        </w:rPr>
        <w:t>up of drugs. J Am Med Dir Assoc 2013</w:t>
      </w:r>
      <w:r w:rsidRPr="00B34498">
        <w:rPr>
          <w:lang w:val="en-IE" w:eastAsia="en-GB"/>
        </w:rPr>
        <w:t>;</w:t>
      </w:r>
      <w:r>
        <w:rPr>
          <w:lang w:val="en-IE" w:eastAsia="en-GB"/>
        </w:rPr>
        <w:t xml:space="preserve"> </w:t>
      </w:r>
      <w:r w:rsidRPr="00B34498">
        <w:rPr>
          <w:lang w:val="en-IE" w:eastAsia="en-GB"/>
        </w:rPr>
        <w:t>14(6):</w:t>
      </w:r>
      <w:r>
        <w:rPr>
          <w:lang w:val="en-IE" w:eastAsia="en-GB"/>
        </w:rPr>
        <w:t xml:space="preserve"> </w:t>
      </w:r>
      <w:r w:rsidRPr="00B34498">
        <w:rPr>
          <w:lang w:val="en-IE" w:eastAsia="en-GB"/>
        </w:rPr>
        <w:t xml:space="preserve">437-42. </w:t>
      </w:r>
      <w:proofErr w:type="gramStart"/>
      <w:r w:rsidRPr="00B34498">
        <w:rPr>
          <w:lang w:val="en-IE" w:eastAsia="en-GB"/>
        </w:rPr>
        <w:t>Review.</w:t>
      </w:r>
      <w:proofErr w:type="gramEnd"/>
      <w:r w:rsidRPr="00B34498">
        <w:rPr>
          <w:lang w:val="en-IE" w:eastAsia="en-GB"/>
        </w:rPr>
        <w:t xml:space="preserve"> PubMed PMID: 23510827.</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2D54F4">
        <w:rPr>
          <w:lang w:eastAsia="en-GB"/>
        </w:rPr>
        <w:t>B7</w:t>
      </w:r>
      <w:r>
        <w:rPr>
          <w:lang w:eastAsia="en-GB"/>
        </w:rPr>
        <w:t xml:space="preserve"> (ii)</w:t>
      </w:r>
      <w:r w:rsidRPr="002D54F4">
        <w:rPr>
          <w:lang w:eastAsia="en-GB"/>
        </w:rPr>
        <w:t>.</w:t>
      </w:r>
      <w:proofErr w:type="gramEnd"/>
      <w:r w:rsidRPr="002D54F4">
        <w:rPr>
          <w:lang w:eastAsia="en-GB"/>
        </w:rPr>
        <w:t xml:space="preserve"> </w:t>
      </w:r>
      <w:proofErr w:type="gramStart"/>
      <w:r w:rsidRPr="002D54F4">
        <w:rPr>
          <w:lang w:eastAsia="en-GB"/>
        </w:rPr>
        <w:t>Sarafidis PA, Georgianos PI, Lasaridis AN. Diuretics in clinical practice.</w:t>
      </w:r>
      <w:proofErr w:type="gramEnd"/>
      <w:r>
        <w:rPr>
          <w:lang w:eastAsia="en-GB"/>
        </w:rPr>
        <w:t xml:space="preserve"> </w:t>
      </w:r>
      <w:r w:rsidRPr="002D54F4">
        <w:rPr>
          <w:lang w:eastAsia="en-GB"/>
        </w:rPr>
        <w:t>Part I: mechanisms of action, pharmacological effects and clinical indications of</w:t>
      </w:r>
      <w:r>
        <w:rPr>
          <w:lang w:eastAsia="en-GB"/>
        </w:rPr>
        <w:t xml:space="preserve"> </w:t>
      </w:r>
      <w:r w:rsidRPr="002D54F4">
        <w:rPr>
          <w:lang w:eastAsia="en-GB"/>
        </w:rPr>
        <w:t>diuretic c</w:t>
      </w:r>
      <w:r>
        <w:rPr>
          <w:lang w:eastAsia="en-GB"/>
        </w:rPr>
        <w:t>ompounds. Expert Opin Drug Saf 2010</w:t>
      </w:r>
      <w:r w:rsidRPr="002D54F4">
        <w:rPr>
          <w:lang w:eastAsia="en-GB"/>
        </w:rPr>
        <w:t>;</w:t>
      </w:r>
      <w:r>
        <w:rPr>
          <w:lang w:eastAsia="en-GB"/>
        </w:rPr>
        <w:t xml:space="preserve"> </w:t>
      </w:r>
      <w:r w:rsidRPr="002D54F4">
        <w:rPr>
          <w:lang w:eastAsia="en-GB"/>
        </w:rPr>
        <w:t xml:space="preserve">9(2):243-57. </w:t>
      </w:r>
      <w:proofErr w:type="gramStart"/>
      <w:r w:rsidRPr="002D54F4">
        <w:rPr>
          <w:lang w:eastAsia="en-GB"/>
        </w:rPr>
        <w:t>Review.</w:t>
      </w:r>
      <w:proofErr w:type="gramEnd"/>
      <w:r w:rsidRPr="002D54F4">
        <w:rPr>
          <w:lang w:eastAsia="en-GB"/>
        </w:rPr>
        <w:t xml:space="preserve"> PubMed</w:t>
      </w:r>
      <w:r>
        <w:rPr>
          <w:lang w:eastAsia="en-GB"/>
        </w:rPr>
        <w:t xml:space="preserve"> </w:t>
      </w:r>
      <w:r w:rsidRPr="002D54F4">
        <w:rPr>
          <w:lang w:eastAsia="en-GB"/>
        </w:rPr>
        <w:t>PMID: 20095917.</w:t>
      </w:r>
    </w:p>
    <w:p w:rsidR="00851DC2" w:rsidRDefault="00851DC2" w:rsidP="00851DC2">
      <w:pPr>
        <w:spacing w:after="0" w:line="240" w:lineRule="auto"/>
        <w:rPr>
          <w:lang w:eastAsia="en-GB"/>
        </w:rPr>
      </w:pPr>
    </w:p>
    <w:p w:rsidR="00851DC2" w:rsidRDefault="00851DC2" w:rsidP="00851DC2">
      <w:pPr>
        <w:spacing w:after="0" w:line="240" w:lineRule="auto"/>
        <w:rPr>
          <w:lang w:eastAsia="en-GB"/>
        </w:rPr>
      </w:pPr>
    </w:p>
    <w:p w:rsidR="00851DC2" w:rsidRPr="002D54F4" w:rsidRDefault="00851DC2" w:rsidP="00851DC2">
      <w:pPr>
        <w:spacing w:after="0" w:line="240" w:lineRule="auto"/>
        <w:rPr>
          <w:b/>
          <w:bCs/>
          <w:color w:val="333333"/>
          <w:lang w:eastAsia="en-IE"/>
        </w:rPr>
      </w:pPr>
      <w:r w:rsidRPr="002D54F4">
        <w:rPr>
          <w:b/>
          <w:bCs/>
          <w:color w:val="333333"/>
          <w:lang w:eastAsia="en-IE"/>
        </w:rPr>
        <w:t>B8. Thiazide diuretic with current significant hypokalaemia (i.e. serum K+ &lt; 3.0 mmol/l), hyponatraemia (i.e. serum Na+ &lt; 130 mmol/l) hypercalcaemia (i.e. corrected serum calcium &gt; 2.65 mmol/l) or with a history of gout (hypokalaemia, hyponatraemia, hypercalcaemia and gout can be precipitated by thiazide diuretic)</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2D54F4">
        <w:rPr>
          <w:lang w:eastAsia="en-GB"/>
        </w:rPr>
        <w:t>B8</w:t>
      </w:r>
      <w:r>
        <w:rPr>
          <w:lang w:eastAsia="en-GB"/>
        </w:rPr>
        <w:t xml:space="preserve"> </w:t>
      </w:r>
      <w:r w:rsidRPr="002D54F4">
        <w:rPr>
          <w:lang w:eastAsia="en-GB"/>
        </w:rPr>
        <w:t>(i).Sica DA, Carter B, Cushman W, Hamm L. Thiazide and loop diuretics.</w:t>
      </w:r>
      <w:proofErr w:type="gramEnd"/>
      <w:r w:rsidRPr="002D54F4">
        <w:rPr>
          <w:lang w:eastAsia="en-GB"/>
        </w:rPr>
        <w:t xml:space="preserve"> J Clin</w:t>
      </w:r>
      <w:r>
        <w:rPr>
          <w:lang w:eastAsia="en-GB"/>
        </w:rPr>
        <w:t xml:space="preserve"> Hypertens (Greenwich) 2011</w:t>
      </w:r>
      <w:r w:rsidRPr="002D54F4">
        <w:rPr>
          <w:lang w:eastAsia="en-GB"/>
        </w:rPr>
        <w:t>;</w:t>
      </w:r>
      <w:r>
        <w:rPr>
          <w:lang w:eastAsia="en-GB"/>
        </w:rPr>
        <w:t xml:space="preserve"> </w:t>
      </w:r>
      <w:r w:rsidRPr="002D54F4">
        <w:rPr>
          <w:lang w:eastAsia="en-GB"/>
        </w:rPr>
        <w:t xml:space="preserve">13(9):639-43. </w:t>
      </w:r>
      <w:proofErr w:type="gramStart"/>
      <w:r w:rsidRPr="002D54F4">
        <w:rPr>
          <w:lang w:eastAsia="en-GB"/>
        </w:rPr>
        <w:t>Review.</w:t>
      </w:r>
      <w:proofErr w:type="gramEnd"/>
      <w:r w:rsidRPr="002D54F4">
        <w:rPr>
          <w:lang w:eastAsia="en-GB"/>
        </w:rPr>
        <w:t xml:space="preserve"> PubMed PMID:</w:t>
      </w:r>
      <w:r>
        <w:rPr>
          <w:lang w:eastAsia="en-GB"/>
        </w:rPr>
        <w:t xml:space="preserve"> </w:t>
      </w:r>
      <w:r w:rsidRPr="002D54F4">
        <w:rPr>
          <w:lang w:eastAsia="en-GB"/>
        </w:rPr>
        <w:t>21896142.</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2D54F4">
        <w:rPr>
          <w:lang w:eastAsia="en-GB"/>
        </w:rPr>
        <w:t>B8</w:t>
      </w:r>
      <w:r>
        <w:rPr>
          <w:lang w:eastAsia="en-GB"/>
        </w:rPr>
        <w:t xml:space="preserve"> </w:t>
      </w:r>
      <w:r w:rsidRPr="002D54F4">
        <w:rPr>
          <w:lang w:eastAsia="en-GB"/>
        </w:rPr>
        <w:t>(ii).</w:t>
      </w:r>
      <w:proofErr w:type="gramEnd"/>
      <w:r w:rsidRPr="002D54F4">
        <w:rPr>
          <w:lang w:eastAsia="en-GB"/>
        </w:rPr>
        <w:t xml:space="preserve"> Gurwitz JH, Kalish SC, Bohn RL, Glynn RJ, Monane M, Mogun H, Avorn J. Thiazide</w:t>
      </w:r>
      <w:r>
        <w:rPr>
          <w:lang w:eastAsia="en-GB"/>
        </w:rPr>
        <w:t xml:space="preserve"> </w:t>
      </w:r>
      <w:r w:rsidRPr="002D54F4">
        <w:rPr>
          <w:lang w:eastAsia="en-GB"/>
        </w:rPr>
        <w:t>diuretics and the initiation of anti-gout therapy. J Clin</w:t>
      </w:r>
      <w:r>
        <w:rPr>
          <w:lang w:eastAsia="en-GB"/>
        </w:rPr>
        <w:t>Epidemiol1997</w:t>
      </w:r>
      <w:r w:rsidRPr="002D54F4">
        <w:rPr>
          <w:lang w:eastAsia="en-GB"/>
        </w:rPr>
        <w:t>;</w:t>
      </w:r>
      <w:r>
        <w:rPr>
          <w:lang w:eastAsia="en-GB"/>
        </w:rPr>
        <w:t xml:space="preserve"> </w:t>
      </w:r>
      <w:r w:rsidRPr="002D54F4">
        <w:rPr>
          <w:lang w:eastAsia="en-GB"/>
        </w:rPr>
        <w:t>50(8):</w:t>
      </w:r>
      <w:r>
        <w:rPr>
          <w:lang w:eastAsia="en-GB"/>
        </w:rPr>
        <w:t xml:space="preserve"> </w:t>
      </w:r>
      <w:r w:rsidRPr="002D54F4">
        <w:rPr>
          <w:lang w:eastAsia="en-GB"/>
        </w:rPr>
        <w:t>953-9. PubMed PMID: 9291881.</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2D54F4" w:rsidRDefault="00851DC2" w:rsidP="00851DC2">
      <w:pPr>
        <w:spacing w:after="0" w:line="240" w:lineRule="auto"/>
        <w:rPr>
          <w:b/>
          <w:bCs/>
          <w:color w:val="333333"/>
          <w:lang w:eastAsia="en-IE"/>
        </w:rPr>
      </w:pPr>
      <w:r w:rsidRPr="002D54F4">
        <w:rPr>
          <w:b/>
          <w:bCs/>
          <w:color w:val="333333"/>
          <w:lang w:eastAsia="en-IE"/>
        </w:rPr>
        <w:t>B9. Loop diuretic for treatment of hypertension with concurrent urinary incontinence (may exacerbate incontinence).</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2D54F4">
        <w:rPr>
          <w:lang w:eastAsia="en-GB"/>
        </w:rPr>
        <w:t>B9</w:t>
      </w:r>
      <w:r>
        <w:rPr>
          <w:lang w:eastAsia="en-GB"/>
        </w:rPr>
        <w:t xml:space="preserve"> </w:t>
      </w:r>
      <w:r w:rsidRPr="002D54F4">
        <w:rPr>
          <w:lang w:eastAsia="en-GB"/>
        </w:rPr>
        <w:t>(i).</w:t>
      </w:r>
      <w:proofErr w:type="gramEnd"/>
      <w:r w:rsidRPr="002D54F4">
        <w:rPr>
          <w:lang w:eastAsia="en-GB"/>
        </w:rPr>
        <w:t xml:space="preserve"> Ekundayo OJ. </w:t>
      </w:r>
      <w:proofErr w:type="gramStart"/>
      <w:r w:rsidRPr="002D54F4">
        <w:rPr>
          <w:lang w:eastAsia="en-GB"/>
        </w:rPr>
        <w:t>The association between overactive bladder and diuretic use in</w:t>
      </w:r>
      <w:r>
        <w:rPr>
          <w:lang w:eastAsia="en-GB"/>
        </w:rPr>
        <w:t xml:space="preserve"> the elderly.</w:t>
      </w:r>
      <w:proofErr w:type="gramEnd"/>
      <w:r>
        <w:rPr>
          <w:lang w:eastAsia="en-GB"/>
        </w:rPr>
        <w:t xml:space="preserve"> Curr Urol Rep 2009</w:t>
      </w:r>
      <w:r w:rsidRPr="002D54F4">
        <w:rPr>
          <w:lang w:eastAsia="en-GB"/>
        </w:rPr>
        <w:t>;</w:t>
      </w:r>
      <w:r>
        <w:rPr>
          <w:lang w:eastAsia="en-GB"/>
        </w:rPr>
        <w:t xml:space="preserve"> </w:t>
      </w:r>
      <w:r w:rsidRPr="002D54F4">
        <w:rPr>
          <w:lang w:eastAsia="en-GB"/>
        </w:rPr>
        <w:t xml:space="preserve">10(6):434-40. </w:t>
      </w:r>
      <w:proofErr w:type="gramStart"/>
      <w:r w:rsidRPr="002D54F4">
        <w:rPr>
          <w:lang w:eastAsia="en-GB"/>
        </w:rPr>
        <w:t>Review.</w:t>
      </w:r>
      <w:proofErr w:type="gramEnd"/>
      <w:r w:rsidRPr="002D54F4">
        <w:rPr>
          <w:lang w:eastAsia="en-GB"/>
        </w:rPr>
        <w:t xml:space="preserve"> PubMed PMID: 19863854.</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2D54F4">
        <w:rPr>
          <w:lang w:eastAsia="en-GB"/>
        </w:rPr>
        <w:t>B9</w:t>
      </w:r>
      <w:r>
        <w:rPr>
          <w:lang w:eastAsia="en-GB"/>
        </w:rPr>
        <w:t xml:space="preserve"> </w:t>
      </w:r>
      <w:r w:rsidRPr="002D54F4">
        <w:rPr>
          <w:lang w:eastAsia="en-GB"/>
        </w:rPr>
        <w:t>(ii) Ekundayo OJ, Markland A, Lefante C, Sui X, Goode PS, Allman RM, Ali M, Wahle</w:t>
      </w:r>
      <w:r>
        <w:rPr>
          <w:lang w:eastAsia="en-GB"/>
        </w:rPr>
        <w:t xml:space="preserve"> </w:t>
      </w:r>
      <w:r w:rsidRPr="002D54F4">
        <w:rPr>
          <w:lang w:eastAsia="en-GB"/>
        </w:rPr>
        <w:t>C, Thornton PL, Ahmed A. Association of diuretic use and overactive bladder</w:t>
      </w:r>
      <w:r>
        <w:rPr>
          <w:lang w:eastAsia="en-GB"/>
        </w:rPr>
        <w:t xml:space="preserve"> </w:t>
      </w:r>
      <w:r w:rsidRPr="002D54F4">
        <w:rPr>
          <w:lang w:eastAsia="en-GB"/>
        </w:rPr>
        <w:t xml:space="preserve">syndrome in older adults: a propensity score </w:t>
      </w:r>
      <w:r>
        <w:rPr>
          <w:lang w:eastAsia="en-GB"/>
        </w:rPr>
        <w:t>analysis. Arch Gerontol Geriatr2009</w:t>
      </w:r>
      <w:r w:rsidRPr="002D54F4">
        <w:rPr>
          <w:lang w:eastAsia="en-GB"/>
        </w:rPr>
        <w:t>;</w:t>
      </w:r>
      <w:r>
        <w:rPr>
          <w:lang w:eastAsia="en-GB"/>
        </w:rPr>
        <w:t xml:space="preserve"> </w:t>
      </w:r>
      <w:r w:rsidRPr="002D54F4">
        <w:rPr>
          <w:lang w:eastAsia="en-GB"/>
        </w:rPr>
        <w:t>49(1):64-8. PubMed</w:t>
      </w:r>
      <w:r>
        <w:rPr>
          <w:lang w:eastAsia="en-GB"/>
        </w:rPr>
        <w:t xml:space="preserve"> PMID: 18752858</w:t>
      </w:r>
      <w:r w:rsidRPr="002D54F4">
        <w:rPr>
          <w:lang w:eastAsia="en-GB"/>
        </w:rPr>
        <w:t>.</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2D54F4">
        <w:rPr>
          <w:lang w:eastAsia="en-GB"/>
        </w:rPr>
        <w:t>B9</w:t>
      </w:r>
      <w:r>
        <w:rPr>
          <w:lang w:eastAsia="en-GB"/>
        </w:rPr>
        <w:t xml:space="preserve"> </w:t>
      </w:r>
      <w:r w:rsidRPr="002D54F4">
        <w:rPr>
          <w:lang w:eastAsia="en-GB"/>
        </w:rPr>
        <w:t>(iii) Finkelstein MM. Medical conditions, medications, and urinary incontinence.</w:t>
      </w:r>
      <w:r>
        <w:rPr>
          <w:lang w:eastAsia="en-GB"/>
        </w:rPr>
        <w:t xml:space="preserve"> </w:t>
      </w:r>
      <w:proofErr w:type="gramStart"/>
      <w:r w:rsidRPr="002D54F4">
        <w:rPr>
          <w:lang w:eastAsia="en-GB"/>
        </w:rPr>
        <w:t>Analysis of a population-</w:t>
      </w:r>
      <w:r>
        <w:rPr>
          <w:lang w:eastAsia="en-GB"/>
        </w:rPr>
        <w:t>based survey.</w:t>
      </w:r>
      <w:proofErr w:type="gramEnd"/>
      <w:r>
        <w:rPr>
          <w:lang w:eastAsia="en-GB"/>
        </w:rPr>
        <w:t xml:space="preserve"> Can </w:t>
      </w:r>
      <w:proofErr w:type="gramStart"/>
      <w:r>
        <w:rPr>
          <w:lang w:eastAsia="en-GB"/>
        </w:rPr>
        <w:t>Fam</w:t>
      </w:r>
      <w:proofErr w:type="gramEnd"/>
      <w:r>
        <w:rPr>
          <w:lang w:eastAsia="en-GB"/>
        </w:rPr>
        <w:t xml:space="preserve"> Physician 2002</w:t>
      </w:r>
      <w:r w:rsidRPr="002D54F4">
        <w:rPr>
          <w:lang w:eastAsia="en-GB"/>
        </w:rPr>
        <w:t>;</w:t>
      </w:r>
      <w:r>
        <w:rPr>
          <w:lang w:eastAsia="en-GB"/>
        </w:rPr>
        <w:t xml:space="preserve"> </w:t>
      </w:r>
      <w:r w:rsidRPr="002D54F4">
        <w:rPr>
          <w:lang w:eastAsia="en-GB"/>
        </w:rPr>
        <w:t>48:96-101.</w:t>
      </w:r>
      <w:r>
        <w:rPr>
          <w:lang w:eastAsia="en-GB"/>
        </w:rPr>
        <w:t>PubMed PMID: 11852617</w:t>
      </w:r>
      <w:r w:rsidRPr="002D54F4">
        <w:rPr>
          <w:lang w:eastAsia="en-GB"/>
        </w:rPr>
        <w:t>.</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2D54F4" w:rsidRDefault="00851DC2" w:rsidP="00851DC2">
      <w:pPr>
        <w:spacing w:after="0" w:line="240" w:lineRule="auto"/>
        <w:rPr>
          <w:b/>
          <w:bCs/>
          <w:color w:val="333333"/>
          <w:lang w:eastAsia="en-IE"/>
        </w:rPr>
      </w:pPr>
      <w:r w:rsidRPr="002D54F4">
        <w:rPr>
          <w:b/>
          <w:bCs/>
          <w:color w:val="333333"/>
          <w:lang w:eastAsia="en-IE"/>
        </w:rPr>
        <w:t xml:space="preserve">B10. Centrally-acting antihypertensives (e.g. methyldopa, clonidine, moxonidine, rilmenidine, guanfacine), unless clear intolerance of, or lack of efficacy with, other classes of antihypertensives </w:t>
      </w:r>
      <w:r w:rsidRPr="002D54F4">
        <w:rPr>
          <w:b/>
          <w:bCs/>
          <w:color w:val="333333"/>
          <w:lang w:eastAsia="en-IE"/>
        </w:rPr>
        <w:lastRenderedPageBreak/>
        <w:t>(centrally-active antihyperte</w:t>
      </w:r>
      <w:r>
        <w:rPr>
          <w:b/>
          <w:bCs/>
          <w:color w:val="333333"/>
          <w:lang w:eastAsia="en-IE"/>
        </w:rPr>
        <w:t xml:space="preserve">nsives are generally less well </w:t>
      </w:r>
      <w:r w:rsidRPr="002D54F4">
        <w:rPr>
          <w:b/>
          <w:bCs/>
          <w:color w:val="333333"/>
          <w:lang w:eastAsia="en-IE"/>
        </w:rPr>
        <w:t>tolerated by older people than younger people)</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lang w:eastAsia="en-GB"/>
        </w:rPr>
      </w:pPr>
      <w:r w:rsidRPr="00477971">
        <w:rPr>
          <w:lang w:val="sv-SE" w:eastAsia="en-GB"/>
        </w:rPr>
        <w:t xml:space="preserve">B10 (i). Potter JF. Hypertension. </w:t>
      </w:r>
      <w:r w:rsidRPr="002D54F4">
        <w:rPr>
          <w:lang w:eastAsia="en-GB"/>
        </w:rPr>
        <w:t>In: Brocklehurst’s Textbook of Geriatric Medicine &amp; Gerontology, 6</w:t>
      </w:r>
      <w:r w:rsidRPr="002D54F4">
        <w:rPr>
          <w:vertAlign w:val="superscript"/>
          <w:lang w:eastAsia="en-GB"/>
        </w:rPr>
        <w:t>th</w:t>
      </w:r>
      <w:r w:rsidRPr="002D54F4">
        <w:rPr>
          <w:lang w:eastAsia="en-GB"/>
        </w:rPr>
        <w:t xml:space="preserve"> edition, Churchill Livingstone, 2003, p403.</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lang w:eastAsia="en-GB"/>
        </w:rPr>
      </w:pPr>
      <w:r w:rsidRPr="00477971">
        <w:rPr>
          <w:lang w:val="sv-SE" w:eastAsia="en-GB"/>
        </w:rPr>
        <w:t xml:space="preserve">B10 (ii). Khindri S, Jackson S. Hypertension. </w:t>
      </w:r>
      <w:r w:rsidRPr="002D54F4">
        <w:rPr>
          <w:lang w:eastAsia="en-GB"/>
        </w:rPr>
        <w:t>In: Prescribing for Elderly Patients, S. Jackson, P. Jansen, A. Mangoni, eds., Wiley-Blackwell, Chichester, UK, 2009, pp97-98.</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2D54F4" w:rsidRDefault="00851DC2" w:rsidP="00851DC2">
      <w:pPr>
        <w:spacing w:after="0" w:line="240" w:lineRule="auto"/>
        <w:rPr>
          <w:b/>
          <w:bCs/>
          <w:color w:val="333333"/>
          <w:lang w:eastAsia="en-IE"/>
        </w:rPr>
      </w:pPr>
      <w:r w:rsidRPr="002D54F4">
        <w:rPr>
          <w:b/>
          <w:bCs/>
          <w:color w:val="333333"/>
          <w:lang w:eastAsia="en-IE"/>
        </w:rPr>
        <w:t xml:space="preserve">B11. </w:t>
      </w:r>
      <w:proofErr w:type="gramStart"/>
      <w:r w:rsidRPr="002D54F4">
        <w:rPr>
          <w:b/>
          <w:bCs/>
          <w:color w:val="333333"/>
          <w:lang w:eastAsia="en-IE"/>
        </w:rPr>
        <w:t>ACE inhibitors or Angiotensin Receptor Blockers in patients with hyperkalaemia.</w:t>
      </w:r>
      <w:proofErr w:type="gramEnd"/>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2D54F4">
        <w:rPr>
          <w:lang w:eastAsia="en-GB"/>
        </w:rPr>
        <w:t>B11 (i) Izzo JL Jr, Weir MR. Angiotensin-converting enzyme inhibitors. J Clin</w:t>
      </w:r>
      <w:r>
        <w:rPr>
          <w:lang w:eastAsia="en-GB"/>
        </w:rPr>
        <w:t xml:space="preserve"> Hypertens (Greenwich) 2011</w:t>
      </w:r>
      <w:r w:rsidRPr="002D54F4">
        <w:rPr>
          <w:lang w:eastAsia="en-GB"/>
        </w:rPr>
        <w:t>;</w:t>
      </w:r>
      <w:r>
        <w:rPr>
          <w:lang w:eastAsia="en-GB"/>
        </w:rPr>
        <w:t xml:space="preserve"> </w:t>
      </w:r>
      <w:r w:rsidRPr="002D54F4">
        <w:rPr>
          <w:lang w:eastAsia="en-GB"/>
        </w:rPr>
        <w:t>13(9):667-75</w:t>
      </w:r>
      <w:r>
        <w:rPr>
          <w:lang w:eastAsia="en-GB"/>
        </w:rPr>
        <w:t xml:space="preserve">. </w:t>
      </w:r>
      <w:proofErr w:type="gramStart"/>
      <w:r w:rsidRPr="002D54F4">
        <w:rPr>
          <w:lang w:eastAsia="en-GB"/>
        </w:rPr>
        <w:t>Review.</w:t>
      </w:r>
      <w:proofErr w:type="gramEnd"/>
      <w:r w:rsidRPr="002D54F4">
        <w:rPr>
          <w:lang w:eastAsia="en-GB"/>
        </w:rPr>
        <w:t xml:space="preserve"> PubMed PMID: 21896148.</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2D54F4">
        <w:rPr>
          <w:lang w:eastAsia="en-GB"/>
        </w:rPr>
        <w:t>B11 (ii) Desai AS, Swedberg K, McMurray JJ, Granger CB, Yusuf S, Young JB, Dunlap ME,</w:t>
      </w:r>
      <w:r>
        <w:rPr>
          <w:lang w:eastAsia="en-GB"/>
        </w:rPr>
        <w:t xml:space="preserve"> </w:t>
      </w:r>
      <w:r w:rsidRPr="002D54F4">
        <w:rPr>
          <w:lang w:eastAsia="en-GB"/>
        </w:rPr>
        <w:t>Solomon SD, Hainer JW, Olofsson B, Michelson EL, Pfeffer MA; CHARM Program</w:t>
      </w:r>
      <w:r>
        <w:rPr>
          <w:lang w:eastAsia="en-GB"/>
        </w:rPr>
        <w:t xml:space="preserve"> </w:t>
      </w:r>
      <w:r w:rsidRPr="002D54F4">
        <w:rPr>
          <w:lang w:eastAsia="en-GB"/>
        </w:rPr>
        <w:t>Investigators. Incidence and predictors of hyperkalemia in patients with heart failure: an analysis of the CHARM Program. J Am Coll Cardiol 2007 Nov 13</w:t>
      </w:r>
      <w:proofErr w:type="gramStart"/>
      <w:r w:rsidRPr="002D54F4">
        <w:rPr>
          <w:lang w:eastAsia="en-GB"/>
        </w:rPr>
        <w:t>;50</w:t>
      </w:r>
      <w:proofErr w:type="gramEnd"/>
      <w:r w:rsidRPr="002D54F4">
        <w:rPr>
          <w:lang w:eastAsia="en-GB"/>
        </w:rPr>
        <w:t>(20):1959-66. PubMed PMID: 17996561.</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2D54F4">
        <w:rPr>
          <w:lang w:eastAsia="en-GB"/>
        </w:rPr>
        <w:t>B11(</w:t>
      </w:r>
      <w:proofErr w:type="gramEnd"/>
      <w:r w:rsidRPr="002D54F4">
        <w:rPr>
          <w:lang w:eastAsia="en-GB"/>
        </w:rPr>
        <w:t xml:space="preserve">iii): Reardon LC, Macpherson DS. </w:t>
      </w:r>
      <w:proofErr w:type="gramStart"/>
      <w:r w:rsidRPr="002D54F4">
        <w:rPr>
          <w:lang w:eastAsia="en-GB"/>
        </w:rPr>
        <w:t>Hyperkalemia in outpatients using</w:t>
      </w:r>
      <w:r>
        <w:rPr>
          <w:lang w:eastAsia="en-GB"/>
        </w:rPr>
        <w:t xml:space="preserve"> </w:t>
      </w:r>
      <w:r w:rsidRPr="002D54F4">
        <w:rPr>
          <w:lang w:eastAsia="en-GB"/>
        </w:rPr>
        <w:t>angiotensin-converting enzyme inhibitors.</w:t>
      </w:r>
      <w:proofErr w:type="gramEnd"/>
      <w:r w:rsidRPr="002D54F4">
        <w:rPr>
          <w:lang w:eastAsia="en-GB"/>
        </w:rPr>
        <w:t xml:space="preserve"> How much should we worry? Arch Intern</w:t>
      </w:r>
      <w:r>
        <w:rPr>
          <w:lang w:eastAsia="en-GB"/>
        </w:rPr>
        <w:t xml:space="preserve"> Med 1998</w:t>
      </w:r>
      <w:r w:rsidRPr="002D54F4">
        <w:rPr>
          <w:lang w:eastAsia="en-GB"/>
        </w:rPr>
        <w:t>;</w:t>
      </w:r>
      <w:r>
        <w:rPr>
          <w:lang w:eastAsia="en-GB"/>
        </w:rPr>
        <w:t xml:space="preserve"> </w:t>
      </w:r>
      <w:r w:rsidRPr="002D54F4">
        <w:rPr>
          <w:lang w:eastAsia="en-GB"/>
        </w:rPr>
        <w:t>158(1):26-32. PubMed PMID: 9437375.</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2D54F4">
        <w:rPr>
          <w:b/>
          <w:bCs/>
          <w:lang w:eastAsia="en-GB"/>
        </w:rPr>
        <w:t>B12. Aldosterone antagonists (e.g. spironolactone, eplerenone) with concurrent potassium-conserving  drugs (e.g. ACEI’s, ARB’s, amiloride, triamterene) without monitoring of serum potassium (risk of dangerous hyperkalaemia i.e. &gt; 6.0 mmol/l – serum K should be monitored regularly, i.e. at least every 6 months).</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2D54F4">
        <w:rPr>
          <w:lang w:eastAsia="en-GB"/>
        </w:rPr>
        <w:t>B12 (i): Bauersachs J, Fraccarollo D. Aldosterone antagonism in addition to</w:t>
      </w:r>
      <w:r>
        <w:rPr>
          <w:lang w:eastAsia="en-GB"/>
        </w:rPr>
        <w:t xml:space="preserve"> </w:t>
      </w:r>
      <w:r w:rsidRPr="002D54F4">
        <w:rPr>
          <w:lang w:eastAsia="en-GB"/>
        </w:rPr>
        <w:t>angiotensin-converting enzyme inhibitors in hear</w:t>
      </w:r>
      <w:r>
        <w:rPr>
          <w:lang w:eastAsia="en-GB"/>
        </w:rPr>
        <w:t>t failure. Minerva Cardioangiol 2003</w:t>
      </w:r>
      <w:r w:rsidRPr="002D54F4">
        <w:rPr>
          <w:lang w:eastAsia="en-GB"/>
        </w:rPr>
        <w:t>;</w:t>
      </w:r>
      <w:r>
        <w:rPr>
          <w:lang w:eastAsia="en-GB"/>
        </w:rPr>
        <w:t xml:space="preserve"> </w:t>
      </w:r>
      <w:r w:rsidRPr="002D54F4">
        <w:rPr>
          <w:lang w:eastAsia="en-GB"/>
        </w:rPr>
        <w:t xml:space="preserve">51(2):155-64. </w:t>
      </w:r>
      <w:proofErr w:type="gramStart"/>
      <w:r w:rsidRPr="002D54F4">
        <w:rPr>
          <w:lang w:eastAsia="en-GB"/>
        </w:rPr>
        <w:t>Review.</w:t>
      </w:r>
      <w:proofErr w:type="gramEnd"/>
      <w:r w:rsidRPr="002D54F4">
        <w:rPr>
          <w:lang w:eastAsia="en-GB"/>
        </w:rPr>
        <w:t xml:space="preserve"> PubMed PMID: 12783071.</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2D54F4">
        <w:rPr>
          <w:lang w:eastAsia="en-GB"/>
        </w:rPr>
        <w:t xml:space="preserve">B12 (ii): Poggio R, Grancelli HO, </w:t>
      </w:r>
      <w:proofErr w:type="gramStart"/>
      <w:r w:rsidRPr="002D54F4">
        <w:rPr>
          <w:lang w:eastAsia="en-GB"/>
        </w:rPr>
        <w:t>Miriuka</w:t>
      </w:r>
      <w:proofErr w:type="gramEnd"/>
      <w:r w:rsidRPr="002D54F4">
        <w:rPr>
          <w:lang w:eastAsia="en-GB"/>
        </w:rPr>
        <w:t xml:space="preserve"> SG. </w:t>
      </w:r>
      <w:proofErr w:type="gramStart"/>
      <w:r w:rsidRPr="002D54F4">
        <w:rPr>
          <w:lang w:eastAsia="en-GB"/>
        </w:rPr>
        <w:t>Understanding the risk of hyperkalaemia in</w:t>
      </w:r>
      <w:r>
        <w:rPr>
          <w:lang w:eastAsia="en-GB"/>
        </w:rPr>
        <w:t xml:space="preserve"> </w:t>
      </w:r>
      <w:r w:rsidRPr="002D54F4">
        <w:rPr>
          <w:lang w:eastAsia="en-GB"/>
        </w:rPr>
        <w:t>heart failure: role of aldosterone antagonism.</w:t>
      </w:r>
      <w:proofErr w:type="gramEnd"/>
      <w:r w:rsidRPr="002D54F4">
        <w:rPr>
          <w:lang w:eastAsia="en-GB"/>
        </w:rPr>
        <w:t xml:space="preserve"> Post</w:t>
      </w:r>
      <w:r>
        <w:rPr>
          <w:lang w:eastAsia="en-GB"/>
        </w:rPr>
        <w:t>grad Med J 2010</w:t>
      </w:r>
      <w:r w:rsidRPr="002D54F4">
        <w:rPr>
          <w:lang w:eastAsia="en-GB"/>
        </w:rPr>
        <w:t>;</w:t>
      </w:r>
      <w:r>
        <w:rPr>
          <w:lang w:eastAsia="en-GB"/>
        </w:rPr>
        <w:t xml:space="preserve"> </w:t>
      </w:r>
      <w:r w:rsidRPr="002D54F4">
        <w:rPr>
          <w:lang w:eastAsia="en-GB"/>
        </w:rPr>
        <w:t>86</w:t>
      </w:r>
      <w:r>
        <w:rPr>
          <w:lang w:eastAsia="en-GB"/>
        </w:rPr>
        <w:t xml:space="preserve"> </w:t>
      </w:r>
      <w:r w:rsidRPr="002D54F4">
        <w:rPr>
          <w:lang w:eastAsia="en-GB"/>
        </w:rPr>
        <w:t xml:space="preserve">(1013):136-42. </w:t>
      </w:r>
      <w:proofErr w:type="gramStart"/>
      <w:r w:rsidRPr="002D54F4">
        <w:rPr>
          <w:lang w:eastAsia="en-GB"/>
        </w:rPr>
        <w:t>Review.</w:t>
      </w:r>
      <w:proofErr w:type="gramEnd"/>
      <w:r w:rsidRPr="002D54F4">
        <w:rPr>
          <w:lang w:eastAsia="en-GB"/>
        </w:rPr>
        <w:t xml:space="preserve"> PubMed PMID: 20237007.</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2D54F4">
        <w:rPr>
          <w:lang w:eastAsia="en-GB"/>
        </w:rPr>
        <w:t>B12 (iii): Wrenger E, Müller R, Moesenthin M, Welte T, Frölich JC, Neumann KH.</w:t>
      </w:r>
      <w:r>
        <w:rPr>
          <w:lang w:eastAsia="en-GB"/>
        </w:rPr>
        <w:t xml:space="preserve"> </w:t>
      </w:r>
      <w:r w:rsidRPr="002D54F4">
        <w:rPr>
          <w:lang w:eastAsia="en-GB"/>
        </w:rPr>
        <w:t>Interaction of spironolactone with ACE inhibitors or angiotensin receptor</w:t>
      </w:r>
      <w:r>
        <w:rPr>
          <w:lang w:eastAsia="en-GB"/>
        </w:rPr>
        <w:t xml:space="preserve"> </w:t>
      </w:r>
      <w:r w:rsidRPr="002D54F4">
        <w:rPr>
          <w:lang w:eastAsia="en-GB"/>
        </w:rPr>
        <w:t>blockers: analysis of 44 cases. B</w:t>
      </w:r>
      <w:r>
        <w:rPr>
          <w:lang w:eastAsia="en-GB"/>
        </w:rPr>
        <w:t xml:space="preserve">MJ 2003; </w:t>
      </w:r>
      <w:r w:rsidRPr="002D54F4">
        <w:rPr>
          <w:lang w:eastAsia="en-GB"/>
        </w:rPr>
        <w:t>327(7407):147-9. PubMed PMID:</w:t>
      </w:r>
      <w:r>
        <w:rPr>
          <w:lang w:eastAsia="en-GB"/>
        </w:rPr>
        <w:t xml:space="preserve"> </w:t>
      </w:r>
      <w:r w:rsidRPr="002D54F4">
        <w:rPr>
          <w:lang w:eastAsia="en-GB"/>
        </w:rPr>
        <w:t>12869459.</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2D54F4">
        <w:rPr>
          <w:lang w:eastAsia="en-GB"/>
        </w:rPr>
        <w:t>B12 (</w:t>
      </w:r>
      <w:proofErr w:type="gramStart"/>
      <w:r w:rsidRPr="002D54F4">
        <w:rPr>
          <w:lang w:eastAsia="en-GB"/>
        </w:rPr>
        <w:t>iv</w:t>
      </w:r>
      <w:proofErr w:type="gramEnd"/>
      <w:r w:rsidRPr="002D54F4">
        <w:rPr>
          <w:lang w:eastAsia="en-GB"/>
        </w:rPr>
        <w:t xml:space="preserve">) Marcy TR, Ripley TL. </w:t>
      </w:r>
      <w:proofErr w:type="gramStart"/>
      <w:r w:rsidRPr="002D54F4">
        <w:rPr>
          <w:lang w:eastAsia="en-GB"/>
        </w:rPr>
        <w:t>Aldosterone antagonists in the treatment of heart</w:t>
      </w:r>
      <w:r>
        <w:rPr>
          <w:lang w:eastAsia="en-GB"/>
        </w:rPr>
        <w:t xml:space="preserve"> failure.</w:t>
      </w:r>
      <w:proofErr w:type="gramEnd"/>
      <w:r>
        <w:rPr>
          <w:lang w:eastAsia="en-GB"/>
        </w:rPr>
        <w:t xml:space="preserve"> Am J Health Syst Pharm 2006</w:t>
      </w:r>
      <w:r w:rsidRPr="002D54F4">
        <w:rPr>
          <w:lang w:eastAsia="en-GB"/>
        </w:rPr>
        <w:t>;</w:t>
      </w:r>
      <w:r>
        <w:rPr>
          <w:lang w:eastAsia="en-GB"/>
        </w:rPr>
        <w:t xml:space="preserve"> </w:t>
      </w:r>
      <w:r w:rsidRPr="002D54F4">
        <w:rPr>
          <w:lang w:eastAsia="en-GB"/>
        </w:rPr>
        <w:t>63(1):</w:t>
      </w:r>
      <w:r>
        <w:rPr>
          <w:lang w:eastAsia="en-GB"/>
        </w:rPr>
        <w:t xml:space="preserve"> </w:t>
      </w:r>
      <w:r w:rsidRPr="002D54F4">
        <w:rPr>
          <w:lang w:eastAsia="en-GB"/>
        </w:rPr>
        <w:t>49-58. PubMed PMID: 16373465.</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eastAsia="en-GB"/>
        </w:rPr>
      </w:pPr>
      <w:r w:rsidRPr="002D54F4">
        <w:rPr>
          <w:lang w:eastAsia="en-GB"/>
        </w:rPr>
        <w:t xml:space="preserve">B12 (v): Tang WH, Parameswaran AC, Maroo AP, </w:t>
      </w:r>
      <w:proofErr w:type="gramStart"/>
      <w:r w:rsidRPr="002D54F4">
        <w:rPr>
          <w:lang w:eastAsia="en-GB"/>
        </w:rPr>
        <w:t>Francis</w:t>
      </w:r>
      <w:proofErr w:type="gramEnd"/>
      <w:r w:rsidRPr="002D54F4">
        <w:rPr>
          <w:lang w:eastAsia="en-GB"/>
        </w:rPr>
        <w:t xml:space="preserve"> GS. </w:t>
      </w:r>
      <w:proofErr w:type="gramStart"/>
      <w:r w:rsidRPr="002D54F4">
        <w:rPr>
          <w:lang w:eastAsia="en-GB"/>
        </w:rPr>
        <w:t>Aldosterone receptor</w:t>
      </w:r>
      <w:r>
        <w:rPr>
          <w:lang w:eastAsia="en-GB"/>
        </w:rPr>
        <w:t xml:space="preserve"> </w:t>
      </w:r>
      <w:r w:rsidRPr="002D54F4">
        <w:rPr>
          <w:lang w:eastAsia="en-GB"/>
        </w:rPr>
        <w:t>antagonists in the medical management of chroni</w:t>
      </w:r>
      <w:r>
        <w:rPr>
          <w:lang w:eastAsia="en-GB"/>
        </w:rPr>
        <w:t>c heart failure.</w:t>
      </w:r>
      <w:proofErr w:type="gramEnd"/>
      <w:r>
        <w:rPr>
          <w:lang w:eastAsia="en-GB"/>
        </w:rPr>
        <w:t xml:space="preserve"> Mayo Clin Proc 2005</w:t>
      </w:r>
      <w:r w:rsidRPr="002D54F4">
        <w:rPr>
          <w:lang w:eastAsia="en-GB"/>
        </w:rPr>
        <w:t>;</w:t>
      </w:r>
      <w:r>
        <w:rPr>
          <w:lang w:eastAsia="en-GB"/>
        </w:rPr>
        <w:t xml:space="preserve"> </w:t>
      </w:r>
      <w:r w:rsidRPr="002D54F4">
        <w:rPr>
          <w:lang w:eastAsia="en-GB"/>
        </w:rPr>
        <w:t>80(12):</w:t>
      </w:r>
      <w:r>
        <w:rPr>
          <w:lang w:eastAsia="en-GB"/>
        </w:rPr>
        <w:t xml:space="preserve"> </w:t>
      </w:r>
      <w:r w:rsidRPr="002D54F4">
        <w:rPr>
          <w:lang w:eastAsia="en-GB"/>
        </w:rPr>
        <w:t xml:space="preserve">1623-30. </w:t>
      </w:r>
      <w:proofErr w:type="gramStart"/>
      <w:r w:rsidRPr="002D54F4">
        <w:rPr>
          <w:lang w:eastAsia="en-GB"/>
        </w:rPr>
        <w:t>Review.</w:t>
      </w:r>
      <w:proofErr w:type="gramEnd"/>
      <w:r w:rsidRPr="002D54F4">
        <w:rPr>
          <w:lang w:eastAsia="en-GB"/>
        </w:rPr>
        <w:t xml:space="preserve"> PubMed PMID: 16342656.</w:t>
      </w: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333333"/>
          <w:lang w:eastAsia="en-IE"/>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2D54F4">
        <w:rPr>
          <w:b/>
          <w:bCs/>
          <w:color w:val="333333"/>
          <w:lang w:eastAsia="en-IE"/>
        </w:rPr>
        <w:t>B13. Phosphodiesterase type-5 inhibitors (e.g. sildenafil, tadalafil, vardenafil) in severe hear</w:t>
      </w:r>
      <w:r>
        <w:rPr>
          <w:b/>
          <w:bCs/>
          <w:color w:val="333333"/>
          <w:lang w:eastAsia="en-IE"/>
        </w:rPr>
        <w:t>t</w:t>
      </w:r>
      <w:r w:rsidRPr="002D54F4">
        <w:rPr>
          <w:b/>
          <w:bCs/>
          <w:color w:val="333333"/>
          <w:lang w:eastAsia="en-IE"/>
        </w:rPr>
        <w:t xml:space="preserve"> failure characterised by hypotension i.e. systolic BP &lt; 90 mmHg, or concurrent </w:t>
      </w:r>
      <w:r>
        <w:rPr>
          <w:b/>
          <w:bCs/>
          <w:color w:val="333333"/>
          <w:lang w:eastAsia="en-IE"/>
        </w:rPr>
        <w:t xml:space="preserve">daily </w:t>
      </w:r>
      <w:r w:rsidRPr="002D54F4">
        <w:rPr>
          <w:b/>
          <w:bCs/>
          <w:color w:val="333333"/>
          <w:lang w:eastAsia="en-IE"/>
        </w:rPr>
        <w:t>nitrate therapy for angina (risk of cardiovascular collapse)</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333333"/>
          <w:lang w:eastAsia="en-IE"/>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03319"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03319">
        <w:rPr>
          <w:lang w:eastAsia="en-GB"/>
        </w:rPr>
        <w:t>B13</w:t>
      </w:r>
      <w:r>
        <w:rPr>
          <w:lang w:eastAsia="en-GB"/>
        </w:rPr>
        <w:t xml:space="preserve"> (i</w:t>
      </w:r>
      <w:r w:rsidRPr="00503319">
        <w:rPr>
          <w:lang w:eastAsia="en-GB"/>
        </w:rPr>
        <w:t>): British National Formulary, No. 61, March 2011, p516.</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D54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2D54F4">
        <w:rPr>
          <w:lang w:eastAsia="en-GB"/>
        </w:rPr>
        <w:t>B13(i</w:t>
      </w:r>
      <w:r>
        <w:rPr>
          <w:lang w:eastAsia="en-GB"/>
        </w:rPr>
        <w:t>i</w:t>
      </w:r>
      <w:r w:rsidRPr="002D54F4">
        <w:rPr>
          <w:lang w:eastAsia="en-GB"/>
        </w:rPr>
        <w:t xml:space="preserve">): Kloner RA, Hutter AM, Emmick JT, Mitchell MI, Denne J, Jackson G. Time course of the interaction between tadalafil </w:t>
      </w:r>
      <w:r>
        <w:rPr>
          <w:lang w:eastAsia="en-GB"/>
        </w:rPr>
        <w:t>and nitrates. J Am Coll Cardiol 2003</w:t>
      </w:r>
      <w:r w:rsidRPr="002D54F4">
        <w:rPr>
          <w:lang w:eastAsia="en-GB"/>
        </w:rPr>
        <w:t>; 42 (10):</w:t>
      </w:r>
      <w:r>
        <w:rPr>
          <w:lang w:eastAsia="en-GB"/>
        </w:rPr>
        <w:t xml:space="preserve"> </w:t>
      </w:r>
      <w:r w:rsidRPr="002D54F4">
        <w:rPr>
          <w:lang w:eastAsia="en-GB"/>
        </w:rPr>
        <w:t>1855-60. PubMed PMID: 14642699.</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sz w:val="28"/>
          <w:szCs w:val="28"/>
          <w:lang w:eastAsia="en-GB"/>
        </w:rPr>
      </w:pPr>
    </w:p>
    <w:p w:rsidR="00851DC2" w:rsidRPr="005D2AEB" w:rsidRDefault="00851DC2" w:rsidP="00851DC2">
      <w:pPr>
        <w:spacing w:after="0" w:line="240" w:lineRule="auto"/>
        <w:rPr>
          <w:b/>
          <w:bCs/>
          <w:color w:val="FF0000"/>
          <w:sz w:val="28"/>
          <w:szCs w:val="28"/>
          <w:lang w:eastAsia="en-GB"/>
        </w:rPr>
      </w:pPr>
      <w:r w:rsidRPr="005D2AEB">
        <w:rPr>
          <w:b/>
          <w:bCs/>
          <w:sz w:val="28"/>
          <w:szCs w:val="28"/>
          <w:lang w:eastAsia="en-GB"/>
        </w:rPr>
        <w:t>Section C: Coagulation System</w:t>
      </w:r>
      <w:r>
        <w:rPr>
          <w:b/>
          <w:bCs/>
          <w:sz w:val="28"/>
          <w:szCs w:val="28"/>
          <w:lang w:eastAsia="en-GB"/>
        </w:rPr>
        <w:t xml:space="preserve"> criteria </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5D2AEB" w:rsidRDefault="00851DC2" w:rsidP="00851DC2">
      <w:pPr>
        <w:spacing w:after="0" w:line="240" w:lineRule="auto"/>
        <w:rPr>
          <w:b/>
          <w:bCs/>
          <w:color w:val="333333"/>
          <w:lang w:eastAsia="en-IE"/>
        </w:rPr>
      </w:pPr>
      <w:r w:rsidRPr="005D2AEB">
        <w:rPr>
          <w:b/>
          <w:bCs/>
          <w:color w:val="333333"/>
          <w:lang w:eastAsia="en-IE"/>
        </w:rPr>
        <w:t xml:space="preserve">C1. </w:t>
      </w:r>
      <w:proofErr w:type="gramStart"/>
      <w:r w:rsidRPr="005D2AEB">
        <w:rPr>
          <w:b/>
          <w:bCs/>
          <w:color w:val="333333"/>
          <w:lang w:eastAsia="en-IE"/>
        </w:rPr>
        <w:t>Long-term aspirin at doses greater than 160mg per day (increased risk of bleeding, no evidence for increased efficacy).</w:t>
      </w:r>
      <w:proofErr w:type="gramEnd"/>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5D2AEB">
        <w:rPr>
          <w:lang w:eastAsia="en-GB"/>
        </w:rPr>
        <w:t>C1</w:t>
      </w:r>
      <w:r>
        <w:rPr>
          <w:lang w:eastAsia="en-GB"/>
        </w:rPr>
        <w:t xml:space="preserve"> </w:t>
      </w:r>
      <w:r w:rsidRPr="005D2AEB">
        <w:rPr>
          <w:lang w:eastAsia="en-GB"/>
        </w:rPr>
        <w:t>(i).</w:t>
      </w:r>
      <w:proofErr w:type="gramEnd"/>
      <w:r w:rsidRPr="005D2AEB">
        <w:rPr>
          <w:lang w:eastAsia="en-GB"/>
        </w:rPr>
        <w:t xml:space="preserve"> Dalen JE. Aspirin to prevent heart attack and stroke: what's the right dose?</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Am J Med 2006</w:t>
      </w:r>
      <w:r w:rsidRPr="005D2AEB">
        <w:rPr>
          <w:lang w:eastAsia="en-GB"/>
        </w:rPr>
        <w:t>;</w:t>
      </w:r>
      <w:r>
        <w:rPr>
          <w:lang w:eastAsia="en-GB"/>
        </w:rPr>
        <w:t xml:space="preserve"> </w:t>
      </w:r>
      <w:r w:rsidRPr="005D2AEB">
        <w:rPr>
          <w:lang w:eastAsia="en-GB"/>
        </w:rPr>
        <w:t xml:space="preserve">119(3):198-202. </w:t>
      </w:r>
      <w:proofErr w:type="gramStart"/>
      <w:r w:rsidRPr="005D2AEB">
        <w:rPr>
          <w:lang w:eastAsia="en-GB"/>
        </w:rPr>
        <w:t>Review.</w:t>
      </w:r>
      <w:proofErr w:type="gramEnd"/>
      <w:r w:rsidRPr="005D2AEB">
        <w:rPr>
          <w:lang w:eastAsia="en-GB"/>
        </w:rPr>
        <w:t xml:space="preserve"> PubMed PMID: 16490462.</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5D2AEB">
        <w:rPr>
          <w:lang w:eastAsia="en-GB"/>
        </w:rPr>
        <w:t>C1</w:t>
      </w:r>
      <w:r>
        <w:rPr>
          <w:lang w:eastAsia="en-GB"/>
        </w:rPr>
        <w:t xml:space="preserve"> </w:t>
      </w:r>
      <w:r w:rsidRPr="005D2AEB">
        <w:rPr>
          <w:lang w:eastAsia="en-GB"/>
        </w:rPr>
        <w:t>(ii).</w:t>
      </w:r>
      <w:proofErr w:type="gramEnd"/>
      <w:r w:rsidRPr="005D2AEB">
        <w:rPr>
          <w:lang w:eastAsia="en-GB"/>
        </w:rPr>
        <w:t xml:space="preserve"> Fisher M, Knappertz V. </w:t>
      </w:r>
      <w:proofErr w:type="gramStart"/>
      <w:r w:rsidRPr="005D2AEB">
        <w:rPr>
          <w:lang w:eastAsia="en-GB"/>
        </w:rPr>
        <w:t>The dose of aspirin for the prevention of cardiovascular and cerebrovas</w:t>
      </w:r>
      <w:r>
        <w:rPr>
          <w:lang w:eastAsia="en-GB"/>
        </w:rPr>
        <w:t>cular events.</w:t>
      </w:r>
      <w:proofErr w:type="gramEnd"/>
      <w:r>
        <w:rPr>
          <w:lang w:eastAsia="en-GB"/>
        </w:rPr>
        <w:t xml:space="preserve"> Curr Med Res Opin 2006</w:t>
      </w:r>
      <w:r w:rsidRPr="005D2AEB">
        <w:rPr>
          <w:lang w:eastAsia="en-GB"/>
        </w:rPr>
        <w:t>;</w:t>
      </w:r>
      <w:r>
        <w:rPr>
          <w:lang w:eastAsia="en-GB"/>
        </w:rPr>
        <w:t xml:space="preserve"> </w:t>
      </w:r>
      <w:r w:rsidRPr="005D2AEB">
        <w:rPr>
          <w:lang w:eastAsia="en-GB"/>
        </w:rPr>
        <w:t xml:space="preserve">22(7):1239-48. </w:t>
      </w:r>
      <w:proofErr w:type="gramStart"/>
      <w:r w:rsidRPr="005D2AEB">
        <w:rPr>
          <w:lang w:eastAsia="en-GB"/>
        </w:rPr>
        <w:t>Review.</w:t>
      </w:r>
      <w:proofErr w:type="gramEnd"/>
      <w:r w:rsidRPr="005D2AEB">
        <w:rPr>
          <w:lang w:eastAsia="en-GB"/>
        </w:rPr>
        <w:t xml:space="preserve"> PubMed PMID: 16892516.</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5D2AEB" w:rsidRDefault="00851DC2" w:rsidP="00851DC2">
      <w:pPr>
        <w:spacing w:after="0" w:line="240" w:lineRule="auto"/>
        <w:rPr>
          <w:b/>
          <w:bCs/>
          <w:color w:val="333333"/>
          <w:lang w:eastAsia="en-IE"/>
        </w:rPr>
      </w:pPr>
      <w:r w:rsidRPr="005D2AEB">
        <w:rPr>
          <w:b/>
          <w:bCs/>
          <w:color w:val="333333"/>
          <w:lang w:eastAsia="en-IE"/>
        </w:rPr>
        <w:t>C2. Aspirin with a past history of peptic ulcer disease without concomitant PPI (risk of recurrent peptic ulcer).</w:t>
      </w:r>
    </w:p>
    <w:p w:rsidR="00851DC2" w:rsidRPr="005D2AEB" w:rsidRDefault="00851DC2" w:rsidP="00851DC2">
      <w:pPr>
        <w:spacing w:after="0" w:line="240" w:lineRule="auto"/>
        <w:rPr>
          <w:b/>
          <w:bCs/>
          <w:color w:val="333333"/>
          <w:lang w:eastAsia="en-IE"/>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5D2AEB">
        <w:rPr>
          <w:lang w:eastAsia="en-GB"/>
        </w:rPr>
        <w:t>C2 (i).</w:t>
      </w:r>
      <w:proofErr w:type="gramEnd"/>
      <w:r w:rsidRPr="005D2AEB">
        <w:rPr>
          <w:lang w:eastAsia="en-GB"/>
        </w:rPr>
        <w:t xml:space="preserve"> Yeomans ND. </w:t>
      </w:r>
      <w:proofErr w:type="gramStart"/>
      <w:r w:rsidRPr="005D2AEB">
        <w:rPr>
          <w:lang w:eastAsia="en-GB"/>
        </w:rPr>
        <w:t>Reducing the risk of gas</w:t>
      </w:r>
      <w:r>
        <w:rPr>
          <w:lang w:eastAsia="en-GB"/>
        </w:rPr>
        <w:t xml:space="preserve">troduodenal ulcers with a fixed </w:t>
      </w:r>
      <w:r w:rsidRPr="005D2AEB">
        <w:rPr>
          <w:lang w:eastAsia="en-GB"/>
        </w:rPr>
        <w:t>combination of esomeprazole and low-dose ac</w:t>
      </w:r>
      <w:r>
        <w:rPr>
          <w:lang w:eastAsia="en-GB"/>
        </w:rPr>
        <w:t>etyl salicylic acid.</w:t>
      </w:r>
      <w:proofErr w:type="gramEnd"/>
      <w:r>
        <w:rPr>
          <w:lang w:eastAsia="en-GB"/>
        </w:rPr>
        <w:t xml:space="preserve"> Expert Rev </w:t>
      </w:r>
      <w:r w:rsidRPr="005D2AEB">
        <w:rPr>
          <w:lang w:eastAsia="en-GB"/>
        </w:rPr>
        <w:t>Gastroenterol H</w:t>
      </w:r>
      <w:r>
        <w:rPr>
          <w:lang w:eastAsia="en-GB"/>
        </w:rPr>
        <w:t>epatol 2011</w:t>
      </w:r>
      <w:r w:rsidRPr="005D2AEB">
        <w:rPr>
          <w:lang w:eastAsia="en-GB"/>
        </w:rPr>
        <w:t>;</w:t>
      </w:r>
      <w:r>
        <w:rPr>
          <w:lang w:eastAsia="en-GB"/>
        </w:rPr>
        <w:t xml:space="preserve"> </w:t>
      </w:r>
      <w:r w:rsidRPr="005D2AEB">
        <w:rPr>
          <w:lang w:eastAsia="en-GB"/>
        </w:rPr>
        <w:t xml:space="preserve">5(4):447-55. </w:t>
      </w:r>
      <w:proofErr w:type="gramStart"/>
      <w:r w:rsidRPr="005D2AEB">
        <w:rPr>
          <w:lang w:eastAsia="en-GB"/>
        </w:rPr>
        <w:t>Review.</w:t>
      </w:r>
      <w:proofErr w:type="gramEnd"/>
      <w:r w:rsidRPr="005D2AEB">
        <w:rPr>
          <w:lang w:eastAsia="en-GB"/>
        </w:rPr>
        <w:t xml:space="preserve"> PubMed PMID: 21780891.</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C2 (ii): Burness CB, Scott LJ. Acetylsalicylic acid/esomeprazole fixed-dose</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Pr>
          <w:lang w:eastAsia="en-GB"/>
        </w:rPr>
        <w:t>combination</w:t>
      </w:r>
      <w:proofErr w:type="gramEnd"/>
      <w:r>
        <w:rPr>
          <w:lang w:eastAsia="en-GB"/>
        </w:rPr>
        <w:t>. Drugs Aging 2012</w:t>
      </w:r>
      <w:r w:rsidRPr="005D2AEB">
        <w:rPr>
          <w:lang w:eastAsia="en-GB"/>
        </w:rPr>
        <w:t>;</w:t>
      </w:r>
      <w:r>
        <w:rPr>
          <w:lang w:eastAsia="en-GB"/>
        </w:rPr>
        <w:t xml:space="preserve"> </w:t>
      </w:r>
      <w:r w:rsidRPr="005D2AEB">
        <w:rPr>
          <w:lang w:eastAsia="en-GB"/>
        </w:rPr>
        <w:t xml:space="preserve">29(3):233-42. </w:t>
      </w:r>
      <w:proofErr w:type="gramStart"/>
      <w:r w:rsidRPr="005D2AEB">
        <w:rPr>
          <w:lang w:eastAsia="en-GB"/>
        </w:rPr>
        <w:t>Review.</w:t>
      </w:r>
      <w:proofErr w:type="gramEnd"/>
      <w:r w:rsidRPr="005D2AEB">
        <w:rPr>
          <w:lang w:eastAsia="en-GB"/>
        </w:rPr>
        <w:t xml:space="preserve"> PubMed PMID: 22372726.</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C2 (iii): Lanas A. Gastrointestinal bleeding associ</w:t>
      </w:r>
      <w:r>
        <w:rPr>
          <w:lang w:eastAsia="en-GB"/>
        </w:rPr>
        <w:t xml:space="preserve">ated with low-dose aspirin use: </w:t>
      </w:r>
      <w:r w:rsidRPr="005D2AEB">
        <w:rPr>
          <w:lang w:eastAsia="en-GB"/>
        </w:rPr>
        <w:t>relevance and management in clinical pract</w:t>
      </w:r>
      <w:r>
        <w:rPr>
          <w:lang w:eastAsia="en-GB"/>
        </w:rPr>
        <w:t>ice. Expert Opin Drug Saf 2011</w:t>
      </w:r>
      <w:r w:rsidRPr="005D2AEB">
        <w:rPr>
          <w:lang w:eastAsia="en-GB"/>
        </w:rPr>
        <w:t>;</w:t>
      </w:r>
      <w:r>
        <w:rPr>
          <w:lang w:eastAsia="en-GB"/>
        </w:rPr>
        <w:t xml:space="preserve"> </w:t>
      </w:r>
      <w:r w:rsidRPr="005D2AEB">
        <w:rPr>
          <w:lang w:eastAsia="en-GB"/>
        </w:rPr>
        <w:t xml:space="preserve">10(1):45-54. </w:t>
      </w:r>
      <w:proofErr w:type="gramStart"/>
      <w:r w:rsidRPr="005D2AEB">
        <w:rPr>
          <w:lang w:eastAsia="en-GB"/>
        </w:rPr>
        <w:t>Review.</w:t>
      </w:r>
      <w:proofErr w:type="gramEnd"/>
      <w:r w:rsidRPr="005D2AEB">
        <w:rPr>
          <w:lang w:eastAsia="en-GB"/>
        </w:rPr>
        <w:t xml:space="preserve"> PubMed PMID: 20645883.</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5D2AEB" w:rsidRDefault="00851DC2" w:rsidP="00851DC2">
      <w:pPr>
        <w:spacing w:after="0" w:line="240" w:lineRule="auto"/>
        <w:rPr>
          <w:b/>
          <w:bCs/>
          <w:color w:val="333333"/>
          <w:lang w:eastAsia="en-IE"/>
        </w:rPr>
      </w:pPr>
      <w:r w:rsidRPr="005D2AEB">
        <w:rPr>
          <w:b/>
          <w:bCs/>
          <w:color w:val="333333"/>
          <w:lang w:eastAsia="en-IE"/>
        </w:rPr>
        <w:t>C3. Aspirin, clopidogrel, dipyridamole, vitamin K antagonists, direct thrombin inhibitors or factor Xa inhibitors with concurrent significant  bleeding risk, i.e. uncontrolled severe hypertension, bleeding diathesis, recent non-trivial spontaneous bleeding) (high risk of bleeding).</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 xml:space="preserve">C3 (i): Lip GY. Implications of the </w:t>
      </w:r>
      <w:proofErr w:type="gramStart"/>
      <w:r w:rsidRPr="005D2AEB">
        <w:rPr>
          <w:lang w:eastAsia="en-GB"/>
        </w:rPr>
        <w:t>CHA(</w:t>
      </w:r>
      <w:proofErr w:type="gramEnd"/>
      <w:r w:rsidRPr="005D2AEB">
        <w:rPr>
          <w:lang w:eastAsia="en-GB"/>
        </w:rPr>
        <w:t>2)DS(</w:t>
      </w:r>
      <w:r>
        <w:rPr>
          <w:lang w:eastAsia="en-GB"/>
        </w:rPr>
        <w:t xml:space="preserve">2)-VASc and HAS-BLED Scores for </w:t>
      </w:r>
      <w:r w:rsidRPr="005D2AEB">
        <w:rPr>
          <w:lang w:eastAsia="en-GB"/>
        </w:rPr>
        <w:t xml:space="preserve">thromboprophylaxis in atrial </w:t>
      </w:r>
      <w:r>
        <w:rPr>
          <w:lang w:eastAsia="en-GB"/>
        </w:rPr>
        <w:t>fibrillation. Am J Med. 2011</w:t>
      </w:r>
      <w:r w:rsidRPr="005D2AEB">
        <w:rPr>
          <w:lang w:eastAsia="en-GB"/>
        </w:rPr>
        <w:t>;</w:t>
      </w:r>
      <w:r>
        <w:rPr>
          <w:lang w:eastAsia="en-GB"/>
        </w:rPr>
        <w:t xml:space="preserve"> 124(2):111-4. </w:t>
      </w:r>
      <w:r w:rsidRPr="005D2AEB">
        <w:rPr>
          <w:lang w:eastAsia="en-GB"/>
        </w:rPr>
        <w:t>PubMed PMID: 20887966.</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 xml:space="preserve">C3 (ii): Pisters R, Lane DA, Nieuwlaat R, de Vos CB, Crijns </w:t>
      </w:r>
      <w:r>
        <w:rPr>
          <w:lang w:eastAsia="en-GB"/>
        </w:rPr>
        <w:t xml:space="preserve">HJ, Lip GY. A novel </w:t>
      </w:r>
      <w:r w:rsidRPr="005D2AEB">
        <w:rPr>
          <w:lang w:eastAsia="en-GB"/>
        </w:rPr>
        <w:t>user-friendly score (HAS-BLED) to assess 1-year risk of major bleeding in patients with atrial fibrillation: the Eu</w:t>
      </w:r>
      <w:r>
        <w:rPr>
          <w:lang w:eastAsia="en-GB"/>
        </w:rPr>
        <w:t>ro Heart Survey. Chest 2010</w:t>
      </w:r>
      <w:r w:rsidRPr="005D2AEB">
        <w:rPr>
          <w:lang w:eastAsia="en-GB"/>
        </w:rPr>
        <w:t>;</w:t>
      </w:r>
      <w:r>
        <w:rPr>
          <w:lang w:eastAsia="en-GB"/>
        </w:rPr>
        <w:t xml:space="preserve"> </w:t>
      </w:r>
      <w:r w:rsidRPr="005D2AEB">
        <w:rPr>
          <w:lang w:eastAsia="en-GB"/>
        </w:rPr>
        <w:t>138(5):1093-100. PubMed PMID: 20299623.</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5D2AEB" w:rsidRDefault="00851DC2" w:rsidP="00851DC2">
      <w:pPr>
        <w:spacing w:after="0" w:line="240" w:lineRule="auto"/>
        <w:rPr>
          <w:b/>
          <w:bCs/>
          <w:color w:val="333333"/>
          <w:lang w:eastAsia="en-IE"/>
        </w:rPr>
      </w:pPr>
      <w:r w:rsidRPr="005D2AEB">
        <w:rPr>
          <w:b/>
          <w:bCs/>
          <w:color w:val="333333"/>
          <w:lang w:eastAsia="en-IE"/>
        </w:rPr>
        <w:t xml:space="preserve">C4. Aspirin plus clopidogrel as secondary stroke prevention, unless the patient has a coronary stent(s) inserted in the previous 12 months or concurrent acute coronary syndrome or has a high </w:t>
      </w:r>
      <w:r w:rsidRPr="005D2AEB">
        <w:rPr>
          <w:b/>
          <w:bCs/>
          <w:color w:val="333333"/>
          <w:lang w:eastAsia="en-IE"/>
        </w:rPr>
        <w:lastRenderedPageBreak/>
        <w:t>grade symptomatic carotid arterial stenosis (no evidence of added benefit over clopidogrel monotherapy)</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C4 (i): Diener HC, Bogousslavsky J, Brass LM, Cimminiel</w:t>
      </w:r>
      <w:r>
        <w:rPr>
          <w:lang w:eastAsia="en-GB"/>
        </w:rPr>
        <w:t xml:space="preserve">lo C, Csiba L, Kaste M, Leys D, </w:t>
      </w:r>
      <w:r w:rsidRPr="005D2AEB">
        <w:rPr>
          <w:lang w:eastAsia="en-GB"/>
        </w:rPr>
        <w:t>Matias-Guiu J, Rupprecht HJ; MATCH investi</w:t>
      </w:r>
      <w:r>
        <w:rPr>
          <w:lang w:eastAsia="en-GB"/>
        </w:rPr>
        <w:t xml:space="preserve">gators. Aspirin and clopidogrel </w:t>
      </w:r>
      <w:r w:rsidRPr="005D2AEB">
        <w:rPr>
          <w:lang w:eastAsia="en-GB"/>
        </w:rPr>
        <w:t>compared with clopidogrel alone after recen</w:t>
      </w:r>
      <w:r>
        <w:rPr>
          <w:lang w:eastAsia="en-GB"/>
        </w:rPr>
        <w:t xml:space="preserve">t ischaemic stroke or transient </w:t>
      </w:r>
      <w:r w:rsidRPr="005D2AEB">
        <w:rPr>
          <w:lang w:eastAsia="en-GB"/>
        </w:rPr>
        <w:t>ischaemic attack in high-risk patients (MA</w:t>
      </w:r>
      <w:r>
        <w:rPr>
          <w:lang w:eastAsia="en-GB"/>
        </w:rPr>
        <w:t xml:space="preserve">TCH): randomised, double-blind, </w:t>
      </w:r>
      <w:r w:rsidRPr="005D2AEB">
        <w:rPr>
          <w:lang w:eastAsia="en-GB"/>
        </w:rPr>
        <w:t>placebo-controll</w:t>
      </w:r>
      <w:r>
        <w:rPr>
          <w:lang w:eastAsia="en-GB"/>
        </w:rPr>
        <w:t>ed trial. Lancet 2004</w:t>
      </w:r>
      <w:r w:rsidRPr="005D2AEB">
        <w:rPr>
          <w:lang w:eastAsia="en-GB"/>
        </w:rPr>
        <w:t>;</w:t>
      </w:r>
      <w:r>
        <w:rPr>
          <w:lang w:eastAsia="en-GB"/>
        </w:rPr>
        <w:t xml:space="preserve"> </w:t>
      </w:r>
      <w:r w:rsidRPr="005D2AEB">
        <w:rPr>
          <w:lang w:eastAsia="en-GB"/>
        </w:rPr>
        <w:t>364(9431):331-7. PubMed PMID:</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15276392.</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C4 (ii): Bhatt DL, Fox KA, Hacke W, Berger PB, Black HR, Boden WE, Cacoub P, Cohen EA, Creager MA, Easton JD, Flather MD, Haffner SM, Hamm CW, Hankey G</w:t>
      </w:r>
      <w:r>
        <w:rPr>
          <w:lang w:eastAsia="en-GB"/>
        </w:rPr>
        <w:t xml:space="preserve">J, Johnston SC, Mak KH, Mas JL, </w:t>
      </w:r>
      <w:r w:rsidRPr="005D2AEB">
        <w:rPr>
          <w:lang w:eastAsia="en-GB"/>
        </w:rPr>
        <w:t>Montalescot G, Pearson TA, S</w:t>
      </w:r>
      <w:r>
        <w:rPr>
          <w:lang w:eastAsia="en-GB"/>
        </w:rPr>
        <w:t xml:space="preserve">teg PG, Steinhubl SR, Weber MA, </w:t>
      </w:r>
      <w:r w:rsidRPr="005D2AEB">
        <w:rPr>
          <w:lang w:eastAsia="en-GB"/>
        </w:rPr>
        <w:t>Brennan DM, Fabry-Ribaudo L, Booth J, To</w:t>
      </w:r>
      <w:r>
        <w:rPr>
          <w:lang w:eastAsia="en-GB"/>
        </w:rPr>
        <w:t xml:space="preserve">pol EJ; CHARISMA Investigators. </w:t>
      </w:r>
      <w:proofErr w:type="gramStart"/>
      <w:r w:rsidRPr="005D2AEB">
        <w:rPr>
          <w:lang w:eastAsia="en-GB"/>
        </w:rPr>
        <w:t>Clopidogrel and aspirin versus aspirin alone for the preventi</w:t>
      </w:r>
      <w:r>
        <w:rPr>
          <w:lang w:eastAsia="en-GB"/>
        </w:rPr>
        <w:t>on of atherothrombotic events.</w:t>
      </w:r>
      <w:proofErr w:type="gramEnd"/>
      <w:r>
        <w:rPr>
          <w:lang w:eastAsia="en-GB"/>
        </w:rPr>
        <w:t xml:space="preserve"> </w:t>
      </w:r>
      <w:r w:rsidRPr="005D2AEB">
        <w:rPr>
          <w:lang w:eastAsia="en-GB"/>
        </w:rPr>
        <w:t>N E</w:t>
      </w:r>
      <w:r>
        <w:rPr>
          <w:lang w:eastAsia="en-GB"/>
        </w:rPr>
        <w:t>ngl J Med. 2006</w:t>
      </w:r>
      <w:r w:rsidRPr="005D2AEB">
        <w:rPr>
          <w:lang w:eastAsia="en-GB"/>
        </w:rPr>
        <w:t>;</w:t>
      </w:r>
      <w:r>
        <w:rPr>
          <w:lang w:eastAsia="en-GB"/>
        </w:rPr>
        <w:t xml:space="preserve"> </w:t>
      </w:r>
      <w:r w:rsidRPr="005D2AEB">
        <w:rPr>
          <w:lang w:eastAsia="en-GB"/>
        </w:rPr>
        <w:t>354(16):1706-17</w:t>
      </w:r>
      <w:r>
        <w:rPr>
          <w:lang w:eastAsia="en-GB"/>
        </w:rPr>
        <w:t xml:space="preserve">. </w:t>
      </w:r>
      <w:r w:rsidRPr="005D2AEB">
        <w:rPr>
          <w:lang w:eastAsia="en-GB"/>
        </w:rPr>
        <w:t>PubMed PMID: 16531616.</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C4 (iii): Usman MH, Notaro LA, Nagarakanti R, Brahin E, D</w:t>
      </w:r>
      <w:r>
        <w:rPr>
          <w:lang w:eastAsia="en-GB"/>
        </w:rPr>
        <w:t xml:space="preserve">essain S, Gracely E, Ezekowitz </w:t>
      </w:r>
      <w:r w:rsidRPr="005D2AEB">
        <w:rPr>
          <w:lang w:eastAsia="en-GB"/>
        </w:rPr>
        <w:t>MD. Combination antiplatelet therapy for second</w:t>
      </w:r>
      <w:r>
        <w:rPr>
          <w:lang w:eastAsia="en-GB"/>
        </w:rPr>
        <w:t xml:space="preserve">ary stroke prevention: enhanced </w:t>
      </w:r>
      <w:r w:rsidRPr="005D2AEB">
        <w:rPr>
          <w:lang w:eastAsia="en-GB"/>
        </w:rPr>
        <w:t>efficacy or doub</w:t>
      </w:r>
      <w:r>
        <w:rPr>
          <w:lang w:eastAsia="en-GB"/>
        </w:rPr>
        <w:t>le trouble? Am J Cardiol 2009</w:t>
      </w:r>
      <w:proofErr w:type="gramStart"/>
      <w:r>
        <w:rPr>
          <w:lang w:eastAsia="en-GB"/>
        </w:rPr>
        <w:t>;103</w:t>
      </w:r>
      <w:proofErr w:type="gramEnd"/>
      <w:r>
        <w:rPr>
          <w:lang w:eastAsia="en-GB"/>
        </w:rPr>
        <w:t xml:space="preserve">(8):1107-12. </w:t>
      </w:r>
      <w:proofErr w:type="gramStart"/>
      <w:r w:rsidRPr="005D2AEB">
        <w:rPr>
          <w:lang w:eastAsia="en-GB"/>
        </w:rPr>
        <w:t>Review.</w:t>
      </w:r>
      <w:proofErr w:type="gramEnd"/>
      <w:r w:rsidRPr="005D2AEB">
        <w:rPr>
          <w:lang w:eastAsia="en-GB"/>
        </w:rPr>
        <w:t xml:space="preserve"> PubMed PMID: 19361598.</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C4 (</w:t>
      </w:r>
      <w:proofErr w:type="gramStart"/>
      <w:r w:rsidRPr="005D2AEB">
        <w:rPr>
          <w:lang w:eastAsia="en-GB"/>
        </w:rPr>
        <w:t>iv</w:t>
      </w:r>
      <w:proofErr w:type="gramEnd"/>
      <w:r w:rsidRPr="005D2AEB">
        <w:rPr>
          <w:lang w:eastAsia="en-GB"/>
        </w:rPr>
        <w:t>): Squizzato A, Keller T, Romualdi E, Middeld</w:t>
      </w:r>
      <w:r>
        <w:rPr>
          <w:lang w:eastAsia="en-GB"/>
        </w:rPr>
        <w:t xml:space="preserve">orp S. Clopidogrel plus aspirin </w:t>
      </w:r>
      <w:r w:rsidRPr="005D2AEB">
        <w:rPr>
          <w:lang w:eastAsia="en-GB"/>
        </w:rPr>
        <w:t>versus aspirin alone for preventing cardiovasc</w:t>
      </w:r>
      <w:r>
        <w:rPr>
          <w:lang w:eastAsia="en-GB"/>
        </w:rPr>
        <w:t xml:space="preserve">ular disease. Cochrane Database Syst Rev </w:t>
      </w:r>
      <w:proofErr w:type="gramStart"/>
      <w:r>
        <w:rPr>
          <w:lang w:eastAsia="en-GB"/>
        </w:rPr>
        <w:t>2011</w:t>
      </w:r>
      <w:r w:rsidRPr="005D2AEB">
        <w:rPr>
          <w:lang w:eastAsia="en-GB"/>
        </w:rPr>
        <w:t>;</w:t>
      </w:r>
      <w:proofErr w:type="gramEnd"/>
      <w:r w:rsidRPr="005D2AEB">
        <w:rPr>
          <w:lang w:eastAsia="en-GB"/>
        </w:rPr>
        <w:t xml:space="preserve">(1):CD005158. </w:t>
      </w:r>
      <w:proofErr w:type="gramStart"/>
      <w:r w:rsidRPr="005D2AEB">
        <w:rPr>
          <w:lang w:eastAsia="en-GB"/>
        </w:rPr>
        <w:t>Review.</w:t>
      </w:r>
      <w:proofErr w:type="gramEnd"/>
      <w:r w:rsidRPr="005D2AEB">
        <w:rPr>
          <w:lang w:eastAsia="en-GB"/>
        </w:rPr>
        <w:t xml:space="preserve"> PubMed PMID: 21249668.</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C4 (v): Fares RR, Lansing LS, Gallati CA, Mous</w:t>
      </w:r>
      <w:r>
        <w:rPr>
          <w:lang w:eastAsia="en-GB"/>
        </w:rPr>
        <w:t xml:space="preserve">a SA. Antiplatelet therapy with </w:t>
      </w:r>
      <w:r w:rsidRPr="005D2AEB">
        <w:rPr>
          <w:lang w:eastAsia="en-GB"/>
        </w:rPr>
        <w:t>clopidogrel and aspirin in vascular diseases: cl</w:t>
      </w:r>
      <w:r>
        <w:rPr>
          <w:lang w:eastAsia="en-GB"/>
        </w:rPr>
        <w:t xml:space="preserve">inical evidence for and against </w:t>
      </w:r>
      <w:r w:rsidRPr="005D2AEB">
        <w:rPr>
          <w:lang w:eastAsia="en-GB"/>
        </w:rPr>
        <w:t>the combination.</w:t>
      </w:r>
      <w:r>
        <w:rPr>
          <w:lang w:eastAsia="en-GB"/>
        </w:rPr>
        <w:t xml:space="preserve"> Expert Opin Pharmacother 2008; 9(3): 377-86. </w:t>
      </w:r>
      <w:proofErr w:type="gramStart"/>
      <w:r>
        <w:rPr>
          <w:lang w:eastAsia="en-GB"/>
        </w:rPr>
        <w:t>Review.</w:t>
      </w:r>
      <w:proofErr w:type="gramEnd"/>
      <w:r>
        <w:rPr>
          <w:lang w:eastAsia="en-GB"/>
        </w:rPr>
        <w:t xml:space="preserve"> PubMed </w:t>
      </w:r>
      <w:r w:rsidRPr="005D2AEB">
        <w:rPr>
          <w:lang w:eastAsia="en-GB"/>
        </w:rPr>
        <w:t>PMID: 18220489.</w:t>
      </w:r>
    </w:p>
    <w:p w:rsidR="00851DC2" w:rsidRPr="005D2AEB" w:rsidRDefault="00851DC2" w:rsidP="00851DC2">
      <w:pPr>
        <w:spacing w:after="0" w:line="240" w:lineRule="auto"/>
        <w:rPr>
          <w:b/>
          <w:bCs/>
          <w:color w:val="333333"/>
          <w:lang w:eastAsia="en-IE"/>
        </w:rPr>
      </w:pPr>
    </w:p>
    <w:p w:rsidR="00851DC2" w:rsidRDefault="00851DC2" w:rsidP="00851DC2">
      <w:pPr>
        <w:spacing w:after="0" w:line="240" w:lineRule="auto"/>
        <w:rPr>
          <w:b/>
          <w:bCs/>
          <w:color w:val="333333"/>
          <w:lang w:eastAsia="en-IE"/>
        </w:rPr>
      </w:pPr>
    </w:p>
    <w:p w:rsidR="00851DC2" w:rsidRPr="005D2AEB" w:rsidRDefault="00851DC2" w:rsidP="00851DC2">
      <w:pPr>
        <w:spacing w:after="0" w:line="240" w:lineRule="auto"/>
        <w:rPr>
          <w:b/>
          <w:bCs/>
          <w:color w:val="333333"/>
          <w:lang w:eastAsia="en-IE"/>
        </w:rPr>
      </w:pPr>
      <w:r w:rsidRPr="005D2AEB">
        <w:rPr>
          <w:b/>
          <w:bCs/>
          <w:color w:val="333333"/>
          <w:lang w:eastAsia="en-IE"/>
        </w:rPr>
        <w:t xml:space="preserve">C5. Aspirin in combination with vitamin K antagonist, direct thrombin inhibitor or factor Xa inhibitors in patients with chronic atrial fibrillation </w:t>
      </w:r>
      <w:r>
        <w:rPr>
          <w:b/>
          <w:bCs/>
          <w:color w:val="333333"/>
          <w:lang w:eastAsia="en-IE"/>
        </w:rPr>
        <w:t xml:space="preserve">without a clear indication for aspirin </w:t>
      </w:r>
      <w:r w:rsidRPr="005D2AEB">
        <w:rPr>
          <w:b/>
          <w:bCs/>
          <w:color w:val="333333"/>
          <w:lang w:eastAsia="en-IE"/>
        </w:rPr>
        <w:t>(no added benefit from aspirin)</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 xml:space="preserve">C5 (i): Flaker GC, Gruber M, Connolly SJ, Goldman S, </w:t>
      </w:r>
      <w:r>
        <w:rPr>
          <w:lang w:eastAsia="en-GB"/>
        </w:rPr>
        <w:t xml:space="preserve">Chaparro S, Vahanian A, Halinen </w:t>
      </w:r>
      <w:r w:rsidRPr="005D2AEB">
        <w:rPr>
          <w:lang w:eastAsia="en-GB"/>
        </w:rPr>
        <w:t xml:space="preserve">MO, Horrow J, Halperin JL; SPORTIF Investigators. </w:t>
      </w:r>
      <w:r>
        <w:rPr>
          <w:lang w:eastAsia="en-GB"/>
        </w:rPr>
        <w:t xml:space="preserve">Risks and benefits of combining </w:t>
      </w:r>
      <w:r w:rsidRPr="005D2AEB">
        <w:rPr>
          <w:lang w:eastAsia="en-GB"/>
        </w:rPr>
        <w:t>aspirin with anticoagulant therapy in patien</w:t>
      </w:r>
      <w:r>
        <w:rPr>
          <w:lang w:eastAsia="en-GB"/>
        </w:rPr>
        <w:t xml:space="preserve">ts with atrial fibrillation: an </w:t>
      </w:r>
      <w:r w:rsidRPr="005D2AEB">
        <w:rPr>
          <w:lang w:eastAsia="en-GB"/>
        </w:rPr>
        <w:t>exploratory analysis of stroke prevention using an oral thrombin inhibitor in</w:t>
      </w:r>
      <w:r>
        <w:rPr>
          <w:lang w:eastAsia="en-GB"/>
        </w:rPr>
        <w:t xml:space="preserve"> </w:t>
      </w:r>
      <w:r w:rsidRPr="005D2AEB">
        <w:rPr>
          <w:lang w:eastAsia="en-GB"/>
        </w:rPr>
        <w:t>atrial fibrillation (SPORT</w:t>
      </w:r>
      <w:r>
        <w:rPr>
          <w:lang w:eastAsia="en-GB"/>
        </w:rPr>
        <w:t>IF) trials. Am Heart J 2006</w:t>
      </w:r>
      <w:r w:rsidRPr="005D2AEB">
        <w:rPr>
          <w:lang w:eastAsia="en-GB"/>
        </w:rPr>
        <w:t>;</w:t>
      </w:r>
      <w:r>
        <w:rPr>
          <w:lang w:eastAsia="en-GB"/>
        </w:rPr>
        <w:t xml:space="preserve"> 152(5):967-73. PubMed </w:t>
      </w:r>
      <w:r w:rsidRPr="005D2AEB">
        <w:rPr>
          <w:lang w:eastAsia="en-GB"/>
        </w:rPr>
        <w:t>PMID: 17070169.</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C5 (ii): Larson RJ, Fisher ES. Should aspirin be c</w:t>
      </w:r>
      <w:r>
        <w:rPr>
          <w:lang w:eastAsia="en-GB"/>
        </w:rPr>
        <w:t xml:space="preserve">ontinued in patients started on </w:t>
      </w:r>
      <w:r w:rsidRPr="005D2AEB">
        <w:rPr>
          <w:lang w:eastAsia="en-GB"/>
        </w:rPr>
        <w:t>warf</w:t>
      </w:r>
      <w:r>
        <w:rPr>
          <w:lang w:eastAsia="en-GB"/>
        </w:rPr>
        <w:t>arin? J Gen Intern Med 2004</w:t>
      </w:r>
      <w:r w:rsidRPr="005D2AEB">
        <w:rPr>
          <w:lang w:eastAsia="en-GB"/>
        </w:rPr>
        <w:t>;</w:t>
      </w:r>
      <w:r>
        <w:rPr>
          <w:lang w:eastAsia="en-GB"/>
        </w:rPr>
        <w:t xml:space="preserve"> </w:t>
      </w:r>
      <w:r w:rsidRPr="005D2AEB">
        <w:rPr>
          <w:lang w:eastAsia="en-GB"/>
        </w:rPr>
        <w:t>19(8):879-86.</w:t>
      </w:r>
      <w:r>
        <w:rPr>
          <w:lang w:eastAsia="en-GB"/>
        </w:rPr>
        <w:t xml:space="preserve"> </w:t>
      </w:r>
      <w:proofErr w:type="gramStart"/>
      <w:r>
        <w:rPr>
          <w:lang w:eastAsia="en-GB"/>
        </w:rPr>
        <w:t>Review.</w:t>
      </w:r>
      <w:proofErr w:type="gramEnd"/>
      <w:r>
        <w:rPr>
          <w:lang w:eastAsia="en-GB"/>
        </w:rPr>
        <w:t xml:space="preserve"> PubMed Central PMCID: </w:t>
      </w:r>
      <w:r w:rsidRPr="005D2AEB">
        <w:rPr>
          <w:lang w:eastAsia="en-GB"/>
        </w:rPr>
        <w:t>PMC1492499.</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333333"/>
          <w:lang w:eastAsia="en-IE"/>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5D2AEB">
        <w:rPr>
          <w:b/>
          <w:bCs/>
          <w:color w:val="333333"/>
          <w:lang w:eastAsia="en-IE"/>
        </w:rPr>
        <w:t>C6. Antiplatelet agents with vitamin K antagonist, direct thrombin inhibitor or factor Xa inhibitors in patients with stable coronary, cerebrovascular o</w:t>
      </w:r>
      <w:r>
        <w:rPr>
          <w:b/>
          <w:bCs/>
          <w:color w:val="333333"/>
          <w:lang w:eastAsia="en-IE"/>
        </w:rPr>
        <w:t xml:space="preserve">r peripheral arterial disease without a clear indication for anticoagulant </w:t>
      </w:r>
      <w:proofErr w:type="gramStart"/>
      <w:r>
        <w:rPr>
          <w:b/>
          <w:bCs/>
          <w:color w:val="333333"/>
          <w:lang w:eastAsia="en-IE"/>
        </w:rPr>
        <w:t>therapy  (</w:t>
      </w:r>
      <w:proofErr w:type="gramEnd"/>
      <w:r>
        <w:rPr>
          <w:b/>
          <w:bCs/>
          <w:color w:val="333333"/>
          <w:lang w:eastAsia="en-IE"/>
        </w:rPr>
        <w:t>n</w:t>
      </w:r>
      <w:r w:rsidRPr="005D2AEB">
        <w:rPr>
          <w:b/>
          <w:bCs/>
          <w:color w:val="333333"/>
          <w:lang w:eastAsia="en-IE"/>
        </w:rPr>
        <w:t>o added benefit from dual therapy).</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C6 (i): Holmes DR Jr, Kereiakes DJ, Kleiman NS, Mo</w:t>
      </w:r>
      <w:r>
        <w:rPr>
          <w:lang w:eastAsia="en-GB"/>
        </w:rPr>
        <w:t xml:space="preserve">literno DJ, Patti G, Grines CL. </w:t>
      </w:r>
      <w:r w:rsidRPr="005D2AEB">
        <w:rPr>
          <w:lang w:eastAsia="en-GB"/>
        </w:rPr>
        <w:t>Combining antiplatelet and anticoagulant therapi</w:t>
      </w:r>
      <w:r>
        <w:rPr>
          <w:lang w:eastAsia="en-GB"/>
        </w:rPr>
        <w:t>es. J Am Coll Cardiol 2009</w:t>
      </w:r>
      <w:r w:rsidRPr="005D2AEB">
        <w:rPr>
          <w:lang w:eastAsia="en-GB"/>
        </w:rPr>
        <w:t>;</w:t>
      </w:r>
      <w:r>
        <w:rPr>
          <w:lang w:eastAsia="en-GB"/>
        </w:rPr>
        <w:t xml:space="preserve"> </w:t>
      </w:r>
      <w:r w:rsidRPr="005D2AEB">
        <w:rPr>
          <w:lang w:eastAsia="en-GB"/>
        </w:rPr>
        <w:t xml:space="preserve">54(2):95-109. </w:t>
      </w:r>
      <w:proofErr w:type="gramStart"/>
      <w:r w:rsidRPr="005D2AEB">
        <w:rPr>
          <w:lang w:eastAsia="en-GB"/>
        </w:rPr>
        <w:t>Review.</w:t>
      </w:r>
      <w:proofErr w:type="gramEnd"/>
      <w:r w:rsidRPr="005D2AEB">
        <w:rPr>
          <w:lang w:eastAsia="en-GB"/>
        </w:rPr>
        <w:t xml:space="preserve"> PubMed PMID: 19573725.</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lastRenderedPageBreak/>
        <w:t>C6 (ii): Rubboli A, Halperin JL, Airaksinen KE, Bue</w:t>
      </w:r>
      <w:r>
        <w:rPr>
          <w:lang w:eastAsia="en-GB"/>
        </w:rPr>
        <w:t xml:space="preserve">rke M, Eeckhout E, Freedman SB, </w:t>
      </w:r>
      <w:r w:rsidRPr="005D2AEB">
        <w:rPr>
          <w:lang w:eastAsia="en-GB"/>
        </w:rPr>
        <w:t>Gershlick AH, Schlitt A, Tse HF, Verheugt FW, Li</w:t>
      </w:r>
      <w:r>
        <w:rPr>
          <w:lang w:eastAsia="en-GB"/>
        </w:rPr>
        <w:t xml:space="preserve">p GY. Antithrombotic therapy in </w:t>
      </w:r>
      <w:r w:rsidRPr="005D2AEB">
        <w:rPr>
          <w:lang w:eastAsia="en-GB"/>
        </w:rPr>
        <w:t>patients treated with oral anticoagulation under</w:t>
      </w:r>
      <w:r>
        <w:rPr>
          <w:lang w:eastAsia="en-GB"/>
        </w:rPr>
        <w:t xml:space="preserve">going coronary artery stenting. </w:t>
      </w:r>
      <w:proofErr w:type="gramStart"/>
      <w:r w:rsidRPr="005D2AEB">
        <w:rPr>
          <w:lang w:eastAsia="en-GB"/>
        </w:rPr>
        <w:t>An expert consensus document with focus o</w:t>
      </w:r>
      <w:r>
        <w:rPr>
          <w:lang w:eastAsia="en-GB"/>
        </w:rPr>
        <w:t>n atrial fibrillation.</w:t>
      </w:r>
      <w:proofErr w:type="gramEnd"/>
      <w:r>
        <w:rPr>
          <w:lang w:eastAsia="en-GB"/>
        </w:rPr>
        <w:t xml:space="preserve"> Ann Med </w:t>
      </w:r>
      <w:r w:rsidRPr="005D2AEB">
        <w:rPr>
          <w:lang w:eastAsia="en-GB"/>
        </w:rPr>
        <w:t>2008;</w:t>
      </w:r>
      <w:r>
        <w:rPr>
          <w:lang w:eastAsia="en-GB"/>
        </w:rPr>
        <w:t xml:space="preserve"> </w:t>
      </w:r>
      <w:r w:rsidRPr="005D2AEB">
        <w:rPr>
          <w:lang w:eastAsia="en-GB"/>
        </w:rPr>
        <w:t xml:space="preserve">40(6):428-36. </w:t>
      </w:r>
      <w:proofErr w:type="gramStart"/>
      <w:r w:rsidRPr="005D2AEB">
        <w:rPr>
          <w:lang w:eastAsia="en-GB"/>
        </w:rPr>
        <w:t>Review.</w:t>
      </w:r>
      <w:proofErr w:type="gramEnd"/>
      <w:r w:rsidRPr="005D2AEB">
        <w:rPr>
          <w:lang w:eastAsia="en-GB"/>
        </w:rPr>
        <w:t xml:space="preserve"> PubMed PMID: 18608125.</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5D2AEB" w:rsidRDefault="00851DC2" w:rsidP="00851DC2">
      <w:pPr>
        <w:spacing w:after="0" w:line="240" w:lineRule="auto"/>
        <w:rPr>
          <w:b/>
          <w:bCs/>
          <w:color w:val="333333"/>
          <w:lang w:eastAsia="en-IE"/>
        </w:rPr>
      </w:pPr>
      <w:r w:rsidRPr="005D2AEB">
        <w:rPr>
          <w:b/>
          <w:bCs/>
          <w:color w:val="333333"/>
          <w:lang w:eastAsia="en-IE"/>
        </w:rPr>
        <w:t xml:space="preserve">C7. </w:t>
      </w:r>
      <w:proofErr w:type="gramStart"/>
      <w:r w:rsidRPr="005D2AEB">
        <w:rPr>
          <w:b/>
          <w:bCs/>
          <w:color w:val="333333"/>
          <w:lang w:eastAsia="en-IE"/>
        </w:rPr>
        <w:t>Ticlopidine in any circumstances (clopidogrel and prasugrel have similar efficacy, stronger evidence and fewer side-effects).</w:t>
      </w:r>
      <w:proofErr w:type="gramEnd"/>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 xml:space="preserve">C7 (i): Furie KL, Kasner SE, Adams RJ, Albers GW, </w:t>
      </w:r>
      <w:r>
        <w:rPr>
          <w:lang w:eastAsia="en-GB"/>
        </w:rPr>
        <w:t xml:space="preserve">Bush RL, Fagan SC, Halperin JL, </w:t>
      </w:r>
      <w:r w:rsidRPr="005D2AEB">
        <w:rPr>
          <w:lang w:eastAsia="en-GB"/>
        </w:rPr>
        <w:t>Johnston SC, Katzan I, Kernan WN, Mitchell PH, Ovb</w:t>
      </w:r>
      <w:r>
        <w:rPr>
          <w:lang w:eastAsia="en-GB"/>
        </w:rPr>
        <w:t xml:space="preserve">iagele B, Palesch YY, Sacco RL, </w:t>
      </w:r>
      <w:r w:rsidRPr="005D2AEB">
        <w:rPr>
          <w:lang w:eastAsia="en-GB"/>
        </w:rPr>
        <w:t xml:space="preserve">Schwamm LH, Wassertheil-Smoller S, Turan </w:t>
      </w:r>
      <w:r>
        <w:rPr>
          <w:lang w:eastAsia="en-GB"/>
        </w:rPr>
        <w:t xml:space="preserve">TN, Wentworth D; American Heart </w:t>
      </w:r>
      <w:r w:rsidRPr="005D2AEB">
        <w:rPr>
          <w:lang w:eastAsia="en-GB"/>
        </w:rPr>
        <w:t>Association Stroke Council, Council on Cardiovascular Nursing, Council on Clinical Cardiology, and Interdisciplinary Council on Quality of Care and Outcomes Research. Guidelines for the prevention of stroke in patients with stroke or transient ischemic attack: a guideline for hea</w:t>
      </w:r>
      <w:r>
        <w:rPr>
          <w:lang w:eastAsia="en-GB"/>
        </w:rPr>
        <w:t>lthcare professionals from the American heart association/A</w:t>
      </w:r>
      <w:r w:rsidRPr="005D2AEB">
        <w:rPr>
          <w:lang w:eastAsia="en-GB"/>
        </w:rPr>
        <w:t>mer</w:t>
      </w:r>
      <w:r>
        <w:rPr>
          <w:lang w:eastAsia="en-GB"/>
        </w:rPr>
        <w:t>ican stroke association. Stroke 2011</w:t>
      </w:r>
      <w:r w:rsidRPr="005D2AEB">
        <w:rPr>
          <w:lang w:eastAsia="en-GB"/>
        </w:rPr>
        <w:t>;</w:t>
      </w:r>
      <w:r>
        <w:rPr>
          <w:lang w:eastAsia="en-GB"/>
        </w:rPr>
        <w:t xml:space="preserve"> </w:t>
      </w:r>
      <w:r w:rsidRPr="005D2AEB">
        <w:rPr>
          <w:lang w:eastAsia="en-GB"/>
        </w:rPr>
        <w:t>42(1):227-76. PubMed PMID: 20966421.</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C7 (ii): Porto I, Giubilato S, De Maria GL, Bias</w:t>
      </w:r>
      <w:r>
        <w:rPr>
          <w:lang w:eastAsia="en-GB"/>
        </w:rPr>
        <w:t xml:space="preserve">ucci LM, Crea F. Platelet P2Y12 </w:t>
      </w:r>
      <w:r w:rsidRPr="005D2AEB">
        <w:rPr>
          <w:lang w:eastAsia="en-GB"/>
        </w:rPr>
        <w:t>receptor inhibition by thienopyridines: status a</w:t>
      </w:r>
      <w:r>
        <w:rPr>
          <w:lang w:eastAsia="en-GB"/>
        </w:rPr>
        <w:t>nd future. Expert Opin Investig Drugs 2009</w:t>
      </w:r>
      <w:r w:rsidRPr="005D2AEB">
        <w:rPr>
          <w:lang w:eastAsia="en-GB"/>
        </w:rPr>
        <w:t>;</w:t>
      </w:r>
      <w:r>
        <w:rPr>
          <w:lang w:eastAsia="en-GB"/>
        </w:rPr>
        <w:t xml:space="preserve"> </w:t>
      </w:r>
      <w:r w:rsidRPr="005D2AEB">
        <w:rPr>
          <w:lang w:eastAsia="en-GB"/>
        </w:rPr>
        <w:t xml:space="preserve">18(9):1317-32. </w:t>
      </w:r>
      <w:proofErr w:type="gramStart"/>
      <w:r w:rsidRPr="005D2AEB">
        <w:rPr>
          <w:lang w:eastAsia="en-GB"/>
        </w:rPr>
        <w:t>Review.</w:t>
      </w:r>
      <w:proofErr w:type="gramEnd"/>
      <w:r w:rsidRPr="005D2AEB">
        <w:rPr>
          <w:lang w:eastAsia="en-GB"/>
        </w:rPr>
        <w:t xml:space="preserve"> PubMed PMID: 19678800.</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5D2AEB" w:rsidRDefault="00851DC2" w:rsidP="00851DC2">
      <w:pPr>
        <w:spacing w:after="0" w:line="240" w:lineRule="auto"/>
        <w:rPr>
          <w:b/>
          <w:bCs/>
          <w:color w:val="333333"/>
          <w:lang w:eastAsia="en-IE"/>
        </w:rPr>
      </w:pPr>
      <w:r w:rsidRPr="005D2AEB">
        <w:rPr>
          <w:b/>
          <w:bCs/>
          <w:color w:val="333333"/>
          <w:lang w:eastAsia="en-IE"/>
        </w:rPr>
        <w:t>C8. Vitamin K antagonist, direct thrombin inhibitor or factor Xa inhibitors for first deep venous thrombosis without continuing provoking risk factors for &gt; 6 months, (no proven added benefit).</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C8 (i): Pinede L, Ninet J, Duhaut P, Chabaud S, Demol</w:t>
      </w:r>
      <w:r>
        <w:rPr>
          <w:lang w:eastAsia="en-GB"/>
        </w:rPr>
        <w:t xml:space="preserve">ombe-Rague S, Durieu I, Nony P, </w:t>
      </w:r>
      <w:r w:rsidRPr="005D2AEB">
        <w:rPr>
          <w:lang w:eastAsia="en-GB"/>
        </w:rPr>
        <w:t>Sanson C, Boissel JP; Investigators of th</w:t>
      </w:r>
      <w:r>
        <w:rPr>
          <w:lang w:eastAsia="en-GB"/>
        </w:rPr>
        <w:t xml:space="preserve">e "Durée Optimale du Traitement </w:t>
      </w:r>
      <w:r w:rsidRPr="005D2AEB">
        <w:rPr>
          <w:lang w:eastAsia="en-GB"/>
        </w:rPr>
        <w:t>AntiVitamines K" (DOTAVK) Study. Compa</w:t>
      </w:r>
      <w:r>
        <w:rPr>
          <w:lang w:eastAsia="en-GB"/>
        </w:rPr>
        <w:t xml:space="preserve">rison of 3 and 6 months of oral </w:t>
      </w:r>
      <w:r w:rsidRPr="005D2AEB">
        <w:rPr>
          <w:lang w:eastAsia="en-GB"/>
        </w:rPr>
        <w:t>anticoagulant therapy after a first episode of p</w:t>
      </w:r>
      <w:r>
        <w:rPr>
          <w:lang w:eastAsia="en-GB"/>
        </w:rPr>
        <w:t xml:space="preserve">roximal deep vein thrombosis or </w:t>
      </w:r>
      <w:r w:rsidRPr="005D2AEB">
        <w:rPr>
          <w:lang w:eastAsia="en-GB"/>
        </w:rPr>
        <w:t>pulmonary embolism and comparison of 6 and 12 weeks of therapy after isolated</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5D2AEB">
        <w:rPr>
          <w:lang w:eastAsia="en-GB"/>
        </w:rPr>
        <w:t>calf</w:t>
      </w:r>
      <w:proofErr w:type="gramEnd"/>
      <w:r w:rsidRPr="005D2AEB">
        <w:rPr>
          <w:lang w:eastAsia="en-GB"/>
        </w:rPr>
        <w:t xml:space="preserve"> de</w:t>
      </w:r>
      <w:r>
        <w:rPr>
          <w:lang w:eastAsia="en-GB"/>
        </w:rPr>
        <w:t xml:space="preserve">ep vein thrombosis. Circulation 2001; 103(20): 2453-60. PubMed PMID: </w:t>
      </w:r>
      <w:r w:rsidRPr="005D2AEB">
        <w:rPr>
          <w:lang w:eastAsia="en-GB"/>
        </w:rPr>
        <w:t>11369685.</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C8 (ii): Kearon C, Akl EA, Comerota AJ, Prandoni P, Boun</w:t>
      </w:r>
      <w:r>
        <w:rPr>
          <w:lang w:eastAsia="en-GB"/>
        </w:rPr>
        <w:t xml:space="preserve">ameaux H, Goldhaber SZ, Nelson </w:t>
      </w:r>
      <w:r w:rsidRPr="005D2AEB">
        <w:rPr>
          <w:lang w:eastAsia="en-GB"/>
        </w:rPr>
        <w:t>ME, Wells PS, Gould MK, Dentali F, Crowther M, Kahn SR;</w:t>
      </w:r>
      <w:r>
        <w:rPr>
          <w:lang w:eastAsia="en-GB"/>
        </w:rPr>
        <w:t xml:space="preserve"> American College of Chest </w:t>
      </w:r>
      <w:r w:rsidRPr="005D2AEB">
        <w:rPr>
          <w:lang w:eastAsia="en-GB"/>
        </w:rPr>
        <w:t>Physicians. Antithrombotic therapy for VTE dise</w:t>
      </w:r>
      <w:r>
        <w:rPr>
          <w:lang w:eastAsia="en-GB"/>
        </w:rPr>
        <w:t xml:space="preserve">ase: Antithrombotic Therapy and </w:t>
      </w:r>
      <w:r w:rsidRPr="005D2AEB">
        <w:rPr>
          <w:lang w:eastAsia="en-GB"/>
        </w:rPr>
        <w:t xml:space="preserve">Prevention of Thrombosis, 9th </w:t>
      </w:r>
      <w:proofErr w:type="gramStart"/>
      <w:r w:rsidRPr="005D2AEB">
        <w:rPr>
          <w:lang w:eastAsia="en-GB"/>
        </w:rPr>
        <w:t>ed</w:t>
      </w:r>
      <w:proofErr w:type="gramEnd"/>
      <w:r w:rsidRPr="005D2AEB">
        <w:rPr>
          <w:lang w:eastAsia="en-GB"/>
        </w:rPr>
        <w:t>: Ameri</w:t>
      </w:r>
      <w:r>
        <w:rPr>
          <w:lang w:eastAsia="en-GB"/>
        </w:rPr>
        <w:t xml:space="preserve">can College of Chest Physicians </w:t>
      </w:r>
      <w:r w:rsidRPr="005D2AEB">
        <w:rPr>
          <w:lang w:eastAsia="en-GB"/>
        </w:rPr>
        <w:t>Evidence-Based Clin</w:t>
      </w:r>
      <w:r>
        <w:rPr>
          <w:lang w:eastAsia="en-GB"/>
        </w:rPr>
        <w:t>ical Practice Guidelines. Chest 2012</w:t>
      </w:r>
      <w:r w:rsidRPr="005D2AEB">
        <w:rPr>
          <w:lang w:eastAsia="en-GB"/>
        </w:rPr>
        <w:t>;</w:t>
      </w:r>
      <w:r>
        <w:rPr>
          <w:lang w:eastAsia="en-GB"/>
        </w:rPr>
        <w:t xml:space="preserve"> </w:t>
      </w:r>
      <w:r w:rsidRPr="005D2AEB">
        <w:rPr>
          <w:lang w:eastAsia="en-GB"/>
        </w:rPr>
        <w:t>141(2</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Suppl):</w:t>
      </w:r>
      <w:r>
        <w:rPr>
          <w:lang w:eastAsia="en-GB"/>
        </w:rPr>
        <w:t xml:space="preserve"> </w:t>
      </w:r>
      <w:r w:rsidRPr="005D2AEB">
        <w:rPr>
          <w:lang w:eastAsia="en-GB"/>
        </w:rPr>
        <w:t>e419S-94S. PubMed PMID: 22315268.</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5D2AEB" w:rsidRDefault="00851DC2" w:rsidP="00851DC2">
      <w:pPr>
        <w:spacing w:after="0" w:line="240" w:lineRule="auto"/>
        <w:rPr>
          <w:b/>
          <w:bCs/>
          <w:color w:val="333333"/>
          <w:lang w:eastAsia="en-IE"/>
        </w:rPr>
      </w:pPr>
      <w:r w:rsidRPr="005D2AEB">
        <w:rPr>
          <w:b/>
          <w:bCs/>
          <w:color w:val="333333"/>
          <w:lang w:eastAsia="en-IE"/>
        </w:rPr>
        <w:t>C9. Vitamin K antagonist, direct thrombin inhibitor or factor Xa inhibitors for first pulmonary embolus without continuing provoking risk factors for &gt; 12 months (no proven added benefit).</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C9 (i): Kearon C, Akl EA, Comerota AJ, Prandoni P, Boun</w:t>
      </w:r>
      <w:r>
        <w:rPr>
          <w:lang w:eastAsia="en-GB"/>
        </w:rPr>
        <w:t xml:space="preserve">ameaux H, Goldhaber SZ, Nelson </w:t>
      </w:r>
      <w:r w:rsidRPr="005D2AEB">
        <w:rPr>
          <w:lang w:eastAsia="en-GB"/>
        </w:rPr>
        <w:t>ME, Wells PS, Gould MK, Dentali F, Crowther M, Kah</w:t>
      </w:r>
      <w:r>
        <w:rPr>
          <w:lang w:eastAsia="en-GB"/>
        </w:rPr>
        <w:t xml:space="preserve">n SR; American College of Chest </w:t>
      </w:r>
      <w:r w:rsidRPr="005D2AEB">
        <w:rPr>
          <w:lang w:eastAsia="en-GB"/>
        </w:rPr>
        <w:t>Physicians. Antithrombotic therapy for VTE dise</w:t>
      </w:r>
      <w:r>
        <w:rPr>
          <w:lang w:eastAsia="en-GB"/>
        </w:rPr>
        <w:t xml:space="preserve">ase: Antithrombotic Therapy and </w:t>
      </w:r>
      <w:r w:rsidRPr="005D2AEB">
        <w:rPr>
          <w:lang w:eastAsia="en-GB"/>
        </w:rPr>
        <w:t xml:space="preserve">Prevention of Thrombosis, 9th </w:t>
      </w:r>
      <w:proofErr w:type="gramStart"/>
      <w:r w:rsidRPr="005D2AEB">
        <w:rPr>
          <w:lang w:eastAsia="en-GB"/>
        </w:rPr>
        <w:t>ed</w:t>
      </w:r>
      <w:proofErr w:type="gramEnd"/>
      <w:r w:rsidRPr="005D2AEB">
        <w:rPr>
          <w:lang w:eastAsia="en-GB"/>
        </w:rPr>
        <w:t>: Ameri</w:t>
      </w:r>
      <w:r>
        <w:rPr>
          <w:lang w:eastAsia="en-GB"/>
        </w:rPr>
        <w:t xml:space="preserve">can College of Chest Physicians </w:t>
      </w:r>
      <w:r w:rsidRPr="005D2AEB">
        <w:rPr>
          <w:lang w:eastAsia="en-GB"/>
        </w:rPr>
        <w:t>Evidence-Based Clin</w:t>
      </w:r>
      <w:r>
        <w:rPr>
          <w:lang w:eastAsia="en-GB"/>
        </w:rPr>
        <w:t>ical Practice Guidelines. Chest 2012</w:t>
      </w:r>
      <w:r w:rsidRPr="005D2AEB">
        <w:rPr>
          <w:lang w:eastAsia="en-GB"/>
        </w:rPr>
        <w:t>;</w:t>
      </w:r>
      <w:r>
        <w:rPr>
          <w:lang w:eastAsia="en-GB"/>
        </w:rPr>
        <w:t xml:space="preserve"> </w:t>
      </w:r>
      <w:r w:rsidRPr="005D2AEB">
        <w:rPr>
          <w:lang w:eastAsia="en-GB"/>
        </w:rPr>
        <w:t>141(2</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Suppl):</w:t>
      </w:r>
      <w:r>
        <w:rPr>
          <w:lang w:eastAsia="en-GB"/>
        </w:rPr>
        <w:t xml:space="preserve"> </w:t>
      </w:r>
      <w:r w:rsidRPr="005D2AEB">
        <w:rPr>
          <w:lang w:eastAsia="en-GB"/>
        </w:rPr>
        <w:t>e419S-94S. PubMed PMID: 22315268; PubMed Central PMCID: PMC3278049.</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5D2AEB" w:rsidRDefault="00851DC2" w:rsidP="00851DC2">
      <w:pPr>
        <w:spacing w:after="0" w:line="240" w:lineRule="auto"/>
        <w:rPr>
          <w:b/>
          <w:bCs/>
          <w:color w:val="333333"/>
          <w:lang w:eastAsia="en-IE"/>
        </w:rPr>
      </w:pPr>
      <w:r>
        <w:rPr>
          <w:b/>
          <w:bCs/>
          <w:color w:val="333333"/>
          <w:lang w:eastAsia="en-IE"/>
        </w:rPr>
        <w:t>C10</w:t>
      </w:r>
      <w:r w:rsidRPr="005D2AEB">
        <w:rPr>
          <w:b/>
          <w:bCs/>
          <w:color w:val="333333"/>
          <w:lang w:eastAsia="en-IE"/>
        </w:rPr>
        <w:t>. NSAID and vitamin K antagonist, direct thrombin inhibitor or factor Xa inhibitors in combination (risk of gastrointestinal bleeding).</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0274C8">
        <w:rPr>
          <w:lang w:val="nl-BE" w:eastAsia="en-GB"/>
        </w:rPr>
        <w:lastRenderedPageBreak/>
        <w:t xml:space="preserve">C10 (i): Knijff-Dutmer EA, Van der Palen J, Schut G, Van de Laar MA. </w:t>
      </w:r>
      <w:proofErr w:type="gramStart"/>
      <w:r w:rsidRPr="005D2AEB">
        <w:rPr>
          <w:lang w:eastAsia="en-GB"/>
        </w:rPr>
        <w:t>The influence of cyclo-oxygenase specificity of non-steroidal anti-inflammatory drugs on bleeding complications in concomitant coumarine users.</w:t>
      </w:r>
      <w:proofErr w:type="gramEnd"/>
      <w:r>
        <w:rPr>
          <w:lang w:eastAsia="en-GB"/>
        </w:rPr>
        <w:t xml:space="preserve"> QJM 2003</w:t>
      </w:r>
      <w:r w:rsidRPr="005D2AEB">
        <w:rPr>
          <w:lang w:eastAsia="en-GB"/>
        </w:rPr>
        <w:t>;</w:t>
      </w:r>
      <w:r>
        <w:rPr>
          <w:lang w:eastAsia="en-GB"/>
        </w:rPr>
        <w:t xml:space="preserve"> 96(7):513-20. PubMed </w:t>
      </w:r>
      <w:r w:rsidRPr="005D2AEB">
        <w:rPr>
          <w:lang w:eastAsia="en-GB"/>
        </w:rPr>
        <w:t>PMID: 12881594.</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C1</w:t>
      </w:r>
      <w:r>
        <w:rPr>
          <w:lang w:eastAsia="en-GB"/>
        </w:rPr>
        <w:t>0</w:t>
      </w:r>
      <w:r w:rsidRPr="005D2AEB">
        <w:rPr>
          <w:lang w:eastAsia="en-GB"/>
        </w:rPr>
        <w:t xml:space="preserve"> (ii): Peng S, Duggan A. Gastrointestinal adverse effects of non-steroidal anti-inflammatory drugs. Expert Opin Drug Saf</w:t>
      </w:r>
      <w:r>
        <w:rPr>
          <w:lang w:eastAsia="en-GB"/>
        </w:rPr>
        <w:t xml:space="preserve"> 2005; 4(2):157-69. </w:t>
      </w:r>
      <w:proofErr w:type="gramStart"/>
      <w:r>
        <w:rPr>
          <w:lang w:eastAsia="en-GB"/>
        </w:rPr>
        <w:t>Review.</w:t>
      </w:r>
      <w:proofErr w:type="gramEnd"/>
      <w:r>
        <w:rPr>
          <w:lang w:eastAsia="en-GB"/>
        </w:rPr>
        <w:t xml:space="preserve"> </w:t>
      </w:r>
      <w:r w:rsidRPr="005D2AEB">
        <w:rPr>
          <w:lang w:eastAsia="en-GB"/>
        </w:rPr>
        <w:t>PubMed PMID: 15794710.</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5D2AEB" w:rsidRDefault="00851DC2" w:rsidP="00851DC2">
      <w:pPr>
        <w:spacing w:after="0" w:line="240" w:lineRule="auto"/>
        <w:rPr>
          <w:b/>
          <w:bCs/>
          <w:color w:val="333333"/>
          <w:lang w:eastAsia="en-IE"/>
        </w:rPr>
      </w:pPr>
      <w:r>
        <w:rPr>
          <w:b/>
          <w:bCs/>
          <w:color w:val="333333"/>
          <w:lang w:eastAsia="en-IE"/>
        </w:rPr>
        <w:t>C11</w:t>
      </w:r>
      <w:r w:rsidRPr="005D2AEB">
        <w:rPr>
          <w:b/>
          <w:bCs/>
          <w:color w:val="333333"/>
          <w:lang w:eastAsia="en-IE"/>
        </w:rPr>
        <w:t>. NSAID with concurrent antiplatelet agent(s) without PPI prophylaxis (increased risk of peptic ulcer disease)</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D2AEB">
        <w:rPr>
          <w:lang w:eastAsia="en-GB"/>
        </w:rPr>
        <w:t>C1</w:t>
      </w:r>
      <w:r>
        <w:rPr>
          <w:lang w:eastAsia="en-GB"/>
        </w:rPr>
        <w:t>1</w:t>
      </w:r>
      <w:r w:rsidRPr="005D2AEB">
        <w:rPr>
          <w:lang w:eastAsia="en-GB"/>
        </w:rPr>
        <w:t xml:space="preserve"> (i): Lanza FL, Chan FK, Quigley EM; Practice Parameters Committee of the American College of Gastroenterology. </w:t>
      </w:r>
      <w:proofErr w:type="gramStart"/>
      <w:r w:rsidRPr="005D2AEB">
        <w:rPr>
          <w:lang w:eastAsia="en-GB"/>
        </w:rPr>
        <w:t>Guidelines for prevention of NSAID-re</w:t>
      </w:r>
      <w:r>
        <w:rPr>
          <w:lang w:eastAsia="en-GB"/>
        </w:rPr>
        <w:t>lated ulcer complications.</w:t>
      </w:r>
      <w:proofErr w:type="gramEnd"/>
      <w:r>
        <w:rPr>
          <w:lang w:eastAsia="en-GB"/>
        </w:rPr>
        <w:t xml:space="preserve"> Am J Gastroenterol 2009</w:t>
      </w:r>
      <w:r w:rsidRPr="005D2AEB">
        <w:rPr>
          <w:lang w:eastAsia="en-GB"/>
        </w:rPr>
        <w:t>;</w:t>
      </w:r>
      <w:r>
        <w:rPr>
          <w:lang w:eastAsia="en-GB"/>
        </w:rPr>
        <w:t xml:space="preserve"> </w:t>
      </w:r>
      <w:r w:rsidRPr="005D2AEB">
        <w:rPr>
          <w:lang w:eastAsia="en-GB"/>
        </w:rPr>
        <w:t>1</w:t>
      </w:r>
      <w:r>
        <w:rPr>
          <w:lang w:eastAsia="en-GB"/>
        </w:rPr>
        <w:t xml:space="preserve">04(3):728-38. </w:t>
      </w:r>
      <w:r w:rsidRPr="005D2AEB">
        <w:rPr>
          <w:lang w:eastAsia="en-GB"/>
        </w:rPr>
        <w:t>PubMed PMID: 19240698.</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C11</w:t>
      </w:r>
      <w:r w:rsidRPr="005D2AEB">
        <w:rPr>
          <w:lang w:eastAsia="en-GB"/>
        </w:rPr>
        <w:t xml:space="preserve"> (ii): Nardulli G, Lanas A. [Risk of gastrointestinal bleeding with aspirin and platelet antiagg</w:t>
      </w:r>
      <w:r>
        <w:rPr>
          <w:lang w:eastAsia="en-GB"/>
        </w:rPr>
        <w:t>regants]. Gastroenterol Hepatol 2009</w:t>
      </w:r>
      <w:r w:rsidRPr="005D2AEB">
        <w:rPr>
          <w:lang w:eastAsia="en-GB"/>
        </w:rPr>
        <w:t>;</w:t>
      </w:r>
      <w:r>
        <w:rPr>
          <w:lang w:eastAsia="en-GB"/>
        </w:rPr>
        <w:t xml:space="preserve"> </w:t>
      </w:r>
      <w:r w:rsidRPr="005D2AEB">
        <w:rPr>
          <w:lang w:eastAsia="en-GB"/>
        </w:rPr>
        <w:t xml:space="preserve">32(1):36-43. </w:t>
      </w:r>
      <w:proofErr w:type="gramStart"/>
      <w:r w:rsidRPr="005D2AEB">
        <w:rPr>
          <w:lang w:eastAsia="en-GB"/>
        </w:rPr>
        <w:t>Review.</w:t>
      </w:r>
      <w:proofErr w:type="gramEnd"/>
      <w:r>
        <w:rPr>
          <w:lang w:eastAsia="en-GB"/>
        </w:rPr>
        <w:t xml:space="preserve"> </w:t>
      </w:r>
      <w:proofErr w:type="gramStart"/>
      <w:r w:rsidRPr="005D2AEB">
        <w:rPr>
          <w:lang w:eastAsia="en-GB"/>
        </w:rPr>
        <w:t>Spanish.</w:t>
      </w:r>
      <w:proofErr w:type="gramEnd"/>
      <w:r w:rsidRPr="005D2AEB">
        <w:rPr>
          <w:lang w:eastAsia="en-GB"/>
        </w:rPr>
        <w:t xml:space="preserve"> PubMed PMID: 19174098.</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C11</w:t>
      </w:r>
      <w:r w:rsidRPr="005D2AEB">
        <w:rPr>
          <w:lang w:eastAsia="en-GB"/>
        </w:rPr>
        <w:t xml:space="preserve"> (iii): Zullo A, Hassan C, Campo SM, Morini S. Bleeding peptic ulcer in the elderly-risk factors and prevention strategies. Drugs Agi</w:t>
      </w:r>
      <w:r>
        <w:rPr>
          <w:lang w:eastAsia="en-GB"/>
        </w:rPr>
        <w:t xml:space="preserve">ng 2007; 24(10): 815-28. </w:t>
      </w:r>
      <w:proofErr w:type="gramStart"/>
      <w:r>
        <w:rPr>
          <w:lang w:eastAsia="en-GB"/>
        </w:rPr>
        <w:t>Review.</w:t>
      </w:r>
      <w:proofErr w:type="gramEnd"/>
      <w:r>
        <w:rPr>
          <w:lang w:eastAsia="en-GB"/>
        </w:rPr>
        <w:t xml:space="preserve"> </w:t>
      </w:r>
      <w:r w:rsidRPr="005D2AEB">
        <w:rPr>
          <w:lang w:eastAsia="en-GB"/>
        </w:rPr>
        <w:t>PubMed PMID: 17896831.</w:t>
      </w:r>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u w:val="single"/>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u w:val="single"/>
          <w:lang w:eastAsia="en-GB"/>
        </w:rPr>
      </w:pPr>
    </w:p>
    <w:p w:rsidR="00851DC2" w:rsidRDefault="00851DC2" w:rsidP="00851DC2">
      <w:pPr>
        <w:spacing w:after="0" w:line="240" w:lineRule="auto"/>
        <w:rPr>
          <w:b/>
          <w:bCs/>
          <w:sz w:val="28"/>
          <w:szCs w:val="28"/>
          <w:lang w:eastAsia="en-GB"/>
        </w:rPr>
      </w:pPr>
    </w:p>
    <w:p w:rsidR="00851DC2" w:rsidRPr="004A539B" w:rsidRDefault="00851DC2" w:rsidP="00851DC2">
      <w:pPr>
        <w:spacing w:after="0" w:line="240" w:lineRule="auto"/>
        <w:rPr>
          <w:b/>
          <w:bCs/>
          <w:sz w:val="28"/>
          <w:szCs w:val="28"/>
          <w:lang w:eastAsia="en-GB"/>
        </w:rPr>
      </w:pPr>
      <w:r w:rsidRPr="004A539B">
        <w:rPr>
          <w:b/>
          <w:bCs/>
          <w:sz w:val="28"/>
          <w:szCs w:val="28"/>
          <w:lang w:eastAsia="en-GB"/>
        </w:rPr>
        <w:t>Section D: Central Nervous System</w:t>
      </w:r>
      <w:r>
        <w:rPr>
          <w:b/>
          <w:bCs/>
          <w:sz w:val="28"/>
          <w:szCs w:val="28"/>
          <w:lang w:eastAsia="en-GB"/>
        </w:rPr>
        <w:t xml:space="preserve"> criteria</w:t>
      </w:r>
    </w:p>
    <w:p w:rsidR="00851DC2" w:rsidRPr="004A539B" w:rsidRDefault="00851DC2" w:rsidP="00851DC2">
      <w:pPr>
        <w:spacing w:after="0" w:line="240" w:lineRule="auto"/>
        <w:rPr>
          <w:lang w:eastAsia="en-GB"/>
        </w:rPr>
      </w:pPr>
    </w:p>
    <w:p w:rsidR="00851DC2" w:rsidRPr="004A539B" w:rsidRDefault="00851DC2" w:rsidP="00851DC2">
      <w:pPr>
        <w:spacing w:after="0" w:line="240" w:lineRule="auto"/>
        <w:rPr>
          <w:b/>
          <w:bCs/>
          <w:color w:val="333333"/>
          <w:lang w:eastAsia="en-IE"/>
        </w:rPr>
      </w:pPr>
      <w:r w:rsidRPr="004A539B">
        <w:rPr>
          <w:b/>
          <w:bCs/>
          <w:color w:val="333333"/>
          <w:lang w:eastAsia="en-IE"/>
        </w:rPr>
        <w:t xml:space="preserve">D1. </w:t>
      </w:r>
      <w:r>
        <w:rPr>
          <w:b/>
          <w:bCs/>
          <w:color w:val="333333"/>
          <w:lang w:eastAsia="en-IE"/>
        </w:rPr>
        <w:t>Tricyclic a</w:t>
      </w:r>
      <w:r w:rsidRPr="004A539B">
        <w:rPr>
          <w:b/>
          <w:bCs/>
          <w:color w:val="333333"/>
          <w:lang w:eastAsia="en-IE"/>
        </w:rPr>
        <w:t>ntidepressants with dementia, narrow angle glaucoma, cardiac conduction abnormalities, prostatism, or prior history of urinary retention (risk of worsening these conditions).</w:t>
      </w:r>
    </w:p>
    <w:p w:rsidR="00851DC2" w:rsidRPr="004A539B" w:rsidRDefault="00851DC2" w:rsidP="00851DC2">
      <w:pPr>
        <w:spacing w:after="0" w:line="240" w:lineRule="auto"/>
        <w:rPr>
          <w:b/>
          <w:bCs/>
          <w:color w:val="333333"/>
          <w:lang w:eastAsia="en-IE"/>
        </w:rPr>
      </w:pPr>
    </w:p>
    <w:p w:rsidR="00851DC2" w:rsidRPr="004A539B" w:rsidRDefault="00851DC2" w:rsidP="00851DC2">
      <w:pPr>
        <w:spacing w:after="0" w:line="240" w:lineRule="auto"/>
        <w:rPr>
          <w:lang w:eastAsia="en-GB"/>
        </w:rPr>
      </w:pPr>
      <w:r w:rsidRPr="004A539B">
        <w:rPr>
          <w:lang w:eastAsia="en-GB"/>
        </w:rPr>
        <w:t>D1 (i): Tricyclic and related antidepressant drugs. British National Formulary, No. 61, BMJ Group &amp; Pharmaceutical Press, March 2011, p233.</w:t>
      </w:r>
    </w:p>
    <w:p w:rsidR="00851DC2" w:rsidRPr="004A539B" w:rsidRDefault="00851DC2" w:rsidP="00851DC2">
      <w:pPr>
        <w:spacing w:after="0" w:line="240" w:lineRule="auto"/>
        <w:rPr>
          <w:lang w:eastAsia="en-GB"/>
        </w:rPr>
      </w:pPr>
    </w:p>
    <w:p w:rsidR="00851DC2" w:rsidRPr="00FC179E" w:rsidRDefault="00851DC2" w:rsidP="00851DC2">
      <w:pPr>
        <w:rPr>
          <w:lang w:val="en-IE" w:eastAsia="en-GB"/>
        </w:rPr>
      </w:pPr>
      <w:r w:rsidRPr="004A539B">
        <w:rPr>
          <w:lang w:eastAsia="en-GB"/>
        </w:rPr>
        <w:t xml:space="preserve">D1 (ii): </w:t>
      </w:r>
      <w:r w:rsidRPr="00FC179E">
        <w:rPr>
          <w:lang w:val="en-IE" w:eastAsia="en-GB"/>
        </w:rPr>
        <w:t>Mintzer J, Burns A. Anticholinergic side-effects of drugs in elderly people. J</w:t>
      </w:r>
      <w:r>
        <w:rPr>
          <w:lang w:val="en-IE" w:eastAsia="en-GB"/>
        </w:rPr>
        <w:t xml:space="preserve"> R Soc Med 2000</w:t>
      </w:r>
      <w:r w:rsidRPr="00FC179E">
        <w:rPr>
          <w:lang w:val="en-IE" w:eastAsia="en-GB"/>
        </w:rPr>
        <w:t>;</w:t>
      </w:r>
      <w:r>
        <w:rPr>
          <w:lang w:val="en-IE" w:eastAsia="en-GB"/>
        </w:rPr>
        <w:t xml:space="preserve"> </w:t>
      </w:r>
      <w:r w:rsidRPr="00FC179E">
        <w:rPr>
          <w:lang w:val="en-IE" w:eastAsia="en-GB"/>
        </w:rPr>
        <w:t>93</w:t>
      </w:r>
      <w:r>
        <w:rPr>
          <w:lang w:val="en-IE" w:eastAsia="en-GB"/>
        </w:rPr>
        <w:t xml:space="preserve"> </w:t>
      </w:r>
      <w:r w:rsidRPr="00FC179E">
        <w:rPr>
          <w:lang w:val="en-IE" w:eastAsia="en-GB"/>
        </w:rPr>
        <w:t xml:space="preserve">(9):457-62. </w:t>
      </w:r>
      <w:proofErr w:type="gramStart"/>
      <w:r w:rsidRPr="00FC179E">
        <w:rPr>
          <w:lang w:val="en-IE" w:eastAsia="en-GB"/>
        </w:rPr>
        <w:t>Review.</w:t>
      </w:r>
      <w:proofErr w:type="gramEnd"/>
      <w:r w:rsidRPr="00FC179E">
        <w:rPr>
          <w:lang w:val="en-IE" w:eastAsia="en-GB"/>
        </w:rPr>
        <w:t xml:space="preserve"> PubMed PMID: 11089480</w:t>
      </w:r>
      <w:r>
        <w:rPr>
          <w:lang w:val="en-IE" w:eastAsia="en-GB"/>
        </w:rPr>
        <w:t>.</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t xml:space="preserve">D1 (iii): Verhamme KM, Sturkenboom MC, </w:t>
      </w:r>
      <w:proofErr w:type="gramStart"/>
      <w:r w:rsidRPr="004A539B">
        <w:rPr>
          <w:lang w:eastAsia="en-GB"/>
        </w:rPr>
        <w:t>Stricker</w:t>
      </w:r>
      <w:proofErr w:type="gramEnd"/>
      <w:r w:rsidRPr="004A539B">
        <w:rPr>
          <w:lang w:eastAsia="en-GB"/>
        </w:rPr>
        <w:t xml:space="preserve"> BH, Bosch R. Drug-induced urinary</w:t>
      </w:r>
      <w:r>
        <w:rPr>
          <w:lang w:eastAsia="en-GB"/>
        </w:rPr>
        <w:t xml:space="preserve"> </w:t>
      </w:r>
      <w:r w:rsidRPr="004A539B">
        <w:rPr>
          <w:lang w:eastAsia="en-GB"/>
        </w:rPr>
        <w:t>retention: incidence, mana</w:t>
      </w:r>
      <w:r>
        <w:rPr>
          <w:lang w:eastAsia="en-GB"/>
        </w:rPr>
        <w:t>gement and prevention. Drug Saf</w:t>
      </w:r>
      <w:r w:rsidRPr="004A539B">
        <w:rPr>
          <w:lang w:eastAsia="en-GB"/>
        </w:rPr>
        <w:t xml:space="preserve"> 2008;</w:t>
      </w:r>
      <w:r>
        <w:rPr>
          <w:lang w:eastAsia="en-GB"/>
        </w:rPr>
        <w:t xml:space="preserve"> </w:t>
      </w:r>
      <w:r w:rsidRPr="004A539B">
        <w:rPr>
          <w:lang w:eastAsia="en-GB"/>
        </w:rPr>
        <w:t>31(5):373-88.</w:t>
      </w:r>
      <w:r>
        <w:rPr>
          <w:lang w:eastAsia="en-GB"/>
        </w:rPr>
        <w:t xml:space="preserve"> </w:t>
      </w:r>
      <w:proofErr w:type="gramStart"/>
      <w:r w:rsidRPr="004A539B">
        <w:rPr>
          <w:lang w:eastAsia="en-GB"/>
        </w:rPr>
        <w:t>Review.</w:t>
      </w:r>
      <w:proofErr w:type="gramEnd"/>
      <w:r w:rsidRPr="004A539B">
        <w:rPr>
          <w:lang w:eastAsia="en-GB"/>
        </w:rPr>
        <w:t xml:space="preserve"> PubMed PMID: 18422378.</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t>D1 (</w:t>
      </w:r>
      <w:proofErr w:type="gramStart"/>
      <w:r w:rsidRPr="004A539B">
        <w:rPr>
          <w:lang w:eastAsia="en-GB"/>
        </w:rPr>
        <w:t>iv</w:t>
      </w:r>
      <w:proofErr w:type="gramEnd"/>
      <w:r w:rsidRPr="004A539B">
        <w:rPr>
          <w:lang w:eastAsia="en-GB"/>
        </w:rPr>
        <w:t>): Vieweg WV, Wood MA, Fernandez A, Beatty-Brooks M, Hasnain M, Pandurangi AK.</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t>Proarrhythmic risk with antipsychotic and antidepressant drugs: implications in</w:t>
      </w:r>
      <w:r>
        <w:rPr>
          <w:lang w:eastAsia="en-GB"/>
        </w:rPr>
        <w:t xml:space="preserve"> the elderly. Drugs Aging</w:t>
      </w:r>
      <w:r w:rsidRPr="004A539B">
        <w:rPr>
          <w:lang w:eastAsia="en-GB"/>
        </w:rPr>
        <w:t xml:space="preserve"> 2009;</w:t>
      </w:r>
      <w:r>
        <w:rPr>
          <w:lang w:eastAsia="en-GB"/>
        </w:rPr>
        <w:t xml:space="preserve"> </w:t>
      </w:r>
      <w:r w:rsidRPr="004A539B">
        <w:rPr>
          <w:lang w:eastAsia="en-GB"/>
        </w:rPr>
        <w:t>26(12):</w:t>
      </w:r>
      <w:r>
        <w:rPr>
          <w:lang w:eastAsia="en-GB"/>
        </w:rPr>
        <w:t xml:space="preserve"> </w:t>
      </w:r>
      <w:r w:rsidRPr="004A539B">
        <w:rPr>
          <w:lang w:eastAsia="en-GB"/>
        </w:rPr>
        <w:t xml:space="preserve">997-1012. </w:t>
      </w:r>
      <w:proofErr w:type="gramStart"/>
      <w:r w:rsidRPr="004A539B">
        <w:rPr>
          <w:lang w:eastAsia="en-GB"/>
        </w:rPr>
        <w:t>Review.</w:t>
      </w:r>
      <w:proofErr w:type="gramEnd"/>
      <w:r w:rsidRPr="004A539B">
        <w:rPr>
          <w:lang w:eastAsia="en-GB"/>
        </w:rPr>
        <w:t xml:space="preserve"> PubMed PMID: 19929028.</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t>D1 (v): Tripathi RC, Tripathi BJ, Haggerty C. Drug-induced glaucomas: mechanism and</w:t>
      </w:r>
      <w:r>
        <w:rPr>
          <w:lang w:eastAsia="en-GB"/>
        </w:rPr>
        <w:t xml:space="preserve"> management. Drug Saf</w:t>
      </w:r>
      <w:r w:rsidRPr="004A539B">
        <w:rPr>
          <w:lang w:eastAsia="en-GB"/>
        </w:rPr>
        <w:t xml:space="preserve"> 2003;</w:t>
      </w:r>
      <w:r>
        <w:rPr>
          <w:lang w:eastAsia="en-GB"/>
        </w:rPr>
        <w:t xml:space="preserve"> </w:t>
      </w:r>
      <w:r w:rsidRPr="004A539B">
        <w:rPr>
          <w:lang w:eastAsia="en-GB"/>
        </w:rPr>
        <w:t>26(11):</w:t>
      </w:r>
      <w:r>
        <w:rPr>
          <w:lang w:eastAsia="en-GB"/>
        </w:rPr>
        <w:t xml:space="preserve"> </w:t>
      </w:r>
      <w:r w:rsidRPr="004A539B">
        <w:rPr>
          <w:lang w:eastAsia="en-GB"/>
        </w:rPr>
        <w:t xml:space="preserve">749-67. </w:t>
      </w:r>
      <w:proofErr w:type="gramStart"/>
      <w:r w:rsidRPr="004A539B">
        <w:rPr>
          <w:lang w:eastAsia="en-GB"/>
        </w:rPr>
        <w:t>Review.</w:t>
      </w:r>
      <w:proofErr w:type="gramEnd"/>
      <w:r w:rsidRPr="004A539B">
        <w:rPr>
          <w:lang w:eastAsia="en-GB"/>
        </w:rPr>
        <w:t xml:space="preserve"> PubMed PMID: 12908846.</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4A539B" w:rsidRDefault="00851DC2" w:rsidP="00851DC2">
      <w:pPr>
        <w:spacing w:after="0" w:line="240" w:lineRule="auto"/>
        <w:rPr>
          <w:b/>
          <w:bCs/>
          <w:color w:val="333333"/>
          <w:lang w:eastAsia="en-IE"/>
        </w:rPr>
      </w:pPr>
      <w:r w:rsidRPr="004A539B">
        <w:rPr>
          <w:b/>
          <w:bCs/>
          <w:color w:val="333333"/>
          <w:lang w:eastAsia="en-IE"/>
        </w:rPr>
        <w:t xml:space="preserve">D2. </w:t>
      </w:r>
      <w:proofErr w:type="gramStart"/>
      <w:r>
        <w:rPr>
          <w:b/>
          <w:bCs/>
          <w:color w:val="333333"/>
          <w:lang w:eastAsia="en-IE"/>
        </w:rPr>
        <w:t>Initiation of tricyclic antidepressants</w:t>
      </w:r>
      <w:r w:rsidRPr="004A539B">
        <w:rPr>
          <w:b/>
          <w:bCs/>
          <w:color w:val="333333"/>
          <w:lang w:eastAsia="en-IE"/>
        </w:rPr>
        <w:t xml:space="preserve"> as first-line antidepressant treatment (higher risk of adverse drug reactions with TCAs than with SSRIs or SNRIs).</w:t>
      </w:r>
      <w:proofErr w:type="gramEnd"/>
    </w:p>
    <w:p w:rsidR="00851DC2" w:rsidRPr="004A539B" w:rsidRDefault="00851DC2" w:rsidP="00851DC2">
      <w:pPr>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lastRenderedPageBreak/>
        <w:t>D2 (i): Emslie G, Judge R. Tricyclic antidepressants and selective serotonin reuptake inhibitors: use during pregnancy, in children/adolescents and in the elderly.</w:t>
      </w:r>
      <w:r>
        <w:rPr>
          <w:lang w:eastAsia="en-GB"/>
        </w:rPr>
        <w:t xml:space="preserve"> </w:t>
      </w:r>
      <w:proofErr w:type="gramStart"/>
      <w:r w:rsidRPr="004A539B">
        <w:rPr>
          <w:lang w:eastAsia="en-GB"/>
        </w:rPr>
        <w:t xml:space="preserve">Acta Psychiatr Scand </w:t>
      </w:r>
      <w:r>
        <w:rPr>
          <w:lang w:eastAsia="en-GB"/>
        </w:rPr>
        <w:t xml:space="preserve">Suppl. </w:t>
      </w:r>
      <w:r w:rsidRPr="004A539B">
        <w:rPr>
          <w:lang w:eastAsia="en-GB"/>
        </w:rPr>
        <w:t>2000;</w:t>
      </w:r>
      <w:r>
        <w:rPr>
          <w:lang w:eastAsia="en-GB"/>
        </w:rPr>
        <w:t xml:space="preserve"> </w:t>
      </w:r>
      <w:r w:rsidRPr="004A539B">
        <w:rPr>
          <w:lang w:eastAsia="en-GB"/>
        </w:rPr>
        <w:t>403:</w:t>
      </w:r>
      <w:r>
        <w:rPr>
          <w:lang w:eastAsia="en-GB"/>
        </w:rPr>
        <w:t xml:space="preserve"> </w:t>
      </w:r>
      <w:r w:rsidRPr="004A539B">
        <w:rPr>
          <w:lang w:eastAsia="en-GB"/>
        </w:rPr>
        <w:t>26-34.</w:t>
      </w:r>
      <w:proofErr w:type="gramEnd"/>
      <w:r w:rsidRPr="004A539B">
        <w:rPr>
          <w:lang w:eastAsia="en-GB"/>
        </w:rPr>
        <w:t xml:space="preserve"> </w:t>
      </w:r>
      <w:proofErr w:type="gramStart"/>
      <w:r w:rsidRPr="004A539B">
        <w:rPr>
          <w:lang w:eastAsia="en-GB"/>
        </w:rPr>
        <w:t>Review.</w:t>
      </w:r>
      <w:proofErr w:type="gramEnd"/>
      <w:r w:rsidRPr="004A539B">
        <w:rPr>
          <w:lang w:eastAsia="en-GB"/>
        </w:rPr>
        <w:t xml:space="preserve"> PubMed PMID: 11019932.</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E62C3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proofErr w:type="gramStart"/>
      <w:r w:rsidRPr="004A539B">
        <w:rPr>
          <w:lang w:eastAsia="en-GB"/>
        </w:rPr>
        <w:t xml:space="preserve">D2 (ii) </w:t>
      </w:r>
      <w:r w:rsidRPr="00E62C31">
        <w:rPr>
          <w:lang w:val="en-IE" w:eastAsia="en-GB"/>
        </w:rPr>
        <w:t xml:space="preserve">Mottram P, Wilson K, Strobl J. Antidepressants </w:t>
      </w:r>
      <w:r>
        <w:rPr>
          <w:lang w:val="en-IE" w:eastAsia="en-GB"/>
        </w:rPr>
        <w:t>for depressed elderly.</w:t>
      </w:r>
      <w:proofErr w:type="gramEnd"/>
      <w:r>
        <w:rPr>
          <w:lang w:val="en-IE" w:eastAsia="en-GB"/>
        </w:rPr>
        <w:t xml:space="preserve"> Cochrane Database Syst Rev</w:t>
      </w:r>
      <w:r w:rsidRPr="00E62C31">
        <w:rPr>
          <w:lang w:val="en-IE" w:eastAsia="en-GB"/>
        </w:rPr>
        <w:t xml:space="preserve"> 2006 Jan 25;</w:t>
      </w:r>
      <w:r>
        <w:rPr>
          <w:lang w:val="en-IE" w:eastAsia="en-GB"/>
        </w:rPr>
        <w:t xml:space="preserve"> </w:t>
      </w:r>
      <w:r w:rsidRPr="00E62C31">
        <w:rPr>
          <w:lang w:val="en-IE" w:eastAsia="en-GB"/>
        </w:rPr>
        <w:t xml:space="preserve">(1):CD003491. </w:t>
      </w:r>
      <w:proofErr w:type="gramStart"/>
      <w:r w:rsidRPr="00E62C31">
        <w:rPr>
          <w:lang w:val="en-IE" w:eastAsia="en-GB"/>
        </w:rPr>
        <w:t>Review.</w:t>
      </w:r>
      <w:proofErr w:type="gramEnd"/>
      <w:r w:rsidRPr="00E62C31">
        <w:rPr>
          <w:lang w:val="en-IE" w:eastAsia="en-GB"/>
        </w:rPr>
        <w:t xml:space="preserve"> PubMed PMID: 16437456.</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4A539B" w:rsidRDefault="00851DC2" w:rsidP="00851DC2">
      <w:pPr>
        <w:spacing w:after="0" w:line="240" w:lineRule="auto"/>
        <w:rPr>
          <w:b/>
          <w:bCs/>
          <w:color w:val="333333"/>
          <w:lang w:eastAsia="en-IE"/>
        </w:rPr>
      </w:pPr>
      <w:r w:rsidRPr="004A539B">
        <w:rPr>
          <w:b/>
          <w:bCs/>
          <w:color w:val="333333"/>
          <w:lang w:eastAsia="en-IE"/>
        </w:rPr>
        <w:t xml:space="preserve">D3. </w:t>
      </w:r>
      <w:proofErr w:type="gramStart"/>
      <w:r w:rsidRPr="004A539B">
        <w:rPr>
          <w:b/>
          <w:bCs/>
          <w:color w:val="333333"/>
          <w:lang w:eastAsia="en-IE"/>
        </w:rPr>
        <w:t>Neuroleptics with moderate-marked antimuscarinic/anticholinergic effects (chlorpromazine, clozapine, flupenthixol, fluphenzine, pipothiazine, promazine, zuclopenthixol) with a history of prostatism or previous urinary retention (high risk of urinary retention).</w:t>
      </w:r>
      <w:proofErr w:type="gramEnd"/>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t xml:space="preserve">D3 (i): Verhamme KM, Sturkenboom MC, </w:t>
      </w:r>
      <w:proofErr w:type="gramStart"/>
      <w:r w:rsidRPr="004A539B">
        <w:rPr>
          <w:lang w:eastAsia="en-GB"/>
        </w:rPr>
        <w:t>Stricker</w:t>
      </w:r>
      <w:proofErr w:type="gramEnd"/>
      <w:r w:rsidRPr="004A539B">
        <w:rPr>
          <w:lang w:eastAsia="en-GB"/>
        </w:rPr>
        <w:t xml:space="preserve"> BH, Bosch R. Drug-induced urinary</w:t>
      </w:r>
      <w:r>
        <w:rPr>
          <w:lang w:eastAsia="en-GB"/>
        </w:rPr>
        <w:t xml:space="preserve"> </w:t>
      </w:r>
      <w:r w:rsidRPr="004A539B">
        <w:rPr>
          <w:lang w:eastAsia="en-GB"/>
        </w:rPr>
        <w:t>retention: incidence, management and prevent</w:t>
      </w:r>
      <w:r>
        <w:rPr>
          <w:lang w:eastAsia="en-GB"/>
        </w:rPr>
        <w:t>ion. Drug Saf</w:t>
      </w:r>
      <w:r w:rsidRPr="004A539B">
        <w:rPr>
          <w:lang w:eastAsia="en-GB"/>
        </w:rPr>
        <w:t xml:space="preserve"> 2008;</w:t>
      </w:r>
      <w:r>
        <w:rPr>
          <w:lang w:eastAsia="en-GB"/>
        </w:rPr>
        <w:t xml:space="preserve"> </w:t>
      </w:r>
      <w:r w:rsidRPr="004A539B">
        <w:rPr>
          <w:lang w:eastAsia="en-GB"/>
        </w:rPr>
        <w:t>31(5):373-88.Review. PubMed PMID: 18422378.</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4A539B" w:rsidRDefault="00851DC2" w:rsidP="00851DC2">
      <w:pPr>
        <w:spacing w:after="0" w:line="240" w:lineRule="auto"/>
        <w:rPr>
          <w:b/>
          <w:bCs/>
          <w:color w:val="333333"/>
          <w:lang w:eastAsia="en-IE"/>
        </w:rPr>
      </w:pPr>
      <w:r w:rsidRPr="004A539B">
        <w:rPr>
          <w:b/>
          <w:bCs/>
          <w:color w:val="333333"/>
          <w:lang w:eastAsia="en-IE"/>
        </w:rPr>
        <w:t xml:space="preserve">D4. </w:t>
      </w:r>
      <w:proofErr w:type="gramStart"/>
      <w:r w:rsidRPr="004A539B">
        <w:rPr>
          <w:b/>
          <w:bCs/>
          <w:color w:val="333333"/>
          <w:lang w:eastAsia="en-IE"/>
        </w:rPr>
        <w:t>Selective serotonin re-uptake inhibitors (SSRI’s) with current or recent significant hyponatraemia i.e. serum Na+ &lt; 130 mmol/l (risk of exacerbating or precipitating hyponatraemia).</w:t>
      </w:r>
      <w:proofErr w:type="gramEnd"/>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0A2C42">
        <w:rPr>
          <w:lang w:val="sv-SE" w:eastAsia="en-GB"/>
        </w:rPr>
        <w:t xml:space="preserve">D4 (i): Jacob S, Spinler SA. </w:t>
      </w:r>
      <w:r w:rsidRPr="004A539B">
        <w:rPr>
          <w:lang w:eastAsia="en-GB"/>
        </w:rPr>
        <w:t>Hyponatremia associated with selective serotonin-reuptake</w:t>
      </w:r>
      <w:r>
        <w:rPr>
          <w:lang w:eastAsia="en-GB"/>
        </w:rPr>
        <w:t xml:space="preserve"> </w:t>
      </w:r>
      <w:r w:rsidRPr="004A539B">
        <w:rPr>
          <w:lang w:eastAsia="en-GB"/>
        </w:rPr>
        <w:t>inhibitors in</w:t>
      </w:r>
      <w:r>
        <w:rPr>
          <w:lang w:eastAsia="en-GB"/>
        </w:rPr>
        <w:t xml:space="preserve"> older adults. Ann Pharmacother 2006</w:t>
      </w:r>
      <w:r w:rsidRPr="004A539B">
        <w:rPr>
          <w:lang w:eastAsia="en-GB"/>
        </w:rPr>
        <w:t>;</w:t>
      </w:r>
      <w:r>
        <w:rPr>
          <w:lang w:eastAsia="en-GB"/>
        </w:rPr>
        <w:t xml:space="preserve"> </w:t>
      </w:r>
      <w:r w:rsidRPr="004A539B">
        <w:rPr>
          <w:lang w:eastAsia="en-GB"/>
        </w:rPr>
        <w:t xml:space="preserve">40(9):1618-22. </w:t>
      </w:r>
      <w:proofErr w:type="gramStart"/>
      <w:r w:rsidRPr="004A539B">
        <w:rPr>
          <w:lang w:eastAsia="en-GB"/>
        </w:rPr>
        <w:t>Review.</w:t>
      </w:r>
      <w:proofErr w:type="gramEnd"/>
      <w:r w:rsidRPr="004A539B">
        <w:rPr>
          <w:lang w:eastAsia="en-GB"/>
        </w:rPr>
        <w:t xml:space="preserve"> PubMed PMID: 16896026.</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t>D4 (ii): Draper B, Berman K. Tolerability of selective serotonin reuptake inhibitors:</w:t>
      </w:r>
      <w:r>
        <w:rPr>
          <w:lang w:eastAsia="en-GB"/>
        </w:rPr>
        <w:t xml:space="preserve"> </w:t>
      </w:r>
      <w:r w:rsidRPr="004A539B">
        <w:rPr>
          <w:lang w:eastAsia="en-GB"/>
        </w:rPr>
        <w:t>issues relev</w:t>
      </w:r>
      <w:r>
        <w:rPr>
          <w:lang w:eastAsia="en-GB"/>
        </w:rPr>
        <w:t>ant to the elderly. Drugs Aging</w:t>
      </w:r>
      <w:r w:rsidRPr="004A539B">
        <w:rPr>
          <w:lang w:eastAsia="en-GB"/>
        </w:rPr>
        <w:t xml:space="preserve"> 2008;</w:t>
      </w:r>
      <w:r>
        <w:rPr>
          <w:lang w:eastAsia="en-GB"/>
        </w:rPr>
        <w:t xml:space="preserve"> </w:t>
      </w:r>
      <w:r w:rsidRPr="004A539B">
        <w:rPr>
          <w:lang w:eastAsia="en-GB"/>
        </w:rPr>
        <w:t>25(6):</w:t>
      </w:r>
      <w:r>
        <w:rPr>
          <w:lang w:eastAsia="en-GB"/>
        </w:rPr>
        <w:t xml:space="preserve"> </w:t>
      </w:r>
      <w:r w:rsidRPr="004A539B">
        <w:rPr>
          <w:lang w:eastAsia="en-GB"/>
        </w:rPr>
        <w:t xml:space="preserve">501-19. </w:t>
      </w:r>
      <w:proofErr w:type="gramStart"/>
      <w:r w:rsidRPr="004A539B">
        <w:rPr>
          <w:lang w:eastAsia="en-GB"/>
        </w:rPr>
        <w:t>Review.</w:t>
      </w:r>
      <w:proofErr w:type="gramEnd"/>
      <w:r w:rsidRPr="004A539B">
        <w:rPr>
          <w:lang w:eastAsia="en-GB"/>
        </w:rPr>
        <w:t xml:space="preserve"> PubMed</w:t>
      </w:r>
      <w:r>
        <w:rPr>
          <w:lang w:eastAsia="en-GB"/>
        </w:rPr>
        <w:t xml:space="preserve"> </w:t>
      </w:r>
      <w:r w:rsidRPr="004A539B">
        <w:rPr>
          <w:lang w:eastAsia="en-GB"/>
        </w:rPr>
        <w:t>PMID: 18540689.</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4A539B" w:rsidRDefault="00851DC2" w:rsidP="00851DC2">
      <w:pPr>
        <w:spacing w:after="0" w:line="240" w:lineRule="auto"/>
        <w:rPr>
          <w:b/>
          <w:bCs/>
          <w:color w:val="333333"/>
          <w:lang w:eastAsia="en-IE"/>
        </w:rPr>
      </w:pPr>
      <w:r w:rsidRPr="004A539B">
        <w:rPr>
          <w:b/>
          <w:bCs/>
          <w:color w:val="333333"/>
          <w:lang w:eastAsia="en-IE"/>
        </w:rPr>
        <w:t>D5. Benzodiazepines for ≥ 4 weeks (no indication for longer treatment; risk of prolonged sedation, confusion, impaired balance, falls, road traffic accidents; all benzodiazepines should be withdrawn gradually if taken for &gt; 2 weeks as there is a risk of caus</w:t>
      </w:r>
      <w:r>
        <w:rPr>
          <w:b/>
          <w:bCs/>
          <w:color w:val="333333"/>
          <w:lang w:eastAsia="en-IE"/>
        </w:rPr>
        <w:t xml:space="preserve">ing a benzodiazepine withdrawal </w:t>
      </w:r>
      <w:r w:rsidRPr="004A539B">
        <w:rPr>
          <w:b/>
          <w:bCs/>
          <w:color w:val="333333"/>
          <w:lang w:eastAsia="en-IE"/>
        </w:rPr>
        <w:t>syndrome if stopped abruptly).</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t xml:space="preserve">D5 (i): Madhusoodanan S, Bogunovic OJ. </w:t>
      </w:r>
      <w:proofErr w:type="gramStart"/>
      <w:r w:rsidRPr="004A539B">
        <w:rPr>
          <w:lang w:eastAsia="en-GB"/>
        </w:rPr>
        <w:t>Safety of benzodiazepines in the geriatric</w:t>
      </w:r>
      <w:r>
        <w:rPr>
          <w:lang w:eastAsia="en-GB"/>
        </w:rPr>
        <w:t xml:space="preserve"> </w:t>
      </w:r>
      <w:r w:rsidRPr="004A539B">
        <w:rPr>
          <w:lang w:eastAsia="en-GB"/>
        </w:rPr>
        <w:t>p</w:t>
      </w:r>
      <w:r>
        <w:rPr>
          <w:lang w:eastAsia="en-GB"/>
        </w:rPr>
        <w:t>opulation.</w:t>
      </w:r>
      <w:proofErr w:type="gramEnd"/>
      <w:r>
        <w:rPr>
          <w:lang w:eastAsia="en-GB"/>
        </w:rPr>
        <w:t xml:space="preserve"> Expert Opin Drug Saf 2004</w:t>
      </w:r>
      <w:r w:rsidRPr="004A539B">
        <w:rPr>
          <w:lang w:eastAsia="en-GB"/>
        </w:rPr>
        <w:t>;</w:t>
      </w:r>
      <w:r>
        <w:rPr>
          <w:lang w:eastAsia="en-GB"/>
        </w:rPr>
        <w:t xml:space="preserve"> </w:t>
      </w:r>
      <w:r w:rsidRPr="004A539B">
        <w:rPr>
          <w:lang w:eastAsia="en-GB"/>
        </w:rPr>
        <w:t>3(5):</w:t>
      </w:r>
      <w:r>
        <w:rPr>
          <w:lang w:eastAsia="en-GB"/>
        </w:rPr>
        <w:t xml:space="preserve"> </w:t>
      </w:r>
      <w:r w:rsidRPr="004A539B">
        <w:rPr>
          <w:lang w:eastAsia="en-GB"/>
        </w:rPr>
        <w:t xml:space="preserve">485-93. </w:t>
      </w:r>
      <w:proofErr w:type="gramStart"/>
      <w:r w:rsidRPr="004A539B">
        <w:rPr>
          <w:lang w:eastAsia="en-GB"/>
        </w:rPr>
        <w:t>Review.</w:t>
      </w:r>
      <w:proofErr w:type="gramEnd"/>
      <w:r w:rsidRPr="004A539B">
        <w:rPr>
          <w:lang w:eastAsia="en-GB"/>
        </w:rPr>
        <w:t xml:space="preserve"> PubMed PMID</w:t>
      </w:r>
      <w:proofErr w:type="gramStart"/>
      <w:r w:rsidRPr="004A539B">
        <w:rPr>
          <w:lang w:eastAsia="en-GB"/>
        </w:rPr>
        <w:t>:15335303</w:t>
      </w:r>
      <w:proofErr w:type="gramEnd"/>
      <w:r w:rsidRPr="004A539B">
        <w:rPr>
          <w:lang w:eastAsia="en-GB"/>
        </w:rPr>
        <w:t>.</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t xml:space="preserve">D5 (ii): Glass J, Lanctôt KL, Herrmann N, Sproule BA, </w:t>
      </w:r>
      <w:proofErr w:type="gramStart"/>
      <w:r w:rsidRPr="004A539B">
        <w:rPr>
          <w:lang w:eastAsia="en-GB"/>
        </w:rPr>
        <w:t>Busto</w:t>
      </w:r>
      <w:proofErr w:type="gramEnd"/>
      <w:r w:rsidRPr="004A539B">
        <w:rPr>
          <w:lang w:eastAsia="en-GB"/>
        </w:rPr>
        <w:t xml:space="preserve"> UE. Sedative </w:t>
      </w:r>
      <w:proofErr w:type="gramStart"/>
      <w:r w:rsidRPr="004A539B">
        <w:rPr>
          <w:lang w:eastAsia="en-GB"/>
        </w:rPr>
        <w:t>hypnotics</w:t>
      </w:r>
      <w:proofErr w:type="gramEnd"/>
      <w:r w:rsidRPr="004A539B">
        <w:rPr>
          <w:lang w:eastAsia="en-GB"/>
        </w:rPr>
        <w:t xml:space="preserve"> inolder people with insomnia: meta-analysis of</w:t>
      </w:r>
      <w:r>
        <w:rPr>
          <w:lang w:eastAsia="en-GB"/>
        </w:rPr>
        <w:t xml:space="preserve"> risks and benefits. BMJ 2005</w:t>
      </w:r>
      <w:r w:rsidRPr="004A539B">
        <w:rPr>
          <w:lang w:eastAsia="en-GB"/>
        </w:rPr>
        <w:t>;</w:t>
      </w:r>
      <w:r>
        <w:rPr>
          <w:lang w:eastAsia="en-GB"/>
        </w:rPr>
        <w:t xml:space="preserve"> </w:t>
      </w:r>
      <w:r w:rsidRPr="004A539B">
        <w:rPr>
          <w:lang w:eastAsia="en-GB"/>
        </w:rPr>
        <w:t>331(7526):</w:t>
      </w:r>
      <w:r>
        <w:rPr>
          <w:lang w:eastAsia="en-GB"/>
        </w:rPr>
        <w:t xml:space="preserve"> </w:t>
      </w:r>
      <w:r w:rsidRPr="004A539B">
        <w:rPr>
          <w:lang w:eastAsia="en-GB"/>
        </w:rPr>
        <w:t xml:space="preserve">1169. </w:t>
      </w:r>
      <w:proofErr w:type="gramStart"/>
      <w:r>
        <w:rPr>
          <w:lang w:eastAsia="en-GB"/>
        </w:rPr>
        <w:t>Review.</w:t>
      </w:r>
      <w:proofErr w:type="gramEnd"/>
      <w:r>
        <w:rPr>
          <w:lang w:eastAsia="en-GB"/>
        </w:rPr>
        <w:t xml:space="preserve"> PubMed PMID: 16284208</w:t>
      </w:r>
      <w:r w:rsidRPr="004A539B">
        <w:rPr>
          <w:lang w:eastAsia="en-GB"/>
        </w:rPr>
        <w:t>.</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t>D5 (iii): Barker MJ, Greenwood KM, Jackson M, Crowe SF. Cognitive effects of long-term</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4A539B">
        <w:rPr>
          <w:lang w:eastAsia="en-GB"/>
        </w:rPr>
        <w:t>benzodiazepine</w:t>
      </w:r>
      <w:proofErr w:type="gramEnd"/>
      <w:r w:rsidRPr="004A539B">
        <w:rPr>
          <w:lang w:eastAsia="en-GB"/>
        </w:rPr>
        <w:t xml:space="preserve"> use: a meta-analys</w:t>
      </w:r>
      <w:r>
        <w:rPr>
          <w:lang w:eastAsia="en-GB"/>
        </w:rPr>
        <w:t xml:space="preserve">is. CNS Drugs </w:t>
      </w:r>
      <w:r w:rsidRPr="004A539B">
        <w:rPr>
          <w:lang w:eastAsia="en-GB"/>
        </w:rPr>
        <w:t>2004;</w:t>
      </w:r>
      <w:r>
        <w:rPr>
          <w:lang w:eastAsia="en-GB"/>
        </w:rPr>
        <w:t xml:space="preserve"> 18(1):37-48. PubMed PMID: </w:t>
      </w:r>
      <w:r w:rsidRPr="004A539B">
        <w:rPr>
          <w:lang w:eastAsia="en-GB"/>
        </w:rPr>
        <w:t>14731058.</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4A539B" w:rsidRDefault="00851DC2" w:rsidP="00851DC2">
      <w:pPr>
        <w:spacing w:after="0" w:line="240" w:lineRule="auto"/>
        <w:rPr>
          <w:b/>
          <w:bCs/>
          <w:color w:val="333333"/>
          <w:lang w:eastAsia="en-IE"/>
        </w:rPr>
      </w:pPr>
      <w:r w:rsidRPr="004A539B">
        <w:rPr>
          <w:b/>
          <w:bCs/>
          <w:color w:val="333333"/>
          <w:lang w:eastAsia="en-IE"/>
        </w:rPr>
        <w:t xml:space="preserve">D6. Antipsychotics (i.e. other than quetiapine or clozapine) in those with </w:t>
      </w:r>
      <w:proofErr w:type="gramStart"/>
      <w:r w:rsidRPr="004A539B">
        <w:rPr>
          <w:b/>
          <w:bCs/>
          <w:color w:val="333333"/>
          <w:lang w:eastAsia="en-IE"/>
        </w:rPr>
        <w:t>parkinsonism</w:t>
      </w:r>
      <w:proofErr w:type="gramEnd"/>
      <w:r w:rsidRPr="004A539B">
        <w:rPr>
          <w:b/>
          <w:bCs/>
          <w:color w:val="333333"/>
          <w:lang w:eastAsia="en-IE"/>
        </w:rPr>
        <w:t xml:space="preserve"> or Lewy Body Disease (risk of severe extra-pyramidal symptoms)</w:t>
      </w:r>
    </w:p>
    <w:p w:rsidR="00851DC2" w:rsidRPr="004A539B" w:rsidRDefault="00851DC2" w:rsidP="00851DC2">
      <w:pPr>
        <w:spacing w:after="0" w:line="240" w:lineRule="auto"/>
        <w:rPr>
          <w:b/>
          <w:bCs/>
          <w:color w:val="333333"/>
          <w:lang w:eastAsia="en-IE"/>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DA44B8">
        <w:rPr>
          <w:lang w:val="sv-SE" w:eastAsia="en-GB"/>
        </w:rPr>
        <w:t xml:space="preserve">D6 (i): Mena MA, de Yébenes JG. </w:t>
      </w:r>
      <w:r w:rsidRPr="004A539B">
        <w:rPr>
          <w:lang w:eastAsia="en-GB"/>
        </w:rPr>
        <w:t xml:space="preserve">Drug-induced </w:t>
      </w:r>
      <w:proofErr w:type="gramStart"/>
      <w:r w:rsidRPr="004A539B">
        <w:rPr>
          <w:lang w:eastAsia="en-GB"/>
        </w:rPr>
        <w:t>park</w:t>
      </w:r>
      <w:r>
        <w:rPr>
          <w:lang w:eastAsia="en-GB"/>
        </w:rPr>
        <w:t>insonism</w:t>
      </w:r>
      <w:proofErr w:type="gramEnd"/>
      <w:r>
        <w:rPr>
          <w:lang w:eastAsia="en-GB"/>
        </w:rPr>
        <w:t>. Expert Opin Drug Saf 2006</w:t>
      </w:r>
      <w:r w:rsidRPr="004A539B">
        <w:rPr>
          <w:lang w:eastAsia="en-GB"/>
        </w:rPr>
        <w:t>;</w:t>
      </w:r>
      <w:r>
        <w:rPr>
          <w:lang w:eastAsia="en-GB"/>
        </w:rPr>
        <w:t xml:space="preserve"> </w:t>
      </w:r>
      <w:r w:rsidRPr="004A539B">
        <w:rPr>
          <w:lang w:eastAsia="en-GB"/>
        </w:rPr>
        <w:t xml:space="preserve">5(6):759-71. </w:t>
      </w:r>
      <w:proofErr w:type="gramStart"/>
      <w:r w:rsidRPr="004A539B">
        <w:rPr>
          <w:lang w:eastAsia="en-GB"/>
        </w:rPr>
        <w:t>Review.</w:t>
      </w:r>
      <w:proofErr w:type="gramEnd"/>
      <w:r w:rsidRPr="004A539B">
        <w:rPr>
          <w:lang w:eastAsia="en-GB"/>
        </w:rPr>
        <w:t xml:space="preserve"> PubMed PMID: 17044803.</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4A539B">
        <w:rPr>
          <w:lang w:eastAsia="en-GB"/>
        </w:rPr>
        <w:lastRenderedPageBreak/>
        <w:t>D6(</w:t>
      </w:r>
      <w:proofErr w:type="gramEnd"/>
      <w:r w:rsidRPr="004A539B">
        <w:rPr>
          <w:lang w:eastAsia="en-GB"/>
        </w:rPr>
        <w:t xml:space="preserve">ii): Eng ML, Welty TE. </w:t>
      </w:r>
      <w:proofErr w:type="gramStart"/>
      <w:r w:rsidRPr="004A539B">
        <w:rPr>
          <w:lang w:eastAsia="en-GB"/>
        </w:rPr>
        <w:t>Management of hallucinations and psychosis in Parkinson's</w:t>
      </w:r>
      <w:r>
        <w:rPr>
          <w:lang w:eastAsia="en-GB"/>
        </w:rPr>
        <w:t xml:space="preserve"> </w:t>
      </w:r>
      <w:r w:rsidRPr="004A539B">
        <w:rPr>
          <w:lang w:eastAsia="en-GB"/>
        </w:rPr>
        <w:t>dise</w:t>
      </w:r>
      <w:r>
        <w:rPr>
          <w:lang w:eastAsia="en-GB"/>
        </w:rPr>
        <w:t>ase.</w:t>
      </w:r>
      <w:proofErr w:type="gramEnd"/>
      <w:r>
        <w:rPr>
          <w:lang w:eastAsia="en-GB"/>
        </w:rPr>
        <w:t xml:space="preserve"> Am J Geriatr Pharmacother 2010</w:t>
      </w:r>
      <w:r w:rsidRPr="004A539B">
        <w:rPr>
          <w:lang w:eastAsia="en-GB"/>
        </w:rPr>
        <w:t>;</w:t>
      </w:r>
      <w:r>
        <w:rPr>
          <w:lang w:eastAsia="en-GB"/>
        </w:rPr>
        <w:t xml:space="preserve"> </w:t>
      </w:r>
      <w:r w:rsidRPr="004A539B">
        <w:rPr>
          <w:lang w:eastAsia="en-GB"/>
        </w:rPr>
        <w:t xml:space="preserve">8(4):316-30. </w:t>
      </w:r>
      <w:proofErr w:type="gramStart"/>
      <w:r w:rsidRPr="004A539B">
        <w:rPr>
          <w:lang w:eastAsia="en-GB"/>
        </w:rPr>
        <w:t>Review.</w:t>
      </w:r>
      <w:proofErr w:type="gramEnd"/>
      <w:r w:rsidRPr="004A539B">
        <w:rPr>
          <w:lang w:eastAsia="en-GB"/>
        </w:rPr>
        <w:t xml:space="preserve"> PubMed PMID</w:t>
      </w:r>
      <w:proofErr w:type="gramStart"/>
      <w:r w:rsidRPr="004A539B">
        <w:rPr>
          <w:lang w:eastAsia="en-GB"/>
        </w:rPr>
        <w:t>:20869621</w:t>
      </w:r>
      <w:proofErr w:type="gramEnd"/>
      <w:r w:rsidRPr="004A539B">
        <w:rPr>
          <w:lang w:eastAsia="en-GB"/>
        </w:rPr>
        <w:t>.</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4A539B" w:rsidRDefault="00851DC2" w:rsidP="00851DC2">
      <w:pPr>
        <w:spacing w:after="0" w:line="240" w:lineRule="auto"/>
        <w:rPr>
          <w:b/>
          <w:bCs/>
          <w:color w:val="333333"/>
          <w:lang w:eastAsia="en-IE"/>
        </w:rPr>
      </w:pPr>
      <w:r w:rsidRPr="004A539B">
        <w:rPr>
          <w:b/>
          <w:bCs/>
          <w:color w:val="333333"/>
          <w:lang w:eastAsia="en-IE"/>
        </w:rPr>
        <w:t>D7. Anticholinergics/antimuscarinics to treat extra-pyramidal side-effects of neuroleptic medications (risk of anticholinergic toxicity),</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t>D7 (i): Heinik J. Effects of trihexyphenidyl on MMSE and CAMCOG scores of medicated</w:t>
      </w:r>
      <w:r>
        <w:rPr>
          <w:lang w:eastAsia="en-GB"/>
        </w:rPr>
        <w:t xml:space="preserve"> </w:t>
      </w:r>
      <w:r w:rsidRPr="004A539B">
        <w:rPr>
          <w:lang w:eastAsia="en-GB"/>
        </w:rPr>
        <w:t>elderly patients with schizo</w:t>
      </w:r>
      <w:r>
        <w:rPr>
          <w:lang w:eastAsia="en-GB"/>
        </w:rPr>
        <w:t>phrenia. Int Psychogeriatr 1998</w:t>
      </w:r>
      <w:r w:rsidRPr="004A539B">
        <w:rPr>
          <w:lang w:eastAsia="en-GB"/>
        </w:rPr>
        <w:t>;</w:t>
      </w:r>
      <w:r>
        <w:rPr>
          <w:lang w:eastAsia="en-GB"/>
        </w:rPr>
        <w:t xml:space="preserve"> </w:t>
      </w:r>
      <w:r w:rsidRPr="004A539B">
        <w:rPr>
          <w:lang w:eastAsia="en-GB"/>
        </w:rPr>
        <w:t>10(1):</w:t>
      </w:r>
      <w:r>
        <w:rPr>
          <w:lang w:eastAsia="en-GB"/>
        </w:rPr>
        <w:t xml:space="preserve"> </w:t>
      </w:r>
      <w:r w:rsidRPr="004A539B">
        <w:rPr>
          <w:lang w:eastAsia="en-GB"/>
        </w:rPr>
        <w:t>103-8.</w:t>
      </w:r>
      <w:r>
        <w:rPr>
          <w:lang w:eastAsia="en-GB"/>
        </w:rPr>
        <w:t xml:space="preserve"> </w:t>
      </w:r>
      <w:r w:rsidRPr="004A539B">
        <w:rPr>
          <w:lang w:eastAsia="en-GB"/>
        </w:rPr>
        <w:t>PubMed PMID: 9629529.</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t>D7 (ii): Drimer T, Shahal B, Barak Y. Effects of discontinuation of long-term</w:t>
      </w:r>
      <w:r>
        <w:rPr>
          <w:lang w:eastAsia="en-GB"/>
        </w:rPr>
        <w:t xml:space="preserve"> </w:t>
      </w:r>
      <w:r w:rsidRPr="004A539B">
        <w:rPr>
          <w:lang w:eastAsia="en-GB"/>
        </w:rPr>
        <w:t>anticholinergic treatment in elderly schizophrenia pat</w:t>
      </w:r>
      <w:r>
        <w:rPr>
          <w:lang w:eastAsia="en-GB"/>
        </w:rPr>
        <w:t>ients. Int ClinPsychopharmacol 2004</w:t>
      </w:r>
      <w:r w:rsidRPr="004A539B">
        <w:rPr>
          <w:lang w:eastAsia="en-GB"/>
        </w:rPr>
        <w:t>;</w:t>
      </w:r>
      <w:r>
        <w:rPr>
          <w:lang w:eastAsia="en-GB"/>
        </w:rPr>
        <w:t xml:space="preserve"> </w:t>
      </w:r>
      <w:r w:rsidRPr="004A539B">
        <w:rPr>
          <w:lang w:eastAsia="en-GB"/>
        </w:rPr>
        <w:t>19(1):27-9. PubMed PMID: 15101567.</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4A539B" w:rsidRDefault="00851DC2" w:rsidP="00851DC2">
      <w:pPr>
        <w:spacing w:after="0" w:line="240" w:lineRule="auto"/>
        <w:rPr>
          <w:b/>
          <w:bCs/>
          <w:color w:val="FF0000"/>
          <w:lang w:eastAsia="en-IE"/>
        </w:rPr>
      </w:pPr>
      <w:r w:rsidRPr="004A539B">
        <w:rPr>
          <w:b/>
          <w:bCs/>
          <w:color w:val="333333"/>
          <w:lang w:eastAsia="en-IE"/>
        </w:rPr>
        <w:t>D8. Anticholinergics/antimuscarinics in patients with delirium or dementia (risk of exacerbation of cognitive impairment).</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11652">
        <w:rPr>
          <w:lang w:val="sv-SE" w:eastAsia="en-GB"/>
        </w:rPr>
        <w:t xml:space="preserve">D8 (i): Pagoria D, O'Connor RC, Guralnick ML. </w:t>
      </w:r>
      <w:r w:rsidRPr="004A539B">
        <w:rPr>
          <w:lang w:eastAsia="en-GB"/>
        </w:rPr>
        <w:t>Anti</w:t>
      </w:r>
      <w:r>
        <w:rPr>
          <w:lang w:eastAsia="en-GB"/>
        </w:rPr>
        <w:t xml:space="preserve">muscarinic drugs: review of the </w:t>
      </w:r>
      <w:r w:rsidRPr="004A539B">
        <w:rPr>
          <w:lang w:eastAsia="en-GB"/>
        </w:rPr>
        <w:t>cognitive impact when used to treat overactive bla</w:t>
      </w:r>
      <w:r>
        <w:rPr>
          <w:lang w:eastAsia="en-GB"/>
        </w:rPr>
        <w:t>dder in elderly patients. Curr Urol Rep 2011</w:t>
      </w:r>
      <w:r w:rsidRPr="004A539B">
        <w:rPr>
          <w:lang w:eastAsia="en-GB"/>
        </w:rPr>
        <w:t>;</w:t>
      </w:r>
      <w:r>
        <w:rPr>
          <w:lang w:eastAsia="en-GB"/>
        </w:rPr>
        <w:t xml:space="preserve"> </w:t>
      </w:r>
      <w:r w:rsidRPr="004A539B">
        <w:rPr>
          <w:lang w:eastAsia="en-GB"/>
        </w:rPr>
        <w:t>12</w:t>
      </w:r>
      <w:r>
        <w:rPr>
          <w:lang w:eastAsia="en-GB"/>
        </w:rPr>
        <w:t xml:space="preserve"> </w:t>
      </w:r>
      <w:r w:rsidRPr="004A539B">
        <w:rPr>
          <w:lang w:eastAsia="en-GB"/>
        </w:rPr>
        <w:t>(5):</w:t>
      </w:r>
      <w:r>
        <w:rPr>
          <w:lang w:eastAsia="en-GB"/>
        </w:rPr>
        <w:t xml:space="preserve"> </w:t>
      </w:r>
      <w:r w:rsidRPr="004A539B">
        <w:rPr>
          <w:lang w:eastAsia="en-GB"/>
        </w:rPr>
        <w:t xml:space="preserve">351-7. </w:t>
      </w:r>
      <w:proofErr w:type="gramStart"/>
      <w:r w:rsidRPr="004A539B">
        <w:rPr>
          <w:lang w:eastAsia="en-GB"/>
        </w:rPr>
        <w:t>Review.</w:t>
      </w:r>
      <w:proofErr w:type="gramEnd"/>
      <w:r w:rsidRPr="004A539B">
        <w:rPr>
          <w:lang w:eastAsia="en-GB"/>
        </w:rPr>
        <w:t xml:space="preserve"> PubMed PMID: 21607875.</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t>D8 (ii): Gerretsen P, Pollock BG. Drugs with antich</w:t>
      </w:r>
      <w:r>
        <w:rPr>
          <w:lang w:eastAsia="en-GB"/>
        </w:rPr>
        <w:t xml:space="preserve">olinergic properties: a current </w:t>
      </w:r>
      <w:r w:rsidRPr="004A539B">
        <w:rPr>
          <w:lang w:eastAsia="en-GB"/>
        </w:rPr>
        <w:t>perspective on use a</w:t>
      </w:r>
      <w:r>
        <w:rPr>
          <w:lang w:eastAsia="en-GB"/>
        </w:rPr>
        <w:t>nd safety. Expert Opin Drug Saf 2011</w:t>
      </w:r>
      <w:r w:rsidRPr="004A539B">
        <w:rPr>
          <w:lang w:eastAsia="en-GB"/>
        </w:rPr>
        <w:t>;</w:t>
      </w:r>
      <w:r>
        <w:rPr>
          <w:lang w:eastAsia="en-GB"/>
        </w:rPr>
        <w:t xml:space="preserve"> </w:t>
      </w:r>
      <w:r w:rsidRPr="004A539B">
        <w:rPr>
          <w:lang w:eastAsia="en-GB"/>
        </w:rPr>
        <w:t>10(5):</w:t>
      </w:r>
      <w:r>
        <w:rPr>
          <w:lang w:eastAsia="en-GB"/>
        </w:rPr>
        <w:t xml:space="preserve"> </w:t>
      </w:r>
      <w:r w:rsidRPr="004A539B">
        <w:rPr>
          <w:lang w:eastAsia="en-GB"/>
        </w:rPr>
        <w:t xml:space="preserve">751-65. </w:t>
      </w:r>
      <w:proofErr w:type="gramStart"/>
      <w:r w:rsidRPr="004A539B">
        <w:rPr>
          <w:lang w:eastAsia="en-GB"/>
        </w:rPr>
        <w:t>Review.</w:t>
      </w:r>
      <w:proofErr w:type="gramEnd"/>
      <w:r w:rsidRPr="004A539B">
        <w:rPr>
          <w:lang w:eastAsia="en-GB"/>
        </w:rPr>
        <w:t xml:space="preserve"> PubMed PMID: 21635190.</w:t>
      </w:r>
    </w:p>
    <w:p w:rsidR="00851DC2" w:rsidRPr="004A539B" w:rsidRDefault="00851DC2" w:rsidP="00851DC2">
      <w:pPr>
        <w:spacing w:after="0" w:line="240" w:lineRule="auto"/>
        <w:rPr>
          <w:b/>
          <w:bCs/>
          <w:color w:val="333333"/>
          <w:lang w:eastAsia="en-IE"/>
        </w:rPr>
      </w:pPr>
    </w:p>
    <w:p w:rsidR="00851DC2" w:rsidRDefault="00851DC2" w:rsidP="00851DC2">
      <w:pPr>
        <w:spacing w:after="0" w:line="240" w:lineRule="auto"/>
        <w:rPr>
          <w:b/>
          <w:bCs/>
          <w:color w:val="333333"/>
          <w:lang w:eastAsia="en-IE"/>
        </w:rPr>
      </w:pPr>
    </w:p>
    <w:p w:rsidR="00851DC2" w:rsidRPr="004A539B" w:rsidRDefault="00851DC2" w:rsidP="00851DC2">
      <w:pPr>
        <w:spacing w:after="0" w:line="240" w:lineRule="auto"/>
        <w:rPr>
          <w:b/>
          <w:bCs/>
          <w:color w:val="333333"/>
          <w:lang w:eastAsia="en-IE"/>
        </w:rPr>
      </w:pPr>
      <w:r w:rsidRPr="004A539B">
        <w:rPr>
          <w:b/>
          <w:bCs/>
          <w:color w:val="333333"/>
          <w:lang w:eastAsia="en-IE"/>
        </w:rPr>
        <w:t>D</w:t>
      </w:r>
      <w:r>
        <w:rPr>
          <w:b/>
          <w:bCs/>
          <w:color w:val="333333"/>
          <w:lang w:eastAsia="en-IE"/>
        </w:rPr>
        <w:t xml:space="preserve">9. Neuroleptic antipsychotic </w:t>
      </w:r>
      <w:r w:rsidRPr="004A539B">
        <w:rPr>
          <w:b/>
          <w:bCs/>
          <w:color w:val="333333"/>
          <w:lang w:eastAsia="en-IE"/>
        </w:rPr>
        <w:t>in patients with behavioural and psychological symptoms of dementia (BPSD) unless symptoms are severe and other treatments have failed (increased risk of stroke).</w:t>
      </w:r>
    </w:p>
    <w:p w:rsidR="00851DC2" w:rsidRPr="004A539B" w:rsidRDefault="00851DC2" w:rsidP="00851DC2">
      <w:pPr>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t>D9 (i): Sacchetti E, Turrina C, Valsecchi P. Cereb</w:t>
      </w:r>
      <w:r>
        <w:rPr>
          <w:lang w:eastAsia="en-GB"/>
        </w:rPr>
        <w:t xml:space="preserve">rovascular accidents in elderly </w:t>
      </w:r>
      <w:r w:rsidRPr="004A539B">
        <w:rPr>
          <w:lang w:eastAsia="en-GB"/>
        </w:rPr>
        <w:t>people treated with antipsychotic drugs</w:t>
      </w:r>
      <w:r>
        <w:rPr>
          <w:lang w:eastAsia="en-GB"/>
        </w:rPr>
        <w:t xml:space="preserve">: a systematic review. Drug Saf 2010; 33(4): 273-88. </w:t>
      </w:r>
      <w:proofErr w:type="gramStart"/>
      <w:r>
        <w:rPr>
          <w:lang w:eastAsia="en-GB"/>
        </w:rPr>
        <w:t>Review.</w:t>
      </w:r>
      <w:proofErr w:type="gramEnd"/>
      <w:r>
        <w:rPr>
          <w:lang w:eastAsia="en-GB"/>
        </w:rPr>
        <w:t xml:space="preserve"> PubMed PMID: </w:t>
      </w:r>
      <w:r w:rsidRPr="004A539B">
        <w:rPr>
          <w:lang w:eastAsia="en-GB"/>
        </w:rPr>
        <w:t>20297860.</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t>D9 (ii): Mittal V, Kurup L, Williamson D, Muralee S, Tam</w:t>
      </w:r>
      <w:r>
        <w:rPr>
          <w:lang w:eastAsia="en-GB"/>
        </w:rPr>
        <w:t xml:space="preserve">pi RR. Risk of cerebrovascular </w:t>
      </w:r>
      <w:r w:rsidRPr="004A539B">
        <w:rPr>
          <w:lang w:eastAsia="en-GB"/>
        </w:rPr>
        <w:t xml:space="preserve">adverse events and death in elderly patients </w:t>
      </w:r>
      <w:r>
        <w:rPr>
          <w:lang w:eastAsia="en-GB"/>
        </w:rPr>
        <w:t xml:space="preserve">with dementia when treated with </w:t>
      </w:r>
      <w:r w:rsidRPr="004A539B">
        <w:rPr>
          <w:lang w:eastAsia="en-GB"/>
        </w:rPr>
        <w:t xml:space="preserve">antipsychotic medications: a literature review of evidence. </w:t>
      </w:r>
      <w:r w:rsidRPr="00F217CE">
        <w:rPr>
          <w:lang w:val="de-DE" w:eastAsia="en-GB"/>
        </w:rPr>
        <w:t>Am J Alzheimers Dis</w:t>
      </w:r>
      <w:r>
        <w:rPr>
          <w:lang w:eastAsia="en-GB"/>
        </w:rPr>
        <w:t xml:space="preserve"> </w:t>
      </w:r>
      <w:r>
        <w:rPr>
          <w:lang w:val="de-DE" w:eastAsia="en-GB"/>
        </w:rPr>
        <w:t>Other Demen 2011</w:t>
      </w:r>
      <w:r w:rsidRPr="00F217CE">
        <w:rPr>
          <w:lang w:val="de-DE" w:eastAsia="en-GB"/>
        </w:rPr>
        <w:t>;</w:t>
      </w:r>
      <w:r>
        <w:rPr>
          <w:lang w:val="de-DE" w:eastAsia="en-GB"/>
        </w:rPr>
        <w:t xml:space="preserve"> </w:t>
      </w:r>
      <w:r w:rsidRPr="00F217CE">
        <w:rPr>
          <w:lang w:val="de-DE" w:eastAsia="en-GB"/>
        </w:rPr>
        <w:t>26(1):</w:t>
      </w:r>
      <w:r>
        <w:rPr>
          <w:lang w:val="de-DE" w:eastAsia="en-GB"/>
        </w:rPr>
        <w:t xml:space="preserve"> </w:t>
      </w:r>
      <w:r w:rsidRPr="00F217CE">
        <w:rPr>
          <w:lang w:val="de-DE" w:eastAsia="en-GB"/>
        </w:rPr>
        <w:t xml:space="preserve">10-28. </w:t>
      </w:r>
      <w:proofErr w:type="gramStart"/>
      <w:r w:rsidRPr="004A539B">
        <w:rPr>
          <w:lang w:eastAsia="en-GB"/>
        </w:rPr>
        <w:t>Review.</w:t>
      </w:r>
      <w:proofErr w:type="gramEnd"/>
      <w:r w:rsidRPr="004A539B">
        <w:rPr>
          <w:lang w:eastAsia="en-GB"/>
        </w:rPr>
        <w:t xml:space="preserve"> PubMed PMID: 21282274.</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t>D9</w:t>
      </w:r>
      <w:r>
        <w:rPr>
          <w:lang w:eastAsia="en-GB"/>
        </w:rPr>
        <w:t xml:space="preserve"> (iii):  Chahine LM, Acar D</w:t>
      </w:r>
      <w:r w:rsidRPr="004A539B">
        <w:rPr>
          <w:lang w:eastAsia="en-GB"/>
        </w:rPr>
        <w:t xml:space="preserve">, Chemali Z. </w:t>
      </w:r>
      <w:proofErr w:type="gramStart"/>
      <w:r w:rsidRPr="004A539B">
        <w:rPr>
          <w:lang w:eastAsia="en-GB"/>
        </w:rPr>
        <w:t>The elderly safety imperative and ant</w:t>
      </w:r>
      <w:r>
        <w:rPr>
          <w:lang w:eastAsia="en-GB"/>
        </w:rPr>
        <w:t>ipsychotic usage.</w:t>
      </w:r>
      <w:proofErr w:type="gramEnd"/>
      <w:r>
        <w:rPr>
          <w:lang w:eastAsia="en-GB"/>
        </w:rPr>
        <w:t xml:space="preserve"> Harvard Rev Psychiatr</w:t>
      </w:r>
      <w:r w:rsidRPr="004A539B">
        <w:rPr>
          <w:lang w:eastAsia="en-GB"/>
        </w:rPr>
        <w:t xml:space="preserve"> 2010; 18:3 158-172. </w:t>
      </w:r>
      <w:r w:rsidRPr="00F217CE">
        <w:rPr>
          <w:lang w:eastAsia="en-GB"/>
        </w:rPr>
        <w:t>PubMed PMID: 20415632.</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4A539B" w:rsidRDefault="00851DC2" w:rsidP="00851DC2">
      <w:pPr>
        <w:spacing w:after="0" w:line="240" w:lineRule="auto"/>
        <w:rPr>
          <w:b/>
          <w:bCs/>
          <w:color w:val="333333"/>
          <w:lang w:eastAsia="en-IE"/>
        </w:rPr>
      </w:pPr>
      <w:r w:rsidRPr="004A539B">
        <w:rPr>
          <w:b/>
          <w:bCs/>
          <w:color w:val="333333"/>
          <w:lang w:eastAsia="en-IE"/>
        </w:rPr>
        <w:t xml:space="preserve">D10. </w:t>
      </w:r>
      <w:proofErr w:type="gramStart"/>
      <w:r w:rsidRPr="004A539B">
        <w:rPr>
          <w:b/>
          <w:bCs/>
          <w:color w:val="333333"/>
          <w:lang w:eastAsia="en-IE"/>
        </w:rPr>
        <w:t>Neuroleptics as hypnotics, unless sleep disorder is due to psychosis or dementia (risk of confusion, hypotension, extra-pyramidal side effects, falls).</w:t>
      </w:r>
      <w:proofErr w:type="gramEnd"/>
    </w:p>
    <w:p w:rsidR="00851DC2" w:rsidRPr="004A539B" w:rsidRDefault="00851DC2" w:rsidP="00851DC2">
      <w:pPr>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4A539B">
        <w:rPr>
          <w:lang w:eastAsia="en-GB"/>
        </w:rPr>
        <w:t>D10 (i): British National Formulary, no. 61, March 2011, pp 216 -227.</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952478">
        <w:rPr>
          <w:lang w:val="sv-SE" w:eastAsia="en-GB"/>
        </w:rPr>
        <w:t xml:space="preserve">D10 (ii): RD McEvoy, KS Nyfort-Hansen. </w:t>
      </w:r>
      <w:r w:rsidRPr="004A539B">
        <w:rPr>
          <w:lang w:eastAsia="en-GB"/>
        </w:rPr>
        <w:t xml:space="preserve">Sleep disorders in the elderly: the pros and cons of prescribing. In: Prescribing for Elderly Patients, eds. S. Jackson, P. Jansen, </w:t>
      </w:r>
      <w:proofErr w:type="gramStart"/>
      <w:r w:rsidRPr="004A539B">
        <w:rPr>
          <w:lang w:eastAsia="en-GB"/>
        </w:rPr>
        <w:t>A</w:t>
      </w:r>
      <w:proofErr w:type="gramEnd"/>
      <w:r w:rsidRPr="004A539B">
        <w:rPr>
          <w:lang w:eastAsia="en-GB"/>
        </w:rPr>
        <w:t>. Mangoni. Wiley-Blackwell 2009, pp 45-52.</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95247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rPr>
      </w:pPr>
      <w:r w:rsidRPr="004A539B">
        <w:rPr>
          <w:lang w:eastAsia="en-GB"/>
        </w:rPr>
        <w:t>D10</w:t>
      </w:r>
      <w:r>
        <w:rPr>
          <w:lang w:eastAsia="en-GB"/>
        </w:rPr>
        <w:t xml:space="preserve"> (iii): </w:t>
      </w:r>
      <w:r w:rsidRPr="00952478">
        <w:rPr>
          <w:lang w:val="en-IE"/>
        </w:rPr>
        <w:t>Alexopoulos GS, Str</w:t>
      </w:r>
      <w:r>
        <w:rPr>
          <w:lang w:val="en-IE"/>
        </w:rPr>
        <w:t xml:space="preserve">eim J, Carpenter D, </w:t>
      </w:r>
      <w:proofErr w:type="gramStart"/>
      <w:r>
        <w:rPr>
          <w:lang w:val="en-IE"/>
        </w:rPr>
        <w:t>Docherty</w:t>
      </w:r>
      <w:proofErr w:type="gramEnd"/>
      <w:r>
        <w:rPr>
          <w:lang w:val="en-IE"/>
        </w:rPr>
        <w:t xml:space="preserve"> JP.</w:t>
      </w:r>
      <w:r w:rsidRPr="00952478">
        <w:rPr>
          <w:lang w:val="en-IE"/>
        </w:rPr>
        <w:t xml:space="preserve"> </w:t>
      </w:r>
      <w:proofErr w:type="gramStart"/>
      <w:r w:rsidRPr="00952478">
        <w:rPr>
          <w:lang w:val="en-IE"/>
        </w:rPr>
        <w:t>Expert Consensus Pan</w:t>
      </w:r>
      <w:r>
        <w:rPr>
          <w:lang w:val="en-IE"/>
        </w:rPr>
        <w:t xml:space="preserve">el for </w:t>
      </w:r>
      <w:r w:rsidRPr="00952478">
        <w:rPr>
          <w:lang w:val="en-IE"/>
        </w:rPr>
        <w:t>Using Antipsychotic Drugs in Older Patients.</w:t>
      </w:r>
      <w:proofErr w:type="gramEnd"/>
      <w:r w:rsidRPr="00952478">
        <w:rPr>
          <w:lang w:val="en-IE"/>
        </w:rPr>
        <w:t xml:space="preserve"> </w:t>
      </w:r>
      <w:proofErr w:type="gramStart"/>
      <w:r w:rsidRPr="00952478">
        <w:rPr>
          <w:lang w:val="en-IE"/>
        </w:rPr>
        <w:t xml:space="preserve">Using antipsychotic agents in older </w:t>
      </w:r>
      <w:r>
        <w:rPr>
          <w:lang w:val="en-IE"/>
        </w:rPr>
        <w:t>patients.</w:t>
      </w:r>
      <w:proofErr w:type="gramEnd"/>
      <w:r>
        <w:rPr>
          <w:lang w:val="en-IE"/>
        </w:rPr>
        <w:t xml:space="preserve"> J Clin Psychiatry</w:t>
      </w:r>
      <w:r w:rsidRPr="00952478">
        <w:rPr>
          <w:lang w:val="en-IE"/>
        </w:rPr>
        <w:t xml:space="preserve"> 2004;</w:t>
      </w:r>
      <w:r>
        <w:rPr>
          <w:lang w:val="en-IE"/>
        </w:rPr>
        <w:t xml:space="preserve"> </w:t>
      </w:r>
      <w:r w:rsidRPr="00952478">
        <w:rPr>
          <w:lang w:val="en-IE"/>
        </w:rPr>
        <w:t>65 Suppl 2:5-99; discussion 100-102; quiz</w:t>
      </w:r>
      <w:r>
        <w:rPr>
          <w:lang w:val="en-IE"/>
        </w:rPr>
        <w:t xml:space="preserve"> </w:t>
      </w:r>
      <w:r w:rsidRPr="00952478">
        <w:rPr>
          <w:lang w:val="en-IE"/>
        </w:rPr>
        <w:t xml:space="preserve">103-4. </w:t>
      </w:r>
      <w:proofErr w:type="gramStart"/>
      <w:r w:rsidRPr="00952478">
        <w:rPr>
          <w:lang w:val="en-IE"/>
        </w:rPr>
        <w:t>Review.</w:t>
      </w:r>
      <w:proofErr w:type="gramEnd"/>
      <w:r w:rsidRPr="00952478">
        <w:rPr>
          <w:lang w:val="en-IE"/>
        </w:rPr>
        <w:t xml:space="preserve"> PubMed PMID: 14994733.</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spacing w:after="0" w:line="240" w:lineRule="auto"/>
        <w:rPr>
          <w:b/>
          <w:bCs/>
          <w:color w:val="333333"/>
          <w:lang w:eastAsia="en-IE"/>
        </w:rPr>
      </w:pPr>
      <w:r>
        <w:rPr>
          <w:b/>
          <w:bCs/>
          <w:color w:val="333333"/>
          <w:lang w:eastAsia="en-IE"/>
        </w:rPr>
        <w:t>D11</w:t>
      </w:r>
      <w:r w:rsidRPr="004A539B">
        <w:rPr>
          <w:b/>
          <w:bCs/>
          <w:color w:val="333333"/>
          <w:lang w:eastAsia="en-IE"/>
        </w:rPr>
        <w:t>. Acetylcholinesterase inhibitors with a known history of persistent bradycardia (&lt; 60 beats/min.), heart block or recurrent unexplained syncope or concurrent treatment with drugs that reduce heart rate such as beta-blockers, digoxin, diltiazem, verapamil (risk of cardiac conduction failure, syncope and injury).</w:t>
      </w:r>
    </w:p>
    <w:p w:rsidR="00851DC2" w:rsidRPr="004A539B" w:rsidRDefault="00851DC2" w:rsidP="00851DC2">
      <w:pPr>
        <w:spacing w:after="0" w:line="240" w:lineRule="auto"/>
        <w:rPr>
          <w:lang w:eastAsia="en-GB"/>
        </w:rPr>
      </w:pPr>
    </w:p>
    <w:p w:rsidR="00851DC2" w:rsidRPr="001C2010" w:rsidRDefault="00851DC2" w:rsidP="00851DC2">
      <w:pPr>
        <w:rPr>
          <w:lang w:val="en-IE"/>
        </w:rPr>
      </w:pPr>
      <w:r>
        <w:rPr>
          <w:lang w:eastAsia="en-GB"/>
        </w:rPr>
        <w:t>D11</w:t>
      </w:r>
      <w:r w:rsidRPr="004A539B">
        <w:rPr>
          <w:lang w:eastAsia="en-GB"/>
        </w:rPr>
        <w:t xml:space="preserve"> (i): </w:t>
      </w:r>
      <w:r w:rsidRPr="001C2010">
        <w:rPr>
          <w:lang w:val="en-IE"/>
        </w:rPr>
        <w:t>Salarbaks AM, Boomkamp-Snoeren CM, van Puijenbroek E, Jansen PA, van Marum RJ.</w:t>
      </w:r>
      <w:r>
        <w:rPr>
          <w:lang w:val="en-IE"/>
        </w:rPr>
        <w:t xml:space="preserve"> </w:t>
      </w:r>
      <w:r w:rsidRPr="001C2010">
        <w:rPr>
          <w:lang w:val="en-IE"/>
        </w:rPr>
        <w:t>[Cardiac effects of cholinesterase inhibitors: a reason for restraint?]. Tijdschr</w:t>
      </w:r>
      <w:r>
        <w:rPr>
          <w:lang w:val="en-IE"/>
        </w:rPr>
        <w:t xml:space="preserve"> Gerontol Geriatr 2009</w:t>
      </w:r>
      <w:r w:rsidRPr="001C2010">
        <w:rPr>
          <w:lang w:val="en-IE"/>
        </w:rPr>
        <w:t>;</w:t>
      </w:r>
      <w:r>
        <w:rPr>
          <w:lang w:val="en-IE"/>
        </w:rPr>
        <w:t xml:space="preserve"> </w:t>
      </w:r>
      <w:r w:rsidRPr="001C2010">
        <w:rPr>
          <w:lang w:val="en-IE"/>
        </w:rPr>
        <w:t>40(2):79-84. PubMed PMID: 19472574.</w:t>
      </w:r>
    </w:p>
    <w:p w:rsidR="00851DC2" w:rsidRPr="00805BBB" w:rsidRDefault="00851DC2" w:rsidP="00851DC2">
      <w:pPr>
        <w:rPr>
          <w:lang w:val="en-IE" w:eastAsia="en-GB"/>
        </w:rPr>
      </w:pPr>
      <w:r>
        <w:rPr>
          <w:lang w:eastAsia="en-GB"/>
        </w:rPr>
        <w:t>D11</w:t>
      </w:r>
      <w:r w:rsidRPr="004A539B">
        <w:rPr>
          <w:lang w:eastAsia="en-GB"/>
        </w:rPr>
        <w:t xml:space="preserve"> (ii): </w:t>
      </w:r>
      <w:hyperlink r:id="rId10" w:tooltip="Search for publications by this author" w:history="1">
        <w:r w:rsidRPr="004A539B">
          <w:rPr>
            <w:lang w:eastAsia="en-GB"/>
          </w:rPr>
          <w:t>Fisher A.A.</w:t>
        </w:r>
      </w:hyperlink>
      <w:r w:rsidRPr="004A539B">
        <w:rPr>
          <w:lang w:eastAsia="en-GB"/>
        </w:rPr>
        <w:t xml:space="preserve"> and </w:t>
      </w:r>
      <w:hyperlink r:id="rId11" w:tooltip="Search for publications by this author" w:history="1">
        <w:r w:rsidRPr="004A539B">
          <w:rPr>
            <w:lang w:eastAsia="en-GB"/>
          </w:rPr>
          <w:t>Davis M.W.</w:t>
        </w:r>
      </w:hyperlink>
      <w:r w:rsidRPr="004A539B">
        <w:rPr>
          <w:lang w:eastAsia="en-GB"/>
        </w:rPr>
        <w:t xml:space="preserve"> Prolonged QT interval, syncope, and delirium with galantamine An</w:t>
      </w:r>
      <w:r>
        <w:rPr>
          <w:lang w:eastAsia="en-GB"/>
        </w:rPr>
        <w:t>n Pharmacother 2008 42; 2: 278-283</w:t>
      </w:r>
      <w:r w:rsidRPr="004A539B">
        <w:rPr>
          <w:lang w:eastAsia="en-GB"/>
        </w:rPr>
        <w:t>.</w:t>
      </w:r>
      <w:r>
        <w:rPr>
          <w:lang w:eastAsia="en-GB"/>
        </w:rPr>
        <w:t xml:space="preserve"> </w:t>
      </w:r>
      <w:r w:rsidRPr="00805BBB">
        <w:rPr>
          <w:lang w:val="en-IE" w:eastAsia="en-GB"/>
        </w:rPr>
        <w:t>PubMed PMID: 18182475.</w:t>
      </w:r>
    </w:p>
    <w:p w:rsidR="00851DC2" w:rsidRPr="004A539B" w:rsidRDefault="00851DC2" w:rsidP="00851DC2">
      <w:pPr>
        <w:spacing w:after="0" w:line="240" w:lineRule="auto"/>
        <w:rPr>
          <w:lang w:eastAsia="en-GB"/>
        </w:rPr>
      </w:pPr>
      <w:r>
        <w:rPr>
          <w:lang w:eastAsia="en-GB"/>
        </w:rPr>
        <w:t>D11</w:t>
      </w:r>
      <w:r w:rsidRPr="004A539B">
        <w:rPr>
          <w:lang w:eastAsia="en-GB"/>
        </w:rPr>
        <w:t xml:space="preserve"> (iii): </w:t>
      </w:r>
      <w:hyperlink r:id="rId12" w:tooltip="Search for publications by this author" w:history="1">
        <w:r w:rsidRPr="004A539B">
          <w:rPr>
            <w:lang w:eastAsia="en-GB"/>
          </w:rPr>
          <w:t>Suleyman T.</w:t>
        </w:r>
      </w:hyperlink>
      <w:r w:rsidRPr="004A539B">
        <w:rPr>
          <w:lang w:eastAsia="en-GB"/>
        </w:rPr>
        <w:t xml:space="preserve">, </w:t>
      </w:r>
      <w:hyperlink r:id="rId13" w:tooltip="Search for publications by this author" w:history="1">
        <w:r w:rsidRPr="004A539B">
          <w:rPr>
            <w:lang w:eastAsia="en-GB"/>
          </w:rPr>
          <w:t>Tevfik P.</w:t>
        </w:r>
      </w:hyperlink>
      <w:r w:rsidRPr="004A539B">
        <w:rPr>
          <w:lang w:eastAsia="en-GB"/>
        </w:rPr>
        <w:t xml:space="preserve">, </w:t>
      </w:r>
      <w:hyperlink r:id="rId14" w:tooltip="Search for publications by this author" w:history="1">
        <w:r w:rsidRPr="004A539B">
          <w:rPr>
            <w:lang w:eastAsia="en-GB"/>
          </w:rPr>
          <w:t>Abdulkadir G.</w:t>
        </w:r>
      </w:hyperlink>
      <w:r w:rsidRPr="004A539B">
        <w:rPr>
          <w:lang w:eastAsia="en-GB"/>
        </w:rPr>
        <w:t xml:space="preserve"> and </w:t>
      </w:r>
      <w:hyperlink r:id="rId15" w:tooltip="Search for publications by this author" w:history="1">
        <w:r w:rsidRPr="004A539B">
          <w:rPr>
            <w:lang w:eastAsia="en-GB"/>
          </w:rPr>
          <w:t>Ozlem S.</w:t>
        </w:r>
      </w:hyperlink>
      <w:r w:rsidRPr="004A539B">
        <w:rPr>
          <w:lang w:eastAsia="en-GB"/>
        </w:rPr>
        <w:t xml:space="preserve"> Complete atrioventricular block and ventricular tachyarrhythmia associated with donepezil</w:t>
      </w:r>
      <w:r w:rsidRPr="004A539B">
        <w:rPr>
          <w:b/>
          <w:bCs/>
          <w:lang w:eastAsia="en-GB"/>
        </w:rPr>
        <w:t xml:space="preserve">. </w:t>
      </w:r>
      <w:r>
        <w:rPr>
          <w:lang w:eastAsia="en-GB"/>
        </w:rPr>
        <w:t>Emerg Med J 2006; 23(8): 641-2</w:t>
      </w:r>
      <w:r w:rsidRPr="004A539B">
        <w:rPr>
          <w:lang w:eastAsia="en-GB"/>
        </w:rPr>
        <w:t>.</w:t>
      </w:r>
      <w:r>
        <w:rPr>
          <w:lang w:eastAsia="en-GB"/>
        </w:rPr>
        <w:t xml:space="preserve"> </w:t>
      </w:r>
      <w:r w:rsidRPr="0023173D">
        <w:rPr>
          <w:lang w:eastAsia="en-GB"/>
        </w:rPr>
        <w:t>PubMed PMID: 16858101</w:t>
      </w:r>
      <w:r>
        <w:rPr>
          <w:lang w:eastAsia="en-GB"/>
        </w:rPr>
        <w:t>.</w:t>
      </w:r>
    </w:p>
    <w:p w:rsidR="00851DC2" w:rsidRPr="004A539B" w:rsidRDefault="00851DC2" w:rsidP="00851DC2">
      <w:pPr>
        <w:spacing w:after="0" w:line="240" w:lineRule="auto"/>
        <w:rPr>
          <w:lang w:eastAsia="en-GB"/>
        </w:rPr>
      </w:pPr>
    </w:p>
    <w:p w:rsidR="00851DC2" w:rsidRPr="0023173D" w:rsidRDefault="00851DC2" w:rsidP="00851DC2">
      <w:pPr>
        <w:rPr>
          <w:lang w:val="en-IE" w:eastAsia="en-GB"/>
        </w:rPr>
      </w:pPr>
      <w:r>
        <w:rPr>
          <w:lang w:eastAsia="en-GB"/>
        </w:rPr>
        <w:t>D11</w:t>
      </w:r>
      <w:r w:rsidRPr="004A539B">
        <w:rPr>
          <w:lang w:eastAsia="en-GB"/>
        </w:rPr>
        <w:t xml:space="preserve"> (iv): </w:t>
      </w:r>
      <w:hyperlink r:id="rId16" w:tooltip="Search for publications by this author" w:history="1">
        <w:r w:rsidRPr="004A539B">
          <w:rPr>
            <w:lang w:eastAsia="en-GB"/>
          </w:rPr>
          <w:t>Bordier P.</w:t>
        </w:r>
      </w:hyperlink>
      <w:r w:rsidRPr="004A539B">
        <w:rPr>
          <w:lang w:eastAsia="en-GB"/>
        </w:rPr>
        <w:t xml:space="preserve">, </w:t>
      </w:r>
      <w:hyperlink r:id="rId17" w:tooltip="Search for publications by this author" w:history="1">
        <w:r w:rsidRPr="004A539B">
          <w:rPr>
            <w:lang w:eastAsia="en-GB"/>
          </w:rPr>
          <w:t>Lanusse S.</w:t>
        </w:r>
      </w:hyperlink>
      <w:r w:rsidRPr="004A539B">
        <w:rPr>
          <w:lang w:eastAsia="en-GB"/>
        </w:rPr>
        <w:t xml:space="preserve">, </w:t>
      </w:r>
      <w:hyperlink r:id="rId18" w:tooltip="Search for publications by this author" w:history="1">
        <w:r w:rsidRPr="004A539B">
          <w:rPr>
            <w:lang w:eastAsia="en-GB"/>
          </w:rPr>
          <w:t>Garrigue S.</w:t>
        </w:r>
      </w:hyperlink>
      <w:r w:rsidRPr="004A539B">
        <w:rPr>
          <w:lang w:eastAsia="en-GB"/>
        </w:rPr>
        <w:t xml:space="preserve">, </w:t>
      </w:r>
      <w:hyperlink r:id="rId19" w:tooltip="Search for publications by this author" w:history="1">
        <w:r w:rsidRPr="004A539B">
          <w:rPr>
            <w:lang w:eastAsia="en-GB"/>
          </w:rPr>
          <w:t>Reynard C.</w:t>
        </w:r>
      </w:hyperlink>
      <w:r w:rsidRPr="004A539B">
        <w:rPr>
          <w:lang w:eastAsia="en-GB"/>
        </w:rPr>
        <w:t xml:space="preserve">, </w:t>
      </w:r>
      <w:hyperlink r:id="rId20" w:tooltip="Search for publications by this author" w:history="1">
        <w:r w:rsidRPr="004A539B">
          <w:rPr>
            <w:lang w:eastAsia="en-GB"/>
          </w:rPr>
          <w:t>Robert F.</w:t>
        </w:r>
      </w:hyperlink>
      <w:r w:rsidRPr="004A539B">
        <w:rPr>
          <w:lang w:eastAsia="en-GB"/>
        </w:rPr>
        <w:t xml:space="preserve">, </w:t>
      </w:r>
      <w:hyperlink r:id="rId21" w:tooltip="Search for publications by this author" w:history="1">
        <w:r w:rsidRPr="004A539B">
          <w:rPr>
            <w:lang w:eastAsia="en-GB"/>
          </w:rPr>
          <w:t>Gencel L.</w:t>
        </w:r>
      </w:hyperlink>
      <w:r w:rsidRPr="004A539B">
        <w:rPr>
          <w:lang w:eastAsia="en-GB"/>
        </w:rPr>
        <w:t xml:space="preserve"> and </w:t>
      </w:r>
      <w:hyperlink r:id="rId22" w:tooltip="Search for publications by this author" w:history="1">
        <w:r w:rsidRPr="004A539B">
          <w:rPr>
            <w:lang w:eastAsia="en-GB"/>
          </w:rPr>
          <w:t>Lafitte A.</w:t>
        </w:r>
      </w:hyperlink>
      <w:r w:rsidRPr="004A539B">
        <w:rPr>
          <w:lang w:eastAsia="en-GB"/>
        </w:rPr>
        <w:t xml:space="preserve"> Causes of syncope in patients with Alzheimer's disease t</w:t>
      </w:r>
      <w:r>
        <w:rPr>
          <w:lang w:eastAsia="en-GB"/>
        </w:rPr>
        <w:t>reated with donepezil.  Drugs Aging</w:t>
      </w:r>
      <w:proofErr w:type="gramStart"/>
      <w:r>
        <w:rPr>
          <w:lang w:eastAsia="en-GB"/>
        </w:rPr>
        <w:t>  2005</w:t>
      </w:r>
      <w:proofErr w:type="gramEnd"/>
      <w:r>
        <w:rPr>
          <w:lang w:eastAsia="en-GB"/>
        </w:rPr>
        <w:t>;  22(8): 687-694</w:t>
      </w:r>
      <w:r w:rsidRPr="004A539B">
        <w:rPr>
          <w:lang w:eastAsia="en-GB"/>
        </w:rPr>
        <w:t>.</w:t>
      </w:r>
      <w:r>
        <w:rPr>
          <w:lang w:eastAsia="en-GB"/>
        </w:rPr>
        <w:t xml:space="preserve"> </w:t>
      </w:r>
      <w:r w:rsidRPr="0023173D">
        <w:rPr>
          <w:lang w:val="en-IE" w:eastAsia="en-GB"/>
        </w:rPr>
        <w:t>PubMed PMID: 16060718.</w:t>
      </w:r>
    </w:p>
    <w:p w:rsidR="00851DC2" w:rsidRPr="004A539B" w:rsidRDefault="00851DC2" w:rsidP="00851DC2">
      <w:pPr>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spacing w:after="0" w:line="240" w:lineRule="auto"/>
        <w:rPr>
          <w:b/>
          <w:bCs/>
          <w:color w:val="333333"/>
          <w:lang w:eastAsia="en-IE"/>
        </w:rPr>
      </w:pPr>
      <w:r>
        <w:rPr>
          <w:b/>
          <w:bCs/>
          <w:color w:val="333333"/>
          <w:lang w:eastAsia="en-IE"/>
        </w:rPr>
        <w:t>D12</w:t>
      </w:r>
      <w:r w:rsidRPr="004A539B">
        <w:rPr>
          <w:b/>
          <w:bCs/>
          <w:color w:val="333333"/>
          <w:lang w:eastAsia="en-IE"/>
        </w:rPr>
        <w:t>. Phenothiazines as  first-line treatment, since safer and more efficacious alternatives exist (phenothiazines are sedative, have significant anti-muscarinic toxicity in older people, with the exception of prochlorperazine for nausea/vomiting/vertigo, chlorpromazine for relief of persistent hiccoughs and levomepromazine as an anti-emetic in  palliative care).</w:t>
      </w:r>
    </w:p>
    <w:p w:rsidR="00851DC2" w:rsidRPr="004A539B" w:rsidRDefault="00851DC2" w:rsidP="00851DC2">
      <w:pPr>
        <w:spacing w:after="0" w:line="240" w:lineRule="auto"/>
        <w:rPr>
          <w:b/>
          <w:bCs/>
          <w:color w:val="333333"/>
          <w:lang w:eastAsia="en-IE"/>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D12 </w:t>
      </w:r>
      <w:r w:rsidRPr="004A539B">
        <w:rPr>
          <w:lang w:eastAsia="en-GB"/>
        </w:rPr>
        <w:t>(i): Chahine L.M., Acar D., Chemali Z. </w:t>
      </w:r>
      <w:hyperlink r:id="rId23" w:history="1">
        <w:r w:rsidRPr="004A539B">
          <w:rPr>
            <w:lang w:eastAsia="en-GB"/>
          </w:rPr>
          <w:t>The elderly safety imperative and antipsychotic usage</w:t>
        </w:r>
      </w:hyperlink>
      <w:r w:rsidRPr="004A539B">
        <w:rPr>
          <w:lang w:eastAsia="en-GB"/>
        </w:rPr>
        <w:t>. Harvard Review of</w:t>
      </w:r>
      <w:r>
        <w:rPr>
          <w:lang w:eastAsia="en-GB"/>
        </w:rPr>
        <w:t xml:space="preserve"> Psychiatry 2010; 18(3): 158-72</w:t>
      </w:r>
      <w:r w:rsidRPr="004A539B">
        <w:rPr>
          <w:lang w:eastAsia="en-GB"/>
        </w:rPr>
        <w:t>.</w:t>
      </w:r>
      <w:r>
        <w:rPr>
          <w:lang w:eastAsia="en-GB"/>
        </w:rPr>
        <w:t xml:space="preserve"> </w:t>
      </w:r>
      <w:r w:rsidRPr="007056DB">
        <w:rPr>
          <w:lang w:eastAsia="en-GB"/>
        </w:rPr>
        <w:t>PubMed PMID: 20415632.</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D12 </w:t>
      </w:r>
      <w:r w:rsidRPr="004A539B">
        <w:rPr>
          <w:lang w:eastAsia="en-GB"/>
        </w:rPr>
        <w:t>(ii): Love R.C. </w:t>
      </w:r>
      <w:hyperlink r:id="rId24" w:history="1">
        <w:r w:rsidRPr="004A539B">
          <w:rPr>
            <w:lang w:eastAsia="en-GB"/>
          </w:rPr>
          <w:t>The differential pharmacology of atypical antipsychotics: Impact on patients with comorbid conditions</w:t>
        </w:r>
      </w:hyperlink>
      <w:r>
        <w:rPr>
          <w:lang w:eastAsia="en-GB"/>
        </w:rPr>
        <w:t>. Consult Pharm 2006; 21; SUPPL. B: 11-18</w:t>
      </w:r>
      <w:r w:rsidRPr="004A539B">
        <w:rPr>
          <w:lang w:eastAsia="en-GB"/>
        </w:rPr>
        <w:t>.</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333333"/>
          <w:lang w:eastAsia="en-IE"/>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Pr>
          <w:b/>
          <w:bCs/>
          <w:color w:val="333333"/>
          <w:lang w:eastAsia="en-IE"/>
        </w:rPr>
        <w:t>D13</w:t>
      </w:r>
      <w:r w:rsidRPr="004A539B">
        <w:rPr>
          <w:b/>
          <w:bCs/>
          <w:color w:val="333333"/>
          <w:lang w:eastAsia="en-IE"/>
        </w:rPr>
        <w:t>. Levodopa or dopamine agonists for benign essential tremor (no evidence of efficacy)</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D13 </w:t>
      </w:r>
      <w:r w:rsidRPr="004A539B">
        <w:rPr>
          <w:lang w:eastAsia="en-GB"/>
        </w:rPr>
        <w:t xml:space="preserve">(i): Zesiewicz TA, Elble RJ, Louis ED, Gronseth GS, Ondo WG, Dewey RB Jr, Okun MS, Sullivan KL, Weiner WJ. </w:t>
      </w:r>
      <w:proofErr w:type="gramStart"/>
      <w:r w:rsidRPr="004A539B">
        <w:rPr>
          <w:lang w:eastAsia="en-GB"/>
        </w:rPr>
        <w:t xml:space="preserve">Evidence-based guideline update- treatment of essential tremor-report of the Quality Standards subcommittee of the American </w:t>
      </w:r>
      <w:r>
        <w:rPr>
          <w:lang w:eastAsia="en-GB"/>
        </w:rPr>
        <w:t>Academy of Neurology.</w:t>
      </w:r>
      <w:proofErr w:type="gramEnd"/>
      <w:r>
        <w:rPr>
          <w:lang w:eastAsia="en-GB"/>
        </w:rPr>
        <w:t xml:space="preserve"> Neurology 2011</w:t>
      </w:r>
      <w:r w:rsidRPr="004A539B">
        <w:rPr>
          <w:lang w:eastAsia="en-GB"/>
        </w:rPr>
        <w:t>;</w:t>
      </w:r>
      <w:r>
        <w:rPr>
          <w:lang w:eastAsia="en-GB"/>
        </w:rPr>
        <w:t xml:space="preserve"> </w:t>
      </w:r>
      <w:r w:rsidRPr="004A539B">
        <w:rPr>
          <w:lang w:eastAsia="en-GB"/>
        </w:rPr>
        <w:t xml:space="preserve">77(19):1752-5. </w:t>
      </w:r>
      <w:proofErr w:type="gramStart"/>
      <w:r w:rsidRPr="004A539B">
        <w:rPr>
          <w:lang w:eastAsia="en-GB"/>
        </w:rPr>
        <w:t>Review.</w:t>
      </w:r>
      <w:proofErr w:type="gramEnd"/>
      <w:r w:rsidRPr="004A539B">
        <w:rPr>
          <w:lang w:eastAsia="en-GB"/>
        </w:rPr>
        <w:t xml:space="preserve"> PubMed PMID: 22013182</w:t>
      </w:r>
      <w:r>
        <w:rPr>
          <w:lang w:eastAsia="en-GB"/>
        </w:rPr>
        <w:t>.</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D13 </w:t>
      </w:r>
      <w:r w:rsidRPr="004A539B">
        <w:rPr>
          <w:lang w:eastAsia="en-GB"/>
        </w:rPr>
        <w:t>(ii): Deuschl G, Raethjen J, Hellriegel H, Elble R. Treatment of patients with</w:t>
      </w:r>
      <w:r>
        <w:rPr>
          <w:lang w:eastAsia="en-GB"/>
        </w:rPr>
        <w:t xml:space="preserve"> essential tremor. Lancet Neurol 2011</w:t>
      </w:r>
      <w:r w:rsidRPr="004A539B">
        <w:rPr>
          <w:lang w:eastAsia="en-GB"/>
        </w:rPr>
        <w:t>;</w:t>
      </w:r>
      <w:r>
        <w:rPr>
          <w:lang w:eastAsia="en-GB"/>
        </w:rPr>
        <w:t xml:space="preserve"> </w:t>
      </w:r>
      <w:r w:rsidRPr="004A539B">
        <w:rPr>
          <w:lang w:eastAsia="en-GB"/>
        </w:rPr>
        <w:t>10(2):</w:t>
      </w:r>
      <w:r>
        <w:rPr>
          <w:lang w:eastAsia="en-GB"/>
        </w:rPr>
        <w:t xml:space="preserve"> </w:t>
      </w:r>
      <w:r w:rsidRPr="004A539B">
        <w:rPr>
          <w:lang w:eastAsia="en-GB"/>
        </w:rPr>
        <w:t xml:space="preserve">148-61. </w:t>
      </w:r>
      <w:proofErr w:type="gramStart"/>
      <w:r w:rsidRPr="004A539B">
        <w:rPr>
          <w:lang w:eastAsia="en-GB"/>
        </w:rPr>
        <w:t>Review.</w:t>
      </w:r>
      <w:proofErr w:type="gramEnd"/>
      <w:r w:rsidRPr="004A539B">
        <w:rPr>
          <w:lang w:eastAsia="en-GB"/>
        </w:rPr>
        <w:t xml:space="preserve"> PubMed PMID</w:t>
      </w:r>
      <w:proofErr w:type="gramStart"/>
      <w:r w:rsidRPr="004A539B">
        <w:rPr>
          <w:lang w:eastAsia="en-GB"/>
        </w:rPr>
        <w:t>:21256454</w:t>
      </w:r>
      <w:proofErr w:type="gramEnd"/>
      <w:r w:rsidRPr="004A539B">
        <w:rPr>
          <w:lang w:eastAsia="en-GB"/>
        </w:rPr>
        <w:t>.</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spacing w:after="0" w:line="240" w:lineRule="auto"/>
        <w:rPr>
          <w:b/>
          <w:bCs/>
          <w:color w:val="333333"/>
          <w:lang w:eastAsia="en-IE"/>
        </w:rPr>
      </w:pPr>
    </w:p>
    <w:p w:rsidR="00851DC2" w:rsidRPr="004A539B" w:rsidRDefault="00851DC2" w:rsidP="00851DC2">
      <w:pPr>
        <w:spacing w:after="0" w:line="240" w:lineRule="auto"/>
        <w:rPr>
          <w:b/>
          <w:bCs/>
          <w:color w:val="333333"/>
          <w:lang w:eastAsia="en-IE"/>
        </w:rPr>
      </w:pPr>
      <w:r>
        <w:rPr>
          <w:b/>
          <w:bCs/>
          <w:color w:val="333333"/>
          <w:lang w:eastAsia="en-IE"/>
        </w:rPr>
        <w:t>D14</w:t>
      </w:r>
      <w:r w:rsidRPr="004A539B">
        <w:rPr>
          <w:b/>
          <w:bCs/>
          <w:color w:val="333333"/>
          <w:lang w:eastAsia="en-IE"/>
        </w:rPr>
        <w:t xml:space="preserve">. </w:t>
      </w:r>
      <w:proofErr w:type="gramStart"/>
      <w:r w:rsidRPr="004A539B">
        <w:rPr>
          <w:b/>
          <w:bCs/>
          <w:color w:val="333333"/>
          <w:lang w:eastAsia="en-IE"/>
        </w:rPr>
        <w:t>First-generation antihistamines (safer, less toxic antihistamines now widely available).</w:t>
      </w:r>
      <w:proofErr w:type="gramEnd"/>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D14 </w:t>
      </w:r>
      <w:r w:rsidRPr="004A539B">
        <w:rPr>
          <w:lang w:eastAsia="en-GB"/>
        </w:rPr>
        <w:t>(i): Hansen J, Klimek L, Hörmann K. Pharmacological management of allergic rhinitis in the elderly-safety issues with o</w:t>
      </w:r>
      <w:r>
        <w:rPr>
          <w:lang w:eastAsia="en-GB"/>
        </w:rPr>
        <w:t xml:space="preserve">ral antihistamines. Drugs Aging </w:t>
      </w:r>
      <w:r w:rsidRPr="004A539B">
        <w:rPr>
          <w:lang w:eastAsia="en-GB"/>
        </w:rPr>
        <w:t>2005;</w:t>
      </w:r>
      <w:r>
        <w:rPr>
          <w:lang w:eastAsia="en-GB"/>
        </w:rPr>
        <w:t xml:space="preserve"> </w:t>
      </w:r>
      <w:r w:rsidRPr="004A539B">
        <w:rPr>
          <w:lang w:eastAsia="en-GB"/>
        </w:rPr>
        <w:t>22(4):</w:t>
      </w:r>
      <w:r>
        <w:rPr>
          <w:lang w:eastAsia="en-GB"/>
        </w:rPr>
        <w:t xml:space="preserve"> </w:t>
      </w:r>
      <w:r w:rsidRPr="004A539B">
        <w:rPr>
          <w:lang w:eastAsia="en-GB"/>
        </w:rPr>
        <w:t xml:space="preserve">289-96. </w:t>
      </w:r>
      <w:proofErr w:type="gramStart"/>
      <w:r w:rsidRPr="004A539B">
        <w:rPr>
          <w:lang w:eastAsia="en-GB"/>
        </w:rPr>
        <w:t>Review.</w:t>
      </w:r>
      <w:proofErr w:type="gramEnd"/>
      <w:r w:rsidRPr="004A539B">
        <w:rPr>
          <w:lang w:eastAsia="en-GB"/>
        </w:rPr>
        <w:t xml:space="preserve"> PubMed PMID: 15839718.</w:t>
      </w: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4A539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D14 </w:t>
      </w:r>
      <w:r w:rsidRPr="004A539B">
        <w:rPr>
          <w:lang w:eastAsia="en-GB"/>
        </w:rPr>
        <w:t>(ii): Slavin RG. Special considerations in treatment of allergic rhinitis in the elderly: role of intranasal corti</w:t>
      </w:r>
      <w:r>
        <w:rPr>
          <w:lang w:eastAsia="en-GB"/>
        </w:rPr>
        <w:t>costeroids. Allergy Asthma Proc</w:t>
      </w:r>
      <w:r w:rsidRPr="004A539B">
        <w:rPr>
          <w:lang w:eastAsia="en-GB"/>
        </w:rPr>
        <w:t xml:space="preserve"> 2010</w:t>
      </w:r>
      <w:r>
        <w:rPr>
          <w:lang w:eastAsia="en-GB"/>
        </w:rPr>
        <w:t xml:space="preserve">; </w:t>
      </w:r>
      <w:r w:rsidRPr="004A539B">
        <w:rPr>
          <w:lang w:eastAsia="en-GB"/>
        </w:rPr>
        <w:t>31(3):</w:t>
      </w:r>
      <w:r>
        <w:rPr>
          <w:lang w:eastAsia="en-GB"/>
        </w:rPr>
        <w:t xml:space="preserve"> </w:t>
      </w:r>
      <w:r w:rsidRPr="004A539B">
        <w:rPr>
          <w:lang w:eastAsia="en-GB"/>
        </w:rPr>
        <w:t xml:space="preserve">179-84. </w:t>
      </w:r>
      <w:proofErr w:type="gramStart"/>
      <w:r w:rsidRPr="004A539B">
        <w:rPr>
          <w:lang w:eastAsia="en-GB"/>
        </w:rPr>
        <w:t>Review.</w:t>
      </w:r>
      <w:proofErr w:type="gramEnd"/>
      <w:r w:rsidRPr="004A539B">
        <w:rPr>
          <w:lang w:eastAsia="en-GB"/>
        </w:rPr>
        <w:t xml:space="preserve"> PubMed PMID: 20615319.</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A0D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proofErr w:type="gramStart"/>
      <w:r>
        <w:rPr>
          <w:b/>
          <w:bCs/>
          <w:sz w:val="28"/>
          <w:szCs w:val="28"/>
          <w:lang w:eastAsia="en-GB"/>
        </w:rPr>
        <w:t>Section E. Renal S</w:t>
      </w:r>
      <w:r w:rsidRPr="0002790F">
        <w:rPr>
          <w:b/>
          <w:bCs/>
          <w:sz w:val="28"/>
          <w:szCs w:val="28"/>
          <w:lang w:eastAsia="en-GB"/>
        </w:rPr>
        <w:t>ystem</w:t>
      </w:r>
      <w:r>
        <w:rPr>
          <w:b/>
          <w:bCs/>
          <w:sz w:val="28"/>
          <w:szCs w:val="28"/>
          <w:lang w:eastAsia="en-GB"/>
        </w:rPr>
        <w:t xml:space="preserve"> criteria</w:t>
      </w:r>
      <w:r w:rsidRPr="0002790F">
        <w:rPr>
          <w:b/>
          <w:bCs/>
          <w:sz w:val="28"/>
          <w:szCs w:val="28"/>
          <w:lang w:eastAsia="en-GB"/>
        </w:rPr>
        <w:t>.</w:t>
      </w:r>
      <w:proofErr w:type="gramEnd"/>
    </w:p>
    <w:p w:rsidR="00851DC2" w:rsidRPr="005D2A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u w:val="single"/>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02790F">
        <w:rPr>
          <w:b/>
          <w:bCs/>
          <w:lang w:eastAsia="en-GB"/>
        </w:rPr>
        <w:t>E1. Digoxin at a long-term dose greater than 125µg/day if eGFR &lt; 30 ml/min/</w:t>
      </w:r>
      <w:proofErr w:type="gramStart"/>
      <w:r w:rsidRPr="0002790F">
        <w:rPr>
          <w:b/>
          <w:bCs/>
          <w:lang w:eastAsia="en-GB"/>
        </w:rPr>
        <w:t>1.73m2  (</w:t>
      </w:r>
      <w:proofErr w:type="gramEnd"/>
      <w:r w:rsidRPr="0002790F">
        <w:rPr>
          <w:b/>
          <w:bCs/>
          <w:lang w:eastAsia="en-GB"/>
        </w:rPr>
        <w:t>risk of digoxin toxicity if plasma levels not measured).</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02790F">
        <w:rPr>
          <w:lang w:eastAsia="en-GB"/>
        </w:rPr>
        <w:t>E1</w:t>
      </w:r>
      <w:r>
        <w:rPr>
          <w:lang w:eastAsia="en-GB"/>
        </w:rPr>
        <w:t xml:space="preserve"> </w:t>
      </w:r>
      <w:r w:rsidRPr="0002790F">
        <w:rPr>
          <w:lang w:eastAsia="en-GB"/>
        </w:rPr>
        <w:t>(i): Ahmed A. Digoxin and reduction in mortality a</w:t>
      </w:r>
      <w:r>
        <w:rPr>
          <w:lang w:eastAsia="en-GB"/>
        </w:rPr>
        <w:t xml:space="preserve">nd hospitalization in geriatric </w:t>
      </w:r>
      <w:r w:rsidRPr="0002790F">
        <w:rPr>
          <w:lang w:eastAsia="en-GB"/>
        </w:rPr>
        <w:t>heart failure: importance of low doses and low ser</w:t>
      </w:r>
      <w:r>
        <w:rPr>
          <w:lang w:eastAsia="en-GB"/>
        </w:rPr>
        <w:t>um concentrations. J Gerontol A Biol Sci Med Sci. 2007</w:t>
      </w:r>
      <w:r w:rsidRPr="0002790F">
        <w:rPr>
          <w:lang w:eastAsia="en-GB"/>
        </w:rPr>
        <w:t>;</w:t>
      </w:r>
      <w:r>
        <w:rPr>
          <w:lang w:eastAsia="en-GB"/>
        </w:rPr>
        <w:t xml:space="preserve"> </w:t>
      </w:r>
      <w:r w:rsidRPr="0002790F">
        <w:rPr>
          <w:lang w:eastAsia="en-GB"/>
        </w:rPr>
        <w:t>62(3):</w:t>
      </w:r>
      <w:r>
        <w:rPr>
          <w:lang w:eastAsia="en-GB"/>
        </w:rPr>
        <w:t xml:space="preserve"> </w:t>
      </w:r>
      <w:r w:rsidRPr="0002790F">
        <w:rPr>
          <w:lang w:eastAsia="en-GB"/>
        </w:rPr>
        <w:t>323-9. PubMed PMID: 17389731</w:t>
      </w:r>
      <w:r>
        <w:rPr>
          <w:lang w:eastAsia="en-GB"/>
        </w:rPr>
        <w:t>.</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02790F">
        <w:rPr>
          <w:lang w:eastAsia="en-GB"/>
        </w:rPr>
        <w:t>E1</w:t>
      </w:r>
      <w:r>
        <w:rPr>
          <w:lang w:eastAsia="en-GB"/>
        </w:rPr>
        <w:t xml:space="preserve"> </w:t>
      </w:r>
      <w:r w:rsidRPr="0002790F">
        <w:rPr>
          <w:lang w:eastAsia="en-GB"/>
        </w:rPr>
        <w:t xml:space="preserve">(ii): Podrazik PM, Schwartz JB. </w:t>
      </w:r>
      <w:proofErr w:type="gramStart"/>
      <w:r w:rsidRPr="0002790F">
        <w:rPr>
          <w:lang w:eastAsia="en-GB"/>
        </w:rPr>
        <w:t>Cardiovascular pharm</w:t>
      </w:r>
      <w:r>
        <w:rPr>
          <w:lang w:eastAsia="en-GB"/>
        </w:rPr>
        <w:t>acology of aging.</w:t>
      </w:r>
      <w:proofErr w:type="gramEnd"/>
      <w:r>
        <w:rPr>
          <w:lang w:eastAsia="en-GB"/>
        </w:rPr>
        <w:t xml:space="preserve"> Cardiol Clin 1999</w:t>
      </w:r>
      <w:r w:rsidRPr="0002790F">
        <w:rPr>
          <w:lang w:eastAsia="en-GB"/>
        </w:rPr>
        <w:t>;</w:t>
      </w:r>
      <w:r>
        <w:rPr>
          <w:lang w:eastAsia="en-GB"/>
        </w:rPr>
        <w:t xml:space="preserve"> </w:t>
      </w:r>
      <w:r w:rsidRPr="0002790F">
        <w:rPr>
          <w:lang w:eastAsia="en-GB"/>
        </w:rPr>
        <w:t>17(1):</w:t>
      </w:r>
      <w:r>
        <w:rPr>
          <w:lang w:eastAsia="en-GB"/>
        </w:rPr>
        <w:t xml:space="preserve"> </w:t>
      </w:r>
      <w:r w:rsidRPr="0002790F">
        <w:rPr>
          <w:lang w:eastAsia="en-GB"/>
        </w:rPr>
        <w:t xml:space="preserve">17-34. </w:t>
      </w:r>
      <w:proofErr w:type="gramStart"/>
      <w:r w:rsidRPr="0002790F">
        <w:rPr>
          <w:lang w:eastAsia="en-GB"/>
        </w:rPr>
        <w:t>Review.</w:t>
      </w:r>
      <w:proofErr w:type="gramEnd"/>
      <w:r w:rsidRPr="0002790F">
        <w:rPr>
          <w:lang w:eastAsia="en-GB"/>
        </w:rPr>
        <w:t xml:space="preserve"> PubMed PMID: 10093763.</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02790F">
        <w:rPr>
          <w:b/>
          <w:bCs/>
          <w:lang w:eastAsia="en-GB"/>
        </w:rPr>
        <w:t>E2. Direct thrombin inhibitors (</w:t>
      </w:r>
      <w:r>
        <w:rPr>
          <w:b/>
          <w:bCs/>
          <w:lang w:eastAsia="en-GB"/>
        </w:rPr>
        <w:t xml:space="preserve">e.g. </w:t>
      </w:r>
      <w:r w:rsidRPr="0002790F">
        <w:rPr>
          <w:b/>
          <w:bCs/>
          <w:lang w:eastAsia="en-GB"/>
        </w:rPr>
        <w:t>dabigatran) if eGFR &lt; 30 ml/min/1.73m2 (risk of bleeding)</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02790F">
        <w:rPr>
          <w:lang w:eastAsia="en-GB"/>
        </w:rPr>
        <w:t>E2(</w:t>
      </w:r>
      <w:proofErr w:type="gramEnd"/>
      <w:r w:rsidRPr="0002790F">
        <w:rPr>
          <w:lang w:eastAsia="en-GB"/>
        </w:rPr>
        <w:t>i): Hariharan S, Madabushi R. Clinical pharmacology basis of deriving dosing</w:t>
      </w:r>
      <w:r>
        <w:rPr>
          <w:lang w:eastAsia="en-GB"/>
        </w:rPr>
        <w:t xml:space="preserve"> </w:t>
      </w:r>
      <w:r w:rsidRPr="0002790F">
        <w:rPr>
          <w:lang w:eastAsia="en-GB"/>
        </w:rPr>
        <w:t>recommendations for dabigatran in patients with severe re</w:t>
      </w:r>
      <w:r>
        <w:rPr>
          <w:lang w:eastAsia="en-GB"/>
        </w:rPr>
        <w:t>nal impairment. J ClinPharmacol 2012</w:t>
      </w:r>
      <w:r w:rsidRPr="0002790F">
        <w:rPr>
          <w:lang w:eastAsia="en-GB"/>
        </w:rPr>
        <w:t>;</w:t>
      </w:r>
      <w:r>
        <w:rPr>
          <w:lang w:eastAsia="en-GB"/>
        </w:rPr>
        <w:t xml:space="preserve"> </w:t>
      </w:r>
      <w:r w:rsidRPr="0002790F">
        <w:rPr>
          <w:lang w:eastAsia="en-GB"/>
        </w:rPr>
        <w:t>52(1 Suppl):119S-25S. PubMed PMID:</w:t>
      </w:r>
      <w:r>
        <w:rPr>
          <w:lang w:eastAsia="en-GB"/>
        </w:rPr>
        <w:t xml:space="preserve"> </w:t>
      </w:r>
      <w:r w:rsidRPr="0002790F">
        <w:rPr>
          <w:lang w:eastAsia="en-GB"/>
        </w:rPr>
        <w:t>21956605.</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02790F">
        <w:rPr>
          <w:lang w:eastAsia="en-GB"/>
        </w:rPr>
        <w:t>E2(</w:t>
      </w:r>
      <w:proofErr w:type="gramEnd"/>
      <w:r w:rsidRPr="0002790F">
        <w:rPr>
          <w:lang w:eastAsia="en-GB"/>
        </w:rPr>
        <w:t>ii): Samama MM. Use of low-molecular-weight heparins and new anticoagulants in</w:t>
      </w:r>
      <w:r>
        <w:rPr>
          <w:lang w:eastAsia="en-GB"/>
        </w:rPr>
        <w:t xml:space="preserve"> </w:t>
      </w:r>
      <w:r w:rsidRPr="0002790F">
        <w:rPr>
          <w:lang w:eastAsia="en-GB"/>
        </w:rPr>
        <w:t>elderly patients wit</w:t>
      </w:r>
      <w:r>
        <w:rPr>
          <w:lang w:eastAsia="en-GB"/>
        </w:rPr>
        <w:t>h renal impairment. Drugs Aging 2011</w:t>
      </w:r>
      <w:r w:rsidRPr="0002790F">
        <w:rPr>
          <w:lang w:eastAsia="en-GB"/>
        </w:rPr>
        <w:t>;</w:t>
      </w:r>
      <w:r>
        <w:rPr>
          <w:lang w:eastAsia="en-GB"/>
        </w:rPr>
        <w:t xml:space="preserve"> </w:t>
      </w:r>
      <w:r w:rsidRPr="0002790F">
        <w:rPr>
          <w:lang w:eastAsia="en-GB"/>
        </w:rPr>
        <w:t>28(3):</w:t>
      </w:r>
      <w:r>
        <w:rPr>
          <w:lang w:eastAsia="en-GB"/>
        </w:rPr>
        <w:t xml:space="preserve"> </w:t>
      </w:r>
      <w:r w:rsidRPr="0002790F">
        <w:rPr>
          <w:lang w:eastAsia="en-GB"/>
        </w:rPr>
        <w:t>177-93.PubMed PMID: 21329400.</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02790F">
        <w:rPr>
          <w:b/>
          <w:bCs/>
          <w:lang w:eastAsia="en-GB"/>
        </w:rPr>
        <w:t>E3. Factor Xa inhibitors (</w:t>
      </w:r>
      <w:r>
        <w:rPr>
          <w:b/>
          <w:bCs/>
          <w:lang w:eastAsia="en-GB"/>
        </w:rPr>
        <w:t xml:space="preserve">e.g. </w:t>
      </w:r>
      <w:r w:rsidRPr="0002790F">
        <w:rPr>
          <w:b/>
          <w:bCs/>
          <w:lang w:eastAsia="en-GB"/>
        </w:rPr>
        <w:t>rivaroxaban</w:t>
      </w:r>
      <w:r>
        <w:rPr>
          <w:b/>
          <w:bCs/>
          <w:lang w:eastAsia="en-GB"/>
        </w:rPr>
        <w:t>, apixaban</w:t>
      </w:r>
      <w:r w:rsidRPr="0002790F">
        <w:rPr>
          <w:b/>
          <w:bCs/>
          <w:lang w:eastAsia="en-GB"/>
        </w:rPr>
        <w:t>) if eGFR &lt; 15 ml/min/1.73m2 (risk of bleeding)</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02790F">
        <w:rPr>
          <w:lang w:eastAsia="en-GB"/>
        </w:rPr>
        <w:t>E3(i): Kubitza D, Becka M, Mueck W, Halabi A, Maatouk H, Klause N, Lufft V, Wand DD, Philipp T, Bruck H. Effects of renal impairment on the pharmacokinetics,</w:t>
      </w:r>
      <w:r>
        <w:rPr>
          <w:lang w:eastAsia="en-GB"/>
        </w:rPr>
        <w:t xml:space="preserve"> </w:t>
      </w:r>
      <w:r w:rsidRPr="0002790F">
        <w:rPr>
          <w:lang w:eastAsia="en-GB"/>
        </w:rPr>
        <w:t>pharmacodynamics and safety of rivaroxaban, an oral, direct Factor Xa</w:t>
      </w:r>
      <w:r>
        <w:rPr>
          <w:lang w:eastAsia="en-GB"/>
        </w:rPr>
        <w:t xml:space="preserve"> inhibitor. Br J Clin Pharmacol 2010</w:t>
      </w:r>
      <w:r w:rsidRPr="0002790F">
        <w:rPr>
          <w:lang w:eastAsia="en-GB"/>
        </w:rPr>
        <w:t>;</w:t>
      </w:r>
      <w:r>
        <w:rPr>
          <w:lang w:eastAsia="en-GB"/>
        </w:rPr>
        <w:t xml:space="preserve"> </w:t>
      </w:r>
      <w:r w:rsidRPr="0002790F">
        <w:rPr>
          <w:lang w:eastAsia="en-GB"/>
        </w:rPr>
        <w:t>70(5):</w:t>
      </w:r>
      <w:r>
        <w:rPr>
          <w:lang w:eastAsia="en-GB"/>
        </w:rPr>
        <w:t xml:space="preserve"> </w:t>
      </w:r>
      <w:r w:rsidRPr="0002790F">
        <w:rPr>
          <w:lang w:eastAsia="en-GB"/>
        </w:rPr>
        <w:t xml:space="preserve">703-12. </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02790F">
        <w:rPr>
          <w:lang w:eastAsia="en-GB"/>
        </w:rPr>
        <w:t>PubMed PMID: 21039764</w:t>
      </w:r>
      <w:r>
        <w:rPr>
          <w:lang w:eastAsia="en-GB"/>
        </w:rPr>
        <w:t>.</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02790F">
        <w:rPr>
          <w:lang w:eastAsia="en-GB"/>
        </w:rPr>
        <w:t>E3(ii): Fox KA, Piccini JP, Wojdyla D, Becker RC, Halperin JL, Nessel CC, Paolini JF, Hankey GJ, Mahaffey KW, Patel MR, Singer DE, Califf RM. Prevention of stroke and systemic embolism with rivaroxaban compared with warfarin in patients withnon-valvular atrial fibrillation and moderat</w:t>
      </w:r>
      <w:r>
        <w:rPr>
          <w:lang w:eastAsia="en-GB"/>
        </w:rPr>
        <w:t>e renal impairment. Eur Heart J 2011</w:t>
      </w:r>
      <w:r w:rsidRPr="0002790F">
        <w:rPr>
          <w:lang w:eastAsia="en-GB"/>
        </w:rPr>
        <w:t>;</w:t>
      </w:r>
      <w:r>
        <w:rPr>
          <w:lang w:eastAsia="en-GB"/>
        </w:rPr>
        <w:t xml:space="preserve"> </w:t>
      </w:r>
      <w:r w:rsidRPr="0002790F">
        <w:rPr>
          <w:lang w:eastAsia="en-GB"/>
        </w:rPr>
        <w:t>32(19):</w:t>
      </w:r>
      <w:r>
        <w:rPr>
          <w:lang w:eastAsia="en-GB"/>
        </w:rPr>
        <w:t xml:space="preserve"> </w:t>
      </w:r>
      <w:r w:rsidRPr="0002790F">
        <w:rPr>
          <w:lang w:eastAsia="en-GB"/>
        </w:rPr>
        <w:t>2387-94. PubMed PMID: 21873708.</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02790F">
        <w:rPr>
          <w:b/>
          <w:bCs/>
          <w:lang w:eastAsia="en-GB"/>
        </w:rPr>
        <w:t>E4. NSAID’s if eGFR &lt; 50 ml/min/</w:t>
      </w:r>
      <w:proofErr w:type="gramStart"/>
      <w:r w:rsidRPr="0002790F">
        <w:rPr>
          <w:b/>
          <w:bCs/>
          <w:lang w:eastAsia="en-GB"/>
        </w:rPr>
        <w:t>1.73m2  (</w:t>
      </w:r>
      <w:proofErr w:type="gramEnd"/>
      <w:r w:rsidRPr="0002790F">
        <w:rPr>
          <w:b/>
          <w:bCs/>
          <w:lang w:eastAsia="en-GB"/>
        </w:rPr>
        <w:t>risk of deterioration in renal function).</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02790F">
        <w:rPr>
          <w:lang w:eastAsia="en-GB"/>
        </w:rPr>
        <w:lastRenderedPageBreak/>
        <w:t>E4(</w:t>
      </w:r>
      <w:proofErr w:type="gramEnd"/>
      <w:r w:rsidRPr="0002790F">
        <w:rPr>
          <w:lang w:eastAsia="en-GB"/>
        </w:rPr>
        <w:t>i): Harirforoosh S, Jamali F. Renal adverse effects of non</w:t>
      </w:r>
      <w:r>
        <w:rPr>
          <w:lang w:eastAsia="en-GB"/>
        </w:rPr>
        <w:t xml:space="preserve">-steroidal </w:t>
      </w:r>
      <w:r w:rsidRPr="0002790F">
        <w:rPr>
          <w:lang w:eastAsia="en-GB"/>
        </w:rPr>
        <w:t>anti-inflammatory drugs. Expert Opin Drug Saf</w:t>
      </w:r>
      <w:r>
        <w:rPr>
          <w:lang w:eastAsia="en-GB"/>
        </w:rPr>
        <w:t xml:space="preserve"> 2009; 8(6): 669-81. </w:t>
      </w:r>
      <w:proofErr w:type="gramStart"/>
      <w:r>
        <w:rPr>
          <w:lang w:eastAsia="en-GB"/>
        </w:rPr>
        <w:t>Review.</w:t>
      </w:r>
      <w:proofErr w:type="gramEnd"/>
      <w:r>
        <w:rPr>
          <w:lang w:eastAsia="en-GB"/>
        </w:rPr>
        <w:t xml:space="preserve"> </w:t>
      </w:r>
      <w:r w:rsidRPr="0002790F">
        <w:rPr>
          <w:lang w:eastAsia="en-GB"/>
        </w:rPr>
        <w:t>PubMed PMID: 19832117.</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02790F">
        <w:rPr>
          <w:lang w:eastAsia="en-GB"/>
        </w:rPr>
        <w:t>E4(</w:t>
      </w:r>
      <w:proofErr w:type="gramEnd"/>
      <w:r w:rsidRPr="0002790F">
        <w:rPr>
          <w:lang w:eastAsia="en-GB"/>
        </w:rPr>
        <w:t xml:space="preserve">ii): Cheng HF, Harris RC. </w:t>
      </w:r>
      <w:proofErr w:type="gramStart"/>
      <w:r w:rsidRPr="0002790F">
        <w:rPr>
          <w:lang w:eastAsia="en-GB"/>
        </w:rPr>
        <w:t>Renal effects of non-st</w:t>
      </w:r>
      <w:r>
        <w:rPr>
          <w:lang w:eastAsia="en-GB"/>
        </w:rPr>
        <w:t xml:space="preserve">eroidal anti-inflammatory drugs </w:t>
      </w:r>
      <w:r w:rsidRPr="0002790F">
        <w:rPr>
          <w:lang w:eastAsia="en-GB"/>
        </w:rPr>
        <w:t>and selective cyclooxygenase-2 inhibitors.</w:t>
      </w:r>
      <w:proofErr w:type="gramEnd"/>
      <w:r w:rsidRPr="0002790F">
        <w:rPr>
          <w:lang w:eastAsia="en-GB"/>
        </w:rPr>
        <w:t xml:space="preserve"> Curr Ph</w:t>
      </w:r>
      <w:r>
        <w:rPr>
          <w:lang w:eastAsia="en-GB"/>
        </w:rPr>
        <w:t xml:space="preserve">arm Des 2005; 11(14): 1795-804.  </w:t>
      </w:r>
      <w:proofErr w:type="gramStart"/>
      <w:r w:rsidRPr="0002790F">
        <w:rPr>
          <w:lang w:eastAsia="en-GB"/>
        </w:rPr>
        <w:t>Review.</w:t>
      </w:r>
      <w:proofErr w:type="gramEnd"/>
      <w:r w:rsidRPr="0002790F">
        <w:rPr>
          <w:lang w:eastAsia="en-GB"/>
        </w:rPr>
        <w:t xml:space="preserve"> PubMed PMID: 15892676.</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02790F">
        <w:rPr>
          <w:b/>
          <w:bCs/>
          <w:lang w:eastAsia="en-GB"/>
        </w:rPr>
        <w:t>E5. Colchicine if eGFR &lt; 10 ml/min/1.73m2 (risk of colchicine toxicity).</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7268F3">
        <w:rPr>
          <w:lang w:val="de-DE" w:eastAsia="en-GB"/>
        </w:rPr>
        <w:t xml:space="preserve">E5(i): Hoskison KT, Wortmann RL. </w:t>
      </w:r>
      <w:r w:rsidRPr="0002790F">
        <w:rPr>
          <w:lang w:eastAsia="en-GB"/>
        </w:rPr>
        <w:t>Management of go</w:t>
      </w:r>
      <w:r>
        <w:rPr>
          <w:lang w:eastAsia="en-GB"/>
        </w:rPr>
        <w:t xml:space="preserve">ut in older adults: barriers to </w:t>
      </w:r>
      <w:r w:rsidRPr="0002790F">
        <w:rPr>
          <w:lang w:eastAsia="en-GB"/>
        </w:rPr>
        <w:t>optima</w:t>
      </w:r>
      <w:r>
        <w:rPr>
          <w:lang w:eastAsia="en-GB"/>
        </w:rPr>
        <w:t>l control. Drugs Aging</w:t>
      </w:r>
      <w:r w:rsidRPr="0002790F">
        <w:rPr>
          <w:lang w:eastAsia="en-GB"/>
        </w:rPr>
        <w:t xml:space="preserve"> 2007;</w:t>
      </w:r>
      <w:r>
        <w:rPr>
          <w:lang w:eastAsia="en-GB"/>
        </w:rPr>
        <w:t xml:space="preserve"> </w:t>
      </w:r>
      <w:r w:rsidRPr="0002790F">
        <w:rPr>
          <w:lang w:eastAsia="en-GB"/>
        </w:rPr>
        <w:t>24(1):</w:t>
      </w:r>
      <w:r>
        <w:rPr>
          <w:lang w:eastAsia="en-GB"/>
        </w:rPr>
        <w:t xml:space="preserve"> </w:t>
      </w:r>
      <w:r w:rsidRPr="0002790F">
        <w:rPr>
          <w:lang w:eastAsia="en-GB"/>
        </w:rPr>
        <w:t xml:space="preserve">21-36. </w:t>
      </w:r>
      <w:proofErr w:type="gramStart"/>
      <w:r w:rsidRPr="0002790F">
        <w:rPr>
          <w:lang w:eastAsia="en-GB"/>
        </w:rPr>
        <w:t>Review.</w:t>
      </w:r>
      <w:proofErr w:type="gramEnd"/>
      <w:r w:rsidRPr="0002790F">
        <w:rPr>
          <w:lang w:eastAsia="en-GB"/>
        </w:rPr>
        <w:t xml:space="preserve"> PubMed PMID: 17233545.</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E82BDD"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de-DE" w:eastAsia="en-GB"/>
        </w:rPr>
      </w:pPr>
      <w:r w:rsidRPr="0002790F">
        <w:rPr>
          <w:lang w:eastAsia="en-GB"/>
        </w:rPr>
        <w:t xml:space="preserve">E5(ii): Hanlon JT, Aspinall SL, Semla TP, Weisbord </w:t>
      </w:r>
      <w:r>
        <w:rPr>
          <w:lang w:eastAsia="en-GB"/>
        </w:rPr>
        <w:t xml:space="preserve">SD, Fried LF, Good CB, Fine MJ, </w:t>
      </w:r>
      <w:r w:rsidRPr="0002790F">
        <w:rPr>
          <w:lang w:eastAsia="en-GB"/>
        </w:rPr>
        <w:t>Stone RA, Pugh MJ, Rossi MI, Handler SM. Consensus</w:t>
      </w:r>
      <w:r>
        <w:rPr>
          <w:lang w:eastAsia="en-GB"/>
        </w:rPr>
        <w:t xml:space="preserve"> guidelines for oral dosing of </w:t>
      </w:r>
      <w:r w:rsidRPr="0002790F">
        <w:rPr>
          <w:lang w:eastAsia="en-GB"/>
        </w:rPr>
        <w:t>primarily renally cleared medications in older</w:t>
      </w:r>
      <w:r>
        <w:rPr>
          <w:lang w:eastAsia="en-GB"/>
        </w:rPr>
        <w:t xml:space="preserve"> adults. </w:t>
      </w:r>
      <w:r>
        <w:rPr>
          <w:lang w:val="de-DE" w:eastAsia="en-GB"/>
        </w:rPr>
        <w:t>J Am Geriatr Soc 2009</w:t>
      </w:r>
      <w:r w:rsidRPr="00CC432B">
        <w:rPr>
          <w:lang w:val="de-DE" w:eastAsia="en-GB"/>
        </w:rPr>
        <w:t>;</w:t>
      </w:r>
      <w:r>
        <w:rPr>
          <w:lang w:val="de-DE" w:eastAsia="en-GB"/>
        </w:rPr>
        <w:t xml:space="preserve"> </w:t>
      </w:r>
      <w:r w:rsidRPr="00CC432B">
        <w:rPr>
          <w:lang w:val="de-DE" w:eastAsia="en-GB"/>
        </w:rPr>
        <w:t>57(2):335-4</w:t>
      </w:r>
      <w:r>
        <w:rPr>
          <w:lang w:val="de-DE" w:eastAsia="en-GB"/>
        </w:rPr>
        <w:t>0. Erratum in: J Am Geriatr Soc 2009</w:t>
      </w:r>
      <w:r w:rsidRPr="0002790F">
        <w:rPr>
          <w:lang w:eastAsia="en-GB"/>
        </w:rPr>
        <w:t>;</w:t>
      </w:r>
      <w:r>
        <w:rPr>
          <w:lang w:eastAsia="en-GB"/>
        </w:rPr>
        <w:t xml:space="preserve"> </w:t>
      </w:r>
      <w:r w:rsidRPr="0002790F">
        <w:rPr>
          <w:lang w:eastAsia="en-GB"/>
        </w:rPr>
        <w:t>57(11):</w:t>
      </w:r>
      <w:r>
        <w:rPr>
          <w:lang w:eastAsia="en-GB"/>
        </w:rPr>
        <w:t xml:space="preserve"> </w:t>
      </w:r>
      <w:r w:rsidRPr="0002790F">
        <w:rPr>
          <w:lang w:eastAsia="en-GB"/>
        </w:rPr>
        <w:t xml:space="preserve">2179. </w:t>
      </w:r>
      <w:proofErr w:type="gramStart"/>
      <w:r w:rsidRPr="0002790F">
        <w:rPr>
          <w:lang w:eastAsia="en-GB"/>
        </w:rPr>
        <w:t>Dosage error in article text.</w:t>
      </w:r>
      <w:proofErr w:type="gramEnd"/>
      <w:r w:rsidRPr="0002790F">
        <w:rPr>
          <w:lang w:eastAsia="en-GB"/>
        </w:rPr>
        <w:t xml:space="preserve"> PubMed PMID: 19170784</w:t>
      </w:r>
      <w:r>
        <w:rPr>
          <w:lang w:eastAsia="en-GB"/>
        </w:rPr>
        <w:t>.</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02790F">
        <w:rPr>
          <w:b/>
          <w:bCs/>
          <w:lang w:eastAsia="en-GB"/>
        </w:rPr>
        <w:t>E6. Metformin if eGFR &lt; 30 ml/min/1.73m2 (risk of lactic acidosis).</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02790F">
        <w:rPr>
          <w:lang w:eastAsia="en-GB"/>
        </w:rPr>
        <w:t>E6(</w:t>
      </w:r>
      <w:proofErr w:type="gramEnd"/>
      <w:r w:rsidRPr="0002790F">
        <w:rPr>
          <w:lang w:eastAsia="en-GB"/>
        </w:rPr>
        <w:t>i): Germino FW. Non</w:t>
      </w:r>
      <w:r>
        <w:rPr>
          <w:lang w:eastAsia="en-GB"/>
        </w:rPr>
        <w:t>-</w:t>
      </w:r>
      <w:r w:rsidRPr="0002790F">
        <w:rPr>
          <w:lang w:eastAsia="en-GB"/>
        </w:rPr>
        <w:t>insulin treatment of type 2</w:t>
      </w:r>
      <w:r>
        <w:rPr>
          <w:lang w:eastAsia="en-GB"/>
        </w:rPr>
        <w:t xml:space="preserve"> diabetes mellitus in geriatric patients: a review. Clin Ther 2011</w:t>
      </w:r>
      <w:r w:rsidRPr="0002790F">
        <w:rPr>
          <w:lang w:eastAsia="en-GB"/>
        </w:rPr>
        <w:t>;</w:t>
      </w:r>
      <w:r>
        <w:rPr>
          <w:lang w:eastAsia="en-GB"/>
        </w:rPr>
        <w:t xml:space="preserve"> </w:t>
      </w:r>
      <w:r w:rsidRPr="0002790F">
        <w:rPr>
          <w:lang w:eastAsia="en-GB"/>
        </w:rPr>
        <w:t>33(12):</w:t>
      </w:r>
      <w:r>
        <w:rPr>
          <w:lang w:eastAsia="en-GB"/>
        </w:rPr>
        <w:t xml:space="preserve"> </w:t>
      </w:r>
      <w:r w:rsidRPr="0002790F">
        <w:rPr>
          <w:lang w:eastAsia="en-GB"/>
        </w:rPr>
        <w:t>186</w:t>
      </w:r>
      <w:r>
        <w:rPr>
          <w:lang w:eastAsia="en-GB"/>
        </w:rPr>
        <w:t>8-82. Review.</w:t>
      </w:r>
      <w:r w:rsidRPr="0002790F">
        <w:rPr>
          <w:lang w:eastAsia="en-GB"/>
        </w:rPr>
        <w:t>PubMed PMID: 22136979.</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A288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proofErr w:type="gramStart"/>
      <w:r w:rsidRPr="0002790F">
        <w:rPr>
          <w:lang w:eastAsia="en-GB"/>
        </w:rPr>
        <w:t>E6(</w:t>
      </w:r>
      <w:proofErr w:type="gramEnd"/>
      <w:r w:rsidRPr="0002790F">
        <w:rPr>
          <w:lang w:eastAsia="en-GB"/>
        </w:rPr>
        <w:t xml:space="preserve">ii): </w:t>
      </w:r>
      <w:hyperlink r:id="rId25" w:tooltip="Search for publications by this author" w:history="1">
        <w:r>
          <w:rPr>
            <w:rStyle w:val="Hyperlink"/>
            <w:rFonts w:cs="Calibri"/>
            <w:color w:val="auto"/>
            <w:u w:val="none"/>
            <w:lang w:eastAsia="en-GB"/>
          </w:rPr>
          <w:t>Lalau J</w:t>
        </w:r>
        <w:r w:rsidRPr="003E1DA6">
          <w:rPr>
            <w:rStyle w:val="Hyperlink"/>
            <w:rFonts w:cs="Calibri"/>
            <w:color w:val="auto"/>
            <w:u w:val="none"/>
            <w:lang w:eastAsia="en-GB"/>
          </w:rPr>
          <w:t>D.</w:t>
        </w:r>
      </w:hyperlink>
      <w:r>
        <w:rPr>
          <w:rStyle w:val="Hyperlink"/>
          <w:rFonts w:cs="Calibri"/>
          <w:color w:val="auto"/>
          <w:u w:val="none"/>
          <w:lang w:eastAsia="en-GB"/>
        </w:rPr>
        <w:t xml:space="preserve"> </w:t>
      </w:r>
      <w:r w:rsidRPr="0002790F">
        <w:rPr>
          <w:lang w:eastAsia="en-GB"/>
        </w:rPr>
        <w:t>Lactic acidosis induced by metformin: Incidence, management and pre</w:t>
      </w:r>
      <w:r>
        <w:rPr>
          <w:lang w:eastAsia="en-GB"/>
        </w:rPr>
        <w:t xml:space="preserve">vention. Drug Safety 2010; 33(9): 727-40. </w:t>
      </w:r>
      <w:r>
        <w:rPr>
          <w:lang w:val="en-IE" w:eastAsia="en-GB"/>
        </w:rPr>
        <w:t>PubMed PMID: 20701406.</w:t>
      </w: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2790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r w:rsidRPr="00127C71">
        <w:rPr>
          <w:b/>
          <w:bCs/>
          <w:sz w:val="28"/>
          <w:szCs w:val="28"/>
          <w:lang w:eastAsia="en-GB"/>
        </w:rPr>
        <w:t>Section F: Gastrointestinal System</w:t>
      </w:r>
      <w:r>
        <w:rPr>
          <w:b/>
          <w:bCs/>
          <w:sz w:val="28"/>
          <w:szCs w:val="28"/>
          <w:lang w:eastAsia="en-GB"/>
        </w:rPr>
        <w:t xml:space="preserve"> criteria</w:t>
      </w:r>
      <w:r w:rsidRPr="00127C71">
        <w:rPr>
          <w:b/>
          <w:bCs/>
          <w:sz w:val="28"/>
          <w:szCs w:val="28"/>
          <w:lang w:eastAsia="en-GB"/>
        </w:rPr>
        <w:t>.</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Pr>
          <w:b/>
          <w:bCs/>
          <w:lang w:eastAsia="en-GB"/>
        </w:rPr>
        <w:t>F1</w:t>
      </w:r>
      <w:r w:rsidRPr="00127C71">
        <w:rPr>
          <w:b/>
          <w:bCs/>
          <w:lang w:eastAsia="en-GB"/>
        </w:rPr>
        <w:t xml:space="preserve">. </w:t>
      </w:r>
      <w:proofErr w:type="gramStart"/>
      <w:r w:rsidRPr="00127C71">
        <w:rPr>
          <w:b/>
          <w:bCs/>
          <w:lang w:eastAsia="en-GB"/>
        </w:rPr>
        <w:t>Prochlorperazine or metoclopramide with Parkinsonism (risk of exacerbating Parkinsonian symptoms).</w:t>
      </w:r>
      <w:proofErr w:type="gramEnd"/>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F1</w:t>
      </w:r>
      <w:r w:rsidRPr="00127C71">
        <w:rPr>
          <w:lang w:eastAsia="en-GB"/>
        </w:rPr>
        <w:t xml:space="preserve"> (i): Stephen PJ, Williamson J. Drug-induced </w:t>
      </w:r>
      <w:proofErr w:type="gramStart"/>
      <w:r w:rsidRPr="00127C71">
        <w:rPr>
          <w:lang w:eastAsia="en-GB"/>
        </w:rPr>
        <w:t>park</w:t>
      </w:r>
      <w:r>
        <w:rPr>
          <w:lang w:eastAsia="en-GB"/>
        </w:rPr>
        <w:t>insonism</w:t>
      </w:r>
      <w:proofErr w:type="gramEnd"/>
      <w:r>
        <w:rPr>
          <w:lang w:eastAsia="en-GB"/>
        </w:rPr>
        <w:t xml:space="preserve"> in the elderly. Lancet 1984</w:t>
      </w:r>
      <w:r w:rsidRPr="00127C71">
        <w:rPr>
          <w:lang w:eastAsia="en-GB"/>
        </w:rPr>
        <w:t>;</w:t>
      </w:r>
      <w:r>
        <w:rPr>
          <w:lang w:eastAsia="en-GB"/>
        </w:rPr>
        <w:t xml:space="preserve"> </w:t>
      </w:r>
      <w:r w:rsidRPr="00127C71">
        <w:rPr>
          <w:lang w:eastAsia="en-GB"/>
        </w:rPr>
        <w:t>2(8411):</w:t>
      </w:r>
      <w:r>
        <w:rPr>
          <w:lang w:eastAsia="en-GB"/>
        </w:rPr>
        <w:t xml:space="preserve"> </w:t>
      </w:r>
      <w:r w:rsidRPr="00127C71">
        <w:rPr>
          <w:lang w:eastAsia="en-GB"/>
        </w:rPr>
        <w:t>1082-3. PubMed PMID: 6150149.</w:t>
      </w: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F1 </w:t>
      </w:r>
      <w:r w:rsidRPr="00127C71">
        <w:rPr>
          <w:lang w:eastAsia="en-GB"/>
        </w:rPr>
        <w:t xml:space="preserve">(ii): Ganzini L, Casey DE, Hoffman WF, McCall AL. </w:t>
      </w:r>
      <w:proofErr w:type="gramStart"/>
      <w:r w:rsidRPr="00127C71">
        <w:rPr>
          <w:lang w:eastAsia="en-GB"/>
        </w:rPr>
        <w:t xml:space="preserve">The prevalence of metoclopramide-induced tardive dyskinesia and acute extrapyramidal movement </w:t>
      </w:r>
      <w:r>
        <w:rPr>
          <w:lang w:eastAsia="en-GB"/>
        </w:rPr>
        <w:t>disorders.</w:t>
      </w:r>
      <w:proofErr w:type="gramEnd"/>
      <w:r>
        <w:rPr>
          <w:lang w:eastAsia="en-GB"/>
        </w:rPr>
        <w:t xml:space="preserve"> Arch Intern Med 1993</w:t>
      </w:r>
      <w:r w:rsidRPr="00127C71">
        <w:rPr>
          <w:lang w:eastAsia="en-GB"/>
        </w:rPr>
        <w:t>;</w:t>
      </w:r>
      <w:r>
        <w:rPr>
          <w:lang w:eastAsia="en-GB"/>
        </w:rPr>
        <w:t xml:space="preserve"> </w:t>
      </w:r>
      <w:r w:rsidRPr="00127C71">
        <w:rPr>
          <w:lang w:eastAsia="en-GB"/>
        </w:rPr>
        <w:t>153(12):</w:t>
      </w:r>
      <w:r>
        <w:rPr>
          <w:lang w:eastAsia="en-GB"/>
        </w:rPr>
        <w:t xml:space="preserve"> </w:t>
      </w:r>
      <w:r w:rsidRPr="00127C71">
        <w:rPr>
          <w:lang w:eastAsia="en-GB"/>
        </w:rPr>
        <w:t>1469-75. PubMed PMID: 8512437.</w:t>
      </w: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F1 </w:t>
      </w:r>
      <w:r w:rsidRPr="00127C71">
        <w:rPr>
          <w:lang w:eastAsia="en-GB"/>
        </w:rPr>
        <w:t xml:space="preserve">(iii): Pasricha PJ, Pehlivanov N, Sugumar A, </w:t>
      </w:r>
      <w:proofErr w:type="gramStart"/>
      <w:r w:rsidRPr="00127C71">
        <w:rPr>
          <w:lang w:eastAsia="en-GB"/>
        </w:rPr>
        <w:t>Jankovic</w:t>
      </w:r>
      <w:proofErr w:type="gramEnd"/>
      <w:r w:rsidRPr="00127C71">
        <w:rPr>
          <w:lang w:eastAsia="en-GB"/>
        </w:rPr>
        <w:t xml:space="preserve"> J. Drug Insight: from disturbed m</w:t>
      </w:r>
      <w:r>
        <w:rPr>
          <w:lang w:eastAsia="en-GB"/>
        </w:rPr>
        <w:t xml:space="preserve">otility to disordered movement - </w:t>
      </w:r>
      <w:r w:rsidRPr="00127C71">
        <w:rPr>
          <w:lang w:eastAsia="en-GB"/>
        </w:rPr>
        <w:t>a review of the clinical benefits and medicolegal risks of metoclopramide. Nat Cl</w:t>
      </w:r>
      <w:r>
        <w:rPr>
          <w:lang w:eastAsia="en-GB"/>
        </w:rPr>
        <w:t>in Pract Gastroenterol Hepatol 2006</w:t>
      </w:r>
      <w:r w:rsidRPr="00127C71">
        <w:rPr>
          <w:lang w:eastAsia="en-GB"/>
        </w:rPr>
        <w:t>;</w:t>
      </w:r>
      <w:r>
        <w:rPr>
          <w:lang w:eastAsia="en-GB"/>
        </w:rPr>
        <w:t xml:space="preserve"> </w:t>
      </w:r>
      <w:r w:rsidRPr="00127C71">
        <w:rPr>
          <w:lang w:eastAsia="en-GB"/>
        </w:rPr>
        <w:t>3(3):</w:t>
      </w:r>
      <w:r>
        <w:rPr>
          <w:lang w:eastAsia="en-GB"/>
        </w:rPr>
        <w:t xml:space="preserve"> </w:t>
      </w:r>
      <w:r w:rsidRPr="00127C71">
        <w:rPr>
          <w:lang w:eastAsia="en-GB"/>
        </w:rPr>
        <w:t xml:space="preserve">138-48. </w:t>
      </w:r>
      <w:proofErr w:type="gramStart"/>
      <w:r w:rsidRPr="00127C71">
        <w:rPr>
          <w:lang w:eastAsia="en-GB"/>
        </w:rPr>
        <w:t>Review.</w:t>
      </w:r>
      <w:proofErr w:type="gramEnd"/>
      <w:r w:rsidRPr="00127C71">
        <w:rPr>
          <w:lang w:eastAsia="en-GB"/>
        </w:rPr>
        <w:t xml:space="preserve"> PubMed PMID: 16511548.</w:t>
      </w: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Pr>
          <w:b/>
          <w:bCs/>
          <w:lang w:eastAsia="en-GB"/>
        </w:rPr>
        <w:t>F2</w:t>
      </w:r>
      <w:r w:rsidRPr="00127C71">
        <w:rPr>
          <w:b/>
          <w:bCs/>
          <w:lang w:eastAsia="en-GB"/>
        </w:rPr>
        <w:t>. PPI for uncomplicated peptic ulcer disease or erosive peptic oesophagitis at full therapeutic dosage for &gt; 8 weeks (dose reduction or earlier discontinuation indicated).</w:t>
      </w: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lastRenderedPageBreak/>
        <w:t xml:space="preserve">F2 </w:t>
      </w:r>
      <w:r w:rsidRPr="00127C71">
        <w:rPr>
          <w:lang w:eastAsia="en-GB"/>
        </w:rPr>
        <w:t xml:space="preserve">(i): British National Formulary vol. 61 (March, 2011), </w:t>
      </w:r>
      <w:proofErr w:type="gramStart"/>
      <w:r w:rsidRPr="00127C71">
        <w:rPr>
          <w:lang w:eastAsia="en-GB"/>
        </w:rPr>
        <w:t>section</w:t>
      </w:r>
      <w:proofErr w:type="gramEnd"/>
      <w:r w:rsidRPr="00127C71">
        <w:rPr>
          <w:lang w:eastAsia="en-GB"/>
        </w:rPr>
        <w:t xml:space="preserve"> 1.3.5. </w:t>
      </w:r>
      <w:proofErr w:type="gramStart"/>
      <w:r w:rsidRPr="00127C71">
        <w:rPr>
          <w:lang w:eastAsia="en-GB"/>
        </w:rPr>
        <w:t>Proton pump inhibitors, p</w:t>
      </w:r>
      <w:r>
        <w:rPr>
          <w:lang w:eastAsia="en-GB"/>
        </w:rPr>
        <w:t>p 54-57.</w:t>
      </w:r>
      <w:proofErr w:type="gramEnd"/>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F2 </w:t>
      </w:r>
      <w:r w:rsidRPr="00127C71">
        <w:rPr>
          <w:lang w:eastAsia="en-GB"/>
        </w:rPr>
        <w:t xml:space="preserve">(ii): NICE guideline 2000/022 (last updated 14 July 2008). </w:t>
      </w:r>
      <w:hyperlink r:id="rId26" w:history="1">
        <w:r w:rsidRPr="00127C71">
          <w:rPr>
            <w:rStyle w:val="Hyperlink"/>
            <w:rFonts w:cs="Calibri"/>
            <w:lang w:eastAsia="en-GB"/>
          </w:rPr>
          <w:t>www.nice.org.uk</w:t>
        </w:r>
      </w:hyperlink>
      <w:r>
        <w:rPr>
          <w:lang w:eastAsia="en-GB"/>
        </w:rPr>
        <w:t xml:space="preserve">. </w:t>
      </w: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Pr>
          <w:b/>
          <w:bCs/>
          <w:lang w:eastAsia="en-GB"/>
        </w:rPr>
        <w:t xml:space="preserve">F3. </w:t>
      </w:r>
      <w:proofErr w:type="gramStart"/>
      <w:r w:rsidRPr="00127C71">
        <w:rPr>
          <w:b/>
          <w:bCs/>
          <w:lang w:eastAsia="en-GB"/>
        </w:rPr>
        <w:t>Drugs likely to cause constipation (e.g. antimuscarinic/anticholinergic drugs, oral iron, opioids, verapamil, aluminium antacids) in patients with chronic constipation where non-consipating alternatives are appropriate (risk of exacerbation of constipation).</w:t>
      </w:r>
      <w:proofErr w:type="gramEnd"/>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F3 </w:t>
      </w:r>
      <w:r w:rsidRPr="00127C71">
        <w:rPr>
          <w:lang w:eastAsia="en-GB"/>
        </w:rPr>
        <w:t>(i): Meek PD, Evang SD, Tadrous M, Roux-Lirange D, Triller DM, Gumustop B. Overactive bladder drugs and constipation: a meta-analysis of randomized, placebo</w:t>
      </w:r>
      <w:r>
        <w:rPr>
          <w:lang w:eastAsia="en-GB"/>
        </w:rPr>
        <w:t>-controlled trials. Dig Dis Sci 2011</w:t>
      </w:r>
      <w:r w:rsidRPr="00127C71">
        <w:rPr>
          <w:lang w:eastAsia="en-GB"/>
        </w:rPr>
        <w:t>;</w:t>
      </w:r>
      <w:r>
        <w:rPr>
          <w:lang w:eastAsia="en-GB"/>
        </w:rPr>
        <w:t xml:space="preserve"> </w:t>
      </w:r>
      <w:r w:rsidRPr="00127C71">
        <w:rPr>
          <w:lang w:eastAsia="en-GB"/>
        </w:rPr>
        <w:t>56(1):</w:t>
      </w:r>
      <w:r>
        <w:rPr>
          <w:lang w:eastAsia="en-GB"/>
        </w:rPr>
        <w:t xml:space="preserve"> </w:t>
      </w:r>
      <w:r w:rsidRPr="00127C71">
        <w:rPr>
          <w:lang w:eastAsia="en-GB"/>
        </w:rPr>
        <w:t xml:space="preserve">7-18. </w:t>
      </w:r>
      <w:proofErr w:type="gramStart"/>
      <w:r w:rsidRPr="00127C71">
        <w:rPr>
          <w:lang w:eastAsia="en-GB"/>
        </w:rPr>
        <w:t>Review.</w:t>
      </w:r>
      <w:proofErr w:type="gramEnd"/>
      <w:r w:rsidRPr="00127C71">
        <w:rPr>
          <w:lang w:eastAsia="en-GB"/>
        </w:rPr>
        <w:t xml:space="preserve"> PubMed PMID: 20596778.</w:t>
      </w: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F3 </w:t>
      </w:r>
      <w:r w:rsidRPr="00127C71">
        <w:rPr>
          <w:lang w:eastAsia="en-GB"/>
        </w:rPr>
        <w:t>(ii): Müller-Lissner S. General geriatrics and gastroenterology: constipation and faecal incontinence. Be</w:t>
      </w:r>
      <w:r>
        <w:rPr>
          <w:lang w:eastAsia="en-GB"/>
        </w:rPr>
        <w:t>st Pract Res Clin Gastroenterol 2002</w:t>
      </w:r>
      <w:r w:rsidRPr="00127C71">
        <w:rPr>
          <w:lang w:eastAsia="en-GB"/>
        </w:rPr>
        <w:t>;</w:t>
      </w:r>
      <w:r>
        <w:rPr>
          <w:lang w:eastAsia="en-GB"/>
        </w:rPr>
        <w:t xml:space="preserve"> </w:t>
      </w:r>
      <w:r w:rsidRPr="00127C71">
        <w:rPr>
          <w:lang w:eastAsia="en-GB"/>
        </w:rPr>
        <w:t>16(1):</w:t>
      </w:r>
      <w:r>
        <w:rPr>
          <w:lang w:eastAsia="en-GB"/>
        </w:rPr>
        <w:t xml:space="preserve"> </w:t>
      </w:r>
      <w:r w:rsidRPr="00127C71">
        <w:rPr>
          <w:lang w:eastAsia="en-GB"/>
        </w:rPr>
        <w:t xml:space="preserve">115-33. </w:t>
      </w:r>
      <w:proofErr w:type="gramStart"/>
      <w:r w:rsidRPr="00127C71">
        <w:rPr>
          <w:lang w:eastAsia="en-GB"/>
        </w:rPr>
        <w:t>Review.</w:t>
      </w:r>
      <w:proofErr w:type="gramEnd"/>
      <w:r w:rsidRPr="00127C71">
        <w:rPr>
          <w:lang w:eastAsia="en-GB"/>
        </w:rPr>
        <w:t xml:space="preserve"> PubMed PMID: 11977932.</w:t>
      </w: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F3 </w:t>
      </w:r>
      <w:r w:rsidRPr="00127C71">
        <w:rPr>
          <w:lang w:eastAsia="en-GB"/>
        </w:rPr>
        <w:t xml:space="preserve">(iii): Harari D, Gurwitz JH, Avorn J, Choodnovskiy I, </w:t>
      </w:r>
      <w:proofErr w:type="gramStart"/>
      <w:r w:rsidRPr="00127C71">
        <w:rPr>
          <w:lang w:eastAsia="en-GB"/>
        </w:rPr>
        <w:t>Minaker</w:t>
      </w:r>
      <w:proofErr w:type="gramEnd"/>
      <w:r w:rsidRPr="00127C71">
        <w:rPr>
          <w:lang w:eastAsia="en-GB"/>
        </w:rPr>
        <w:t xml:space="preserve"> KL. </w:t>
      </w:r>
      <w:proofErr w:type="gramStart"/>
      <w:r w:rsidRPr="00127C71">
        <w:rPr>
          <w:lang w:eastAsia="en-GB"/>
        </w:rPr>
        <w:t xml:space="preserve">Correlates of regular laxative use by </w:t>
      </w:r>
      <w:r>
        <w:rPr>
          <w:lang w:eastAsia="en-GB"/>
        </w:rPr>
        <w:t>frail elderly persons.</w:t>
      </w:r>
      <w:proofErr w:type="gramEnd"/>
      <w:r>
        <w:rPr>
          <w:lang w:eastAsia="en-GB"/>
        </w:rPr>
        <w:t xml:space="preserve"> Am J Med 1995</w:t>
      </w:r>
      <w:r w:rsidRPr="00127C71">
        <w:rPr>
          <w:lang w:eastAsia="en-GB"/>
        </w:rPr>
        <w:t>;</w:t>
      </w:r>
      <w:r>
        <w:rPr>
          <w:lang w:eastAsia="en-GB"/>
        </w:rPr>
        <w:t xml:space="preserve"> </w:t>
      </w:r>
      <w:r w:rsidRPr="00127C71">
        <w:rPr>
          <w:lang w:eastAsia="en-GB"/>
        </w:rPr>
        <w:t>99(5):</w:t>
      </w:r>
      <w:r>
        <w:rPr>
          <w:lang w:eastAsia="en-GB"/>
        </w:rPr>
        <w:t xml:space="preserve"> </w:t>
      </w:r>
      <w:r w:rsidRPr="00127C71">
        <w:rPr>
          <w:lang w:eastAsia="en-GB"/>
        </w:rPr>
        <w:t>513-8. PubMed PMID: 7485209.</w:t>
      </w: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F4 </w:t>
      </w:r>
      <w:r w:rsidRPr="00127C71">
        <w:rPr>
          <w:lang w:eastAsia="en-GB"/>
        </w:rPr>
        <w:t>(</w:t>
      </w:r>
      <w:proofErr w:type="gramStart"/>
      <w:r w:rsidRPr="00127C71">
        <w:rPr>
          <w:lang w:eastAsia="en-GB"/>
        </w:rPr>
        <w:t>iv</w:t>
      </w:r>
      <w:proofErr w:type="gramEnd"/>
      <w:r w:rsidRPr="00127C71">
        <w:rPr>
          <w:lang w:eastAsia="en-GB"/>
        </w:rPr>
        <w:t xml:space="preserve">): Opie LH. </w:t>
      </w:r>
      <w:proofErr w:type="gramStart"/>
      <w:r w:rsidRPr="00127C71">
        <w:rPr>
          <w:lang w:eastAsia="en-GB"/>
        </w:rPr>
        <w:t>Choosing the correct drug for the individual hypertensive patient.</w:t>
      </w:r>
      <w:proofErr w:type="gramEnd"/>
      <w:r>
        <w:rPr>
          <w:lang w:eastAsia="en-GB"/>
        </w:rPr>
        <w:t xml:space="preserve"> Drugs</w:t>
      </w:r>
      <w:r w:rsidRPr="00127C71">
        <w:rPr>
          <w:lang w:eastAsia="en-GB"/>
        </w:rPr>
        <w:t xml:space="preserve"> 1992;</w:t>
      </w:r>
      <w:r>
        <w:rPr>
          <w:lang w:eastAsia="en-GB"/>
        </w:rPr>
        <w:t xml:space="preserve"> </w:t>
      </w:r>
      <w:r w:rsidRPr="00127C71">
        <w:rPr>
          <w:lang w:eastAsia="en-GB"/>
        </w:rPr>
        <w:t>44 Suppl 1:</w:t>
      </w:r>
      <w:r>
        <w:rPr>
          <w:lang w:eastAsia="en-GB"/>
        </w:rPr>
        <w:t xml:space="preserve"> </w:t>
      </w:r>
      <w:r w:rsidRPr="00127C71">
        <w:rPr>
          <w:lang w:eastAsia="en-GB"/>
        </w:rPr>
        <w:t xml:space="preserve">147-55. </w:t>
      </w:r>
      <w:proofErr w:type="gramStart"/>
      <w:r w:rsidRPr="00127C71">
        <w:rPr>
          <w:lang w:eastAsia="en-GB"/>
        </w:rPr>
        <w:t>Review.</w:t>
      </w:r>
      <w:proofErr w:type="gramEnd"/>
      <w:r w:rsidRPr="00127C71">
        <w:rPr>
          <w:lang w:eastAsia="en-GB"/>
        </w:rPr>
        <w:t xml:space="preserve"> PubMed PMID: 1283579.</w:t>
      </w: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Pr>
          <w:b/>
          <w:bCs/>
          <w:lang w:eastAsia="en-GB"/>
        </w:rPr>
        <w:t>F4</w:t>
      </w:r>
      <w:r w:rsidRPr="00127C71">
        <w:rPr>
          <w:b/>
          <w:bCs/>
          <w:lang w:eastAsia="en-GB"/>
        </w:rPr>
        <w:t>. Oral elemental iron doses greater than 200 mg daily (e.g. ferrous fumarate &gt; 600 mg/day, ferrous sulphate &gt; 600 mg/day, ferrous gluconate &gt; 1800 mg/day; no evidence of enhanced iron absorption above these doses).</w:t>
      </w: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F4 </w:t>
      </w:r>
      <w:r w:rsidRPr="00127C71">
        <w:rPr>
          <w:lang w:eastAsia="en-GB"/>
        </w:rPr>
        <w:t>(i): Rimon E, Kagansky N, Kagansky M, Mechnick L, Mashiah T, Namir M, Levy S. Are we giving too much iron? Low-dose iron therapy is effect</w:t>
      </w:r>
      <w:r>
        <w:rPr>
          <w:lang w:eastAsia="en-GB"/>
        </w:rPr>
        <w:t xml:space="preserve">ive in octogenarians. </w:t>
      </w:r>
      <w:proofErr w:type="gramStart"/>
      <w:r>
        <w:rPr>
          <w:lang w:eastAsia="en-GB"/>
        </w:rPr>
        <w:t>Am  J</w:t>
      </w:r>
      <w:proofErr w:type="gramEnd"/>
      <w:r>
        <w:rPr>
          <w:lang w:eastAsia="en-GB"/>
        </w:rPr>
        <w:t xml:space="preserve"> Med 2005</w:t>
      </w:r>
      <w:r w:rsidRPr="00127C71">
        <w:rPr>
          <w:lang w:eastAsia="en-GB"/>
        </w:rPr>
        <w:t>;</w:t>
      </w:r>
      <w:r>
        <w:rPr>
          <w:lang w:eastAsia="en-GB"/>
        </w:rPr>
        <w:t xml:space="preserve"> </w:t>
      </w:r>
      <w:r w:rsidRPr="00127C71">
        <w:rPr>
          <w:lang w:eastAsia="en-GB"/>
        </w:rPr>
        <w:t>118(10):</w:t>
      </w:r>
      <w:r>
        <w:rPr>
          <w:lang w:eastAsia="en-GB"/>
        </w:rPr>
        <w:t xml:space="preserve"> </w:t>
      </w:r>
      <w:r w:rsidRPr="00127C71">
        <w:rPr>
          <w:lang w:eastAsia="en-GB"/>
        </w:rPr>
        <w:t>1142-7. PubMed PMID: 16194646.</w:t>
      </w: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27C7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F4 </w:t>
      </w:r>
      <w:r w:rsidRPr="00127C71">
        <w:rPr>
          <w:lang w:eastAsia="en-GB"/>
        </w:rPr>
        <w:t xml:space="preserve">(ii): British National Formulary vol. 61 (March, 2011), </w:t>
      </w:r>
      <w:proofErr w:type="gramStart"/>
      <w:r w:rsidRPr="00127C71">
        <w:rPr>
          <w:lang w:eastAsia="en-GB"/>
        </w:rPr>
        <w:t>section</w:t>
      </w:r>
      <w:proofErr w:type="gramEnd"/>
      <w:r w:rsidRPr="00127C71">
        <w:rPr>
          <w:lang w:eastAsia="en-GB"/>
        </w:rPr>
        <w:t xml:space="preserve"> 9.1.1.1. Iron deficiency anaemia, pp 576-7.</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017E7"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proofErr w:type="gramStart"/>
      <w:r w:rsidRPr="002017E7">
        <w:rPr>
          <w:b/>
          <w:bCs/>
          <w:sz w:val="28"/>
          <w:szCs w:val="28"/>
          <w:lang w:eastAsia="en-GB"/>
        </w:rPr>
        <w:t>Section G. Respiratory System</w:t>
      </w:r>
      <w:r>
        <w:rPr>
          <w:b/>
          <w:bCs/>
          <w:sz w:val="28"/>
          <w:szCs w:val="28"/>
          <w:lang w:eastAsia="en-GB"/>
        </w:rPr>
        <w:t xml:space="preserve"> criteria</w:t>
      </w:r>
      <w:r w:rsidRPr="002017E7">
        <w:rPr>
          <w:b/>
          <w:bCs/>
          <w:sz w:val="28"/>
          <w:szCs w:val="28"/>
          <w:lang w:eastAsia="en-GB"/>
        </w:rPr>
        <w:t>.</w:t>
      </w:r>
      <w:proofErr w:type="gramEnd"/>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3833F8">
        <w:rPr>
          <w:b/>
          <w:bCs/>
          <w:lang w:eastAsia="en-GB"/>
        </w:rPr>
        <w:t xml:space="preserve">G1. </w:t>
      </w:r>
      <w:proofErr w:type="gramStart"/>
      <w:r w:rsidRPr="003833F8">
        <w:rPr>
          <w:b/>
          <w:bCs/>
          <w:lang w:eastAsia="en-GB"/>
        </w:rPr>
        <w:t>Theophylline as monotherapy for COPD (safer, more effective alternative; risk of adverse effects due to narrow therapeutic index).</w:t>
      </w:r>
      <w:proofErr w:type="gramEnd"/>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3833F8">
        <w:rPr>
          <w:lang w:eastAsia="en-GB"/>
        </w:rPr>
        <w:t>G1(i): Rabe KF, Hurd S, Anzueto A, Barnes PJ, Buist SA, Calverley P, Fukuchi Y, Jenkins C, Rodriguez-Roisin R, van Weel C, Zielinski J; Global Initiative for Chronic Obstructive Lung Disease. Global strategy for the diagnosis, management, and prevention of chronic obstructive pulmonary disease: GOLD executive summ</w:t>
      </w:r>
      <w:r>
        <w:rPr>
          <w:lang w:eastAsia="en-GB"/>
        </w:rPr>
        <w:t>ary.  Am J Respir Crit Care Med 2007</w:t>
      </w:r>
      <w:r w:rsidRPr="003833F8">
        <w:rPr>
          <w:lang w:eastAsia="en-GB"/>
        </w:rPr>
        <w:t>;</w:t>
      </w:r>
      <w:r>
        <w:rPr>
          <w:lang w:eastAsia="en-GB"/>
        </w:rPr>
        <w:t xml:space="preserve"> </w:t>
      </w:r>
      <w:r w:rsidRPr="003833F8">
        <w:rPr>
          <w:lang w:eastAsia="en-GB"/>
        </w:rPr>
        <w:t>176(6):</w:t>
      </w:r>
      <w:r>
        <w:rPr>
          <w:lang w:eastAsia="en-GB"/>
        </w:rPr>
        <w:t xml:space="preserve"> </w:t>
      </w:r>
      <w:r w:rsidRPr="003833F8">
        <w:rPr>
          <w:lang w:eastAsia="en-GB"/>
        </w:rPr>
        <w:t>532-55</w:t>
      </w:r>
      <w:r>
        <w:rPr>
          <w:lang w:eastAsia="en-GB"/>
        </w:rPr>
        <w:t xml:space="preserve">. </w:t>
      </w:r>
      <w:proofErr w:type="gramStart"/>
      <w:r w:rsidRPr="003833F8">
        <w:rPr>
          <w:lang w:eastAsia="en-GB"/>
        </w:rPr>
        <w:t>Review.</w:t>
      </w:r>
      <w:proofErr w:type="gramEnd"/>
      <w:r w:rsidRPr="003833F8">
        <w:rPr>
          <w:lang w:eastAsia="en-GB"/>
        </w:rPr>
        <w:t xml:space="preserve"> PubMed PMID: 17507545.</w:t>
      </w: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3833F8">
        <w:rPr>
          <w:lang w:eastAsia="en-GB"/>
        </w:rPr>
        <w:t>G1(</w:t>
      </w:r>
      <w:proofErr w:type="gramEnd"/>
      <w:r w:rsidRPr="003833F8">
        <w:rPr>
          <w:lang w:eastAsia="en-GB"/>
        </w:rPr>
        <w:t xml:space="preserve">ii): Ramsdell J. Use of theophylline </w:t>
      </w:r>
      <w:r>
        <w:rPr>
          <w:lang w:eastAsia="en-GB"/>
        </w:rPr>
        <w:t>in the treatment of COPD. Chest 1995</w:t>
      </w:r>
      <w:r w:rsidRPr="003833F8">
        <w:rPr>
          <w:lang w:eastAsia="en-GB"/>
        </w:rPr>
        <w:t>;</w:t>
      </w:r>
      <w:r>
        <w:rPr>
          <w:lang w:eastAsia="en-GB"/>
        </w:rPr>
        <w:t xml:space="preserve"> </w:t>
      </w:r>
      <w:r w:rsidRPr="003833F8">
        <w:rPr>
          <w:lang w:eastAsia="en-GB"/>
        </w:rPr>
        <w:t>107(5 Suppl):</w:t>
      </w:r>
      <w:r>
        <w:rPr>
          <w:lang w:eastAsia="en-GB"/>
        </w:rPr>
        <w:t xml:space="preserve"> </w:t>
      </w:r>
      <w:r w:rsidRPr="003833F8">
        <w:rPr>
          <w:lang w:eastAsia="en-GB"/>
        </w:rPr>
        <w:t xml:space="preserve">206S-209S. </w:t>
      </w:r>
      <w:proofErr w:type="gramStart"/>
      <w:r w:rsidRPr="003833F8">
        <w:rPr>
          <w:lang w:eastAsia="en-GB"/>
        </w:rPr>
        <w:t>Review.</w:t>
      </w:r>
      <w:proofErr w:type="gramEnd"/>
      <w:r w:rsidRPr="003833F8">
        <w:rPr>
          <w:lang w:eastAsia="en-GB"/>
        </w:rPr>
        <w:t xml:space="preserve"> PubMed PMID: 7743828.</w:t>
      </w: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3833F8">
        <w:rPr>
          <w:b/>
          <w:bCs/>
          <w:lang w:eastAsia="en-GB"/>
        </w:rPr>
        <w:t>G2. Systemic corticosteroids instead of inhaled corticosteroids for maintenance therapy in moderate-severe COPD (unnecessary exposure to long-term side-effects of systemic corticosteroids and effective inhaled therapies are available).</w:t>
      </w: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3833F8">
        <w:rPr>
          <w:lang w:eastAsia="en-GB"/>
        </w:rPr>
        <w:t>G2(i): Rabe KF, Hurd S, Anzueto A, Barnes PJ, Buist SA, Calverley P, Fukuchi Y, Jenkins C, Rodriguez-Roisin R, van Weel C, Zielinski J; Global Initiative for Chronic Obstructive Lung Disease. Global strategy for the diagnosis, management, and prevention of chronic obstructive pulmonary disease: GOLD executive summ</w:t>
      </w:r>
      <w:r>
        <w:rPr>
          <w:lang w:eastAsia="en-GB"/>
        </w:rPr>
        <w:t>ary.  Am J Respir Crit Care Med 2007</w:t>
      </w:r>
      <w:r w:rsidRPr="003833F8">
        <w:rPr>
          <w:lang w:eastAsia="en-GB"/>
        </w:rPr>
        <w:t>;</w:t>
      </w:r>
      <w:r>
        <w:rPr>
          <w:lang w:eastAsia="en-GB"/>
        </w:rPr>
        <w:t xml:space="preserve"> </w:t>
      </w:r>
      <w:r w:rsidRPr="003833F8">
        <w:rPr>
          <w:lang w:eastAsia="en-GB"/>
        </w:rPr>
        <w:t>176(6):</w:t>
      </w:r>
      <w:r>
        <w:rPr>
          <w:lang w:eastAsia="en-GB"/>
        </w:rPr>
        <w:t xml:space="preserve"> </w:t>
      </w:r>
      <w:r w:rsidRPr="003833F8">
        <w:rPr>
          <w:lang w:eastAsia="en-GB"/>
        </w:rPr>
        <w:t xml:space="preserve">532-55. </w:t>
      </w:r>
      <w:proofErr w:type="gramStart"/>
      <w:r w:rsidRPr="003833F8">
        <w:rPr>
          <w:lang w:eastAsia="en-GB"/>
        </w:rPr>
        <w:t>Review.</w:t>
      </w:r>
      <w:proofErr w:type="gramEnd"/>
      <w:r w:rsidRPr="003833F8">
        <w:rPr>
          <w:lang w:eastAsia="en-GB"/>
        </w:rPr>
        <w:t xml:space="preserve"> PubMed PMID: 17507545.</w:t>
      </w: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3833F8">
        <w:rPr>
          <w:lang w:eastAsia="en-GB"/>
        </w:rPr>
        <w:t>G2(</w:t>
      </w:r>
      <w:proofErr w:type="gramEnd"/>
      <w:r w:rsidRPr="003833F8">
        <w:rPr>
          <w:lang w:eastAsia="en-GB"/>
        </w:rPr>
        <w:t xml:space="preserve">ii): Wood-Baker R, Walters J, Walters EH. Systemic corticosteroids in chronic </w:t>
      </w:r>
      <w:r>
        <w:rPr>
          <w:lang w:eastAsia="en-GB"/>
        </w:rPr>
        <w:t xml:space="preserve">obstructive </w:t>
      </w:r>
      <w:r w:rsidRPr="003833F8">
        <w:rPr>
          <w:lang w:eastAsia="en-GB"/>
        </w:rPr>
        <w:t xml:space="preserve">pulmonary disease: an overview of Cochrane systematic reviews. Respir </w:t>
      </w:r>
      <w:r>
        <w:rPr>
          <w:lang w:eastAsia="en-GB"/>
        </w:rPr>
        <w:t>Med 2007</w:t>
      </w:r>
      <w:r w:rsidRPr="003833F8">
        <w:rPr>
          <w:lang w:eastAsia="en-GB"/>
        </w:rPr>
        <w:t>;</w:t>
      </w:r>
      <w:r>
        <w:rPr>
          <w:lang w:eastAsia="en-GB"/>
        </w:rPr>
        <w:t xml:space="preserve"> </w:t>
      </w:r>
      <w:r w:rsidRPr="003833F8">
        <w:rPr>
          <w:lang w:eastAsia="en-GB"/>
        </w:rPr>
        <w:t>101(3):</w:t>
      </w:r>
      <w:r>
        <w:rPr>
          <w:lang w:eastAsia="en-GB"/>
        </w:rPr>
        <w:t xml:space="preserve"> </w:t>
      </w:r>
      <w:r w:rsidRPr="003833F8">
        <w:rPr>
          <w:lang w:eastAsia="en-GB"/>
        </w:rPr>
        <w:t xml:space="preserve">371-7. </w:t>
      </w:r>
      <w:proofErr w:type="gramStart"/>
      <w:r w:rsidRPr="003833F8">
        <w:rPr>
          <w:lang w:eastAsia="en-GB"/>
        </w:rPr>
        <w:t>Review.</w:t>
      </w:r>
      <w:proofErr w:type="gramEnd"/>
      <w:r w:rsidRPr="003833F8">
        <w:rPr>
          <w:lang w:eastAsia="en-GB"/>
        </w:rPr>
        <w:t xml:space="preserve"> PubMed PMID: 16962307.</w:t>
      </w: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3833F8">
        <w:rPr>
          <w:b/>
          <w:bCs/>
          <w:lang w:eastAsia="en-GB"/>
        </w:rPr>
        <w:t>G3. Anti</w:t>
      </w:r>
      <w:r>
        <w:rPr>
          <w:b/>
          <w:bCs/>
          <w:lang w:eastAsia="en-GB"/>
        </w:rPr>
        <w:t>-</w:t>
      </w:r>
      <w:r w:rsidRPr="003833F8">
        <w:rPr>
          <w:b/>
          <w:bCs/>
          <w:lang w:eastAsia="en-GB"/>
        </w:rPr>
        <w:t>muscarinic bronchodilators (e.g. ipratropium, tiotropium) with a history of narrow angle glaucoma (may exacerbate glaucoma) or bladder outflow obstruction (may cause urinary retention).</w:t>
      </w: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3833F8">
        <w:rPr>
          <w:lang w:eastAsia="en-GB"/>
        </w:rPr>
        <w:t>G3(</w:t>
      </w:r>
      <w:proofErr w:type="gramEnd"/>
      <w:r w:rsidRPr="003833F8">
        <w:rPr>
          <w:lang w:eastAsia="en-GB"/>
        </w:rPr>
        <w:t>i): Gupta P, O'Mahony MS. Potential adverse effects of bronchodilators in the treatment of airways obstruction in older people: recommendatio</w:t>
      </w:r>
      <w:r>
        <w:rPr>
          <w:lang w:eastAsia="en-GB"/>
        </w:rPr>
        <w:t>ns for prescribing. Drugs Aging</w:t>
      </w:r>
      <w:r w:rsidRPr="003833F8">
        <w:rPr>
          <w:lang w:eastAsia="en-GB"/>
        </w:rPr>
        <w:t xml:space="preserve"> 2008;</w:t>
      </w:r>
      <w:r>
        <w:rPr>
          <w:lang w:eastAsia="en-GB"/>
        </w:rPr>
        <w:t xml:space="preserve"> </w:t>
      </w:r>
      <w:r w:rsidRPr="003833F8">
        <w:rPr>
          <w:lang w:eastAsia="en-GB"/>
        </w:rPr>
        <w:t>25(5):</w:t>
      </w:r>
      <w:r>
        <w:rPr>
          <w:lang w:eastAsia="en-GB"/>
        </w:rPr>
        <w:t xml:space="preserve"> </w:t>
      </w:r>
      <w:r w:rsidRPr="003833F8">
        <w:rPr>
          <w:lang w:eastAsia="en-GB"/>
        </w:rPr>
        <w:t xml:space="preserve">415-43. </w:t>
      </w:r>
      <w:proofErr w:type="gramStart"/>
      <w:r w:rsidRPr="003833F8">
        <w:rPr>
          <w:lang w:eastAsia="en-GB"/>
        </w:rPr>
        <w:t>Review.</w:t>
      </w:r>
      <w:proofErr w:type="gramEnd"/>
      <w:r w:rsidRPr="003833F8">
        <w:rPr>
          <w:lang w:eastAsia="en-GB"/>
        </w:rPr>
        <w:t xml:space="preserve"> PubMed PMID: 18447405.</w:t>
      </w: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D5BF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sidRPr="003833F8">
        <w:rPr>
          <w:lang w:eastAsia="en-GB"/>
        </w:rPr>
        <w:t xml:space="preserve">G3(ii): </w:t>
      </w:r>
      <w:r w:rsidRPr="001D5BF6">
        <w:rPr>
          <w:lang w:val="en-IE" w:eastAsia="en-GB"/>
        </w:rPr>
        <w:t>Oba Y, Zaza T, Thameem DM. Safety, tolerabili</w:t>
      </w:r>
      <w:r>
        <w:rPr>
          <w:lang w:val="en-IE" w:eastAsia="en-GB"/>
        </w:rPr>
        <w:t xml:space="preserve">ty and risk benefit analysis of </w:t>
      </w:r>
      <w:r w:rsidRPr="001D5BF6">
        <w:rPr>
          <w:lang w:val="en-IE" w:eastAsia="en-GB"/>
        </w:rPr>
        <w:t xml:space="preserve">tiotropium in COPD. </w:t>
      </w:r>
      <w:r>
        <w:rPr>
          <w:lang w:val="en-IE" w:eastAsia="en-GB"/>
        </w:rPr>
        <w:t>Int J Chron Obstruct Pulmon Dis</w:t>
      </w:r>
      <w:r w:rsidRPr="001D5BF6">
        <w:rPr>
          <w:lang w:val="en-IE" w:eastAsia="en-GB"/>
        </w:rPr>
        <w:t xml:space="preserve"> 2008;</w:t>
      </w:r>
      <w:r>
        <w:rPr>
          <w:lang w:val="en-IE" w:eastAsia="en-GB"/>
        </w:rPr>
        <w:t xml:space="preserve"> </w:t>
      </w:r>
      <w:r w:rsidRPr="001D5BF6">
        <w:rPr>
          <w:lang w:val="en-IE" w:eastAsia="en-GB"/>
        </w:rPr>
        <w:t>3(4):</w:t>
      </w:r>
      <w:r>
        <w:rPr>
          <w:lang w:val="en-IE" w:eastAsia="en-GB"/>
        </w:rPr>
        <w:t xml:space="preserve"> </w:t>
      </w:r>
      <w:r w:rsidRPr="001D5BF6">
        <w:rPr>
          <w:lang w:val="en-IE" w:eastAsia="en-GB"/>
        </w:rPr>
        <w:t xml:space="preserve">575-84. </w:t>
      </w:r>
      <w:proofErr w:type="gramStart"/>
      <w:r w:rsidRPr="001D5BF6">
        <w:rPr>
          <w:lang w:val="en-IE" w:eastAsia="en-GB"/>
        </w:rPr>
        <w:t>Review.</w:t>
      </w:r>
      <w:proofErr w:type="gramEnd"/>
      <w:r>
        <w:rPr>
          <w:lang w:val="en-IE" w:eastAsia="en-GB"/>
        </w:rPr>
        <w:t xml:space="preserve"> </w:t>
      </w:r>
      <w:r w:rsidRPr="001D5BF6">
        <w:rPr>
          <w:lang w:val="en-IE" w:eastAsia="en-GB"/>
        </w:rPr>
        <w:t>PubMed PMID: 19281075</w:t>
      </w:r>
      <w:r>
        <w:rPr>
          <w:lang w:val="en-IE" w:eastAsia="en-GB"/>
        </w:rPr>
        <w:t>.</w:t>
      </w: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BA5FB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FF0000"/>
          <w:lang w:eastAsia="en-GB"/>
        </w:rPr>
      </w:pP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Pr>
          <w:b/>
          <w:bCs/>
          <w:lang w:eastAsia="en-GB"/>
        </w:rPr>
        <w:t>G4</w:t>
      </w:r>
      <w:r w:rsidRPr="003833F8">
        <w:rPr>
          <w:b/>
          <w:bCs/>
          <w:lang w:eastAsia="en-GB"/>
        </w:rPr>
        <w:t xml:space="preserve">. </w:t>
      </w:r>
      <w:proofErr w:type="gramStart"/>
      <w:r w:rsidRPr="003833F8">
        <w:rPr>
          <w:b/>
          <w:bCs/>
          <w:lang w:eastAsia="en-GB"/>
        </w:rPr>
        <w:t>Benzodiazepines with acute or chronic respiratory failure i.e. pO2 &lt; 8.0 kPa ± pCO2 &gt; 6.5 kPa (risk of exacerbation of respiratory failure).</w:t>
      </w:r>
      <w:proofErr w:type="gramEnd"/>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605A35">
        <w:rPr>
          <w:lang w:val="sv-SE" w:eastAsia="en-GB"/>
        </w:rPr>
        <w:t xml:space="preserve">G4 (i): Model DG, Berry DJ. </w:t>
      </w:r>
      <w:proofErr w:type="gramStart"/>
      <w:r w:rsidRPr="003833F8">
        <w:rPr>
          <w:lang w:eastAsia="en-GB"/>
        </w:rPr>
        <w:t>Effects of chlordiazepoxide in respiratory failure due</w:t>
      </w:r>
      <w:r>
        <w:rPr>
          <w:lang w:eastAsia="en-GB"/>
        </w:rPr>
        <w:t xml:space="preserve"> to chronic bronchitis.</w:t>
      </w:r>
      <w:proofErr w:type="gramEnd"/>
      <w:r>
        <w:rPr>
          <w:lang w:eastAsia="en-GB"/>
        </w:rPr>
        <w:t xml:space="preserve"> Lancet 1974</w:t>
      </w:r>
      <w:r w:rsidRPr="003833F8">
        <w:rPr>
          <w:lang w:eastAsia="en-GB"/>
        </w:rPr>
        <w:t>;</w:t>
      </w:r>
      <w:r>
        <w:rPr>
          <w:lang w:eastAsia="en-GB"/>
        </w:rPr>
        <w:t xml:space="preserve"> </w:t>
      </w:r>
      <w:r w:rsidRPr="003833F8">
        <w:rPr>
          <w:lang w:eastAsia="en-GB"/>
        </w:rPr>
        <w:t>2(7885):</w:t>
      </w:r>
      <w:r>
        <w:rPr>
          <w:lang w:eastAsia="en-GB"/>
        </w:rPr>
        <w:t xml:space="preserve"> </w:t>
      </w:r>
      <w:r w:rsidRPr="003833F8">
        <w:rPr>
          <w:lang w:eastAsia="en-GB"/>
        </w:rPr>
        <w:t>869-70. PubMed PMID: 4137638.</w:t>
      </w: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G4 </w:t>
      </w:r>
      <w:r w:rsidRPr="003833F8">
        <w:rPr>
          <w:lang w:eastAsia="en-GB"/>
        </w:rPr>
        <w:t xml:space="preserve">(ii): Hak E, Bont J, Hoes AW, </w:t>
      </w:r>
      <w:proofErr w:type="gramStart"/>
      <w:r w:rsidRPr="003833F8">
        <w:rPr>
          <w:lang w:eastAsia="en-GB"/>
        </w:rPr>
        <w:t>Verheij</w:t>
      </w:r>
      <w:proofErr w:type="gramEnd"/>
      <w:r w:rsidRPr="003833F8">
        <w:rPr>
          <w:lang w:eastAsia="en-GB"/>
        </w:rPr>
        <w:t xml:space="preserve"> TJ. </w:t>
      </w:r>
      <w:proofErr w:type="gramStart"/>
      <w:r w:rsidRPr="003833F8">
        <w:rPr>
          <w:lang w:eastAsia="en-GB"/>
        </w:rPr>
        <w:t>Prognostic factors for serious morbidity and mortality from community-acquired lower respiratory tract infections among the eld</w:t>
      </w:r>
      <w:r>
        <w:rPr>
          <w:lang w:eastAsia="en-GB"/>
        </w:rPr>
        <w:t>erly in primary care.</w:t>
      </w:r>
      <w:proofErr w:type="gramEnd"/>
      <w:r>
        <w:rPr>
          <w:lang w:eastAsia="en-GB"/>
        </w:rPr>
        <w:t xml:space="preserve"> </w:t>
      </w:r>
      <w:proofErr w:type="gramStart"/>
      <w:r>
        <w:rPr>
          <w:lang w:eastAsia="en-GB"/>
        </w:rPr>
        <w:t>Fam</w:t>
      </w:r>
      <w:proofErr w:type="gramEnd"/>
      <w:r>
        <w:rPr>
          <w:lang w:eastAsia="en-GB"/>
        </w:rPr>
        <w:t xml:space="preserve"> Pract 2005</w:t>
      </w:r>
      <w:r w:rsidRPr="003833F8">
        <w:rPr>
          <w:lang w:eastAsia="en-GB"/>
        </w:rPr>
        <w:t>;</w:t>
      </w:r>
      <w:r>
        <w:rPr>
          <w:lang w:eastAsia="en-GB"/>
        </w:rPr>
        <w:t xml:space="preserve"> </w:t>
      </w:r>
      <w:r w:rsidRPr="003833F8">
        <w:rPr>
          <w:lang w:eastAsia="en-GB"/>
        </w:rPr>
        <w:t>22(4):</w:t>
      </w:r>
      <w:r>
        <w:rPr>
          <w:lang w:eastAsia="en-GB"/>
        </w:rPr>
        <w:t xml:space="preserve"> </w:t>
      </w:r>
      <w:r w:rsidRPr="003833F8">
        <w:rPr>
          <w:lang w:eastAsia="en-GB"/>
        </w:rPr>
        <w:t>375-80. PubMed PMID: 15805127.</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7765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r w:rsidRPr="0057765B">
        <w:rPr>
          <w:b/>
          <w:bCs/>
          <w:sz w:val="28"/>
          <w:szCs w:val="28"/>
          <w:lang w:eastAsia="en-GB"/>
        </w:rPr>
        <w:t>Section H: Musculoskeletal System</w:t>
      </w:r>
      <w:r>
        <w:rPr>
          <w:b/>
          <w:bCs/>
          <w:sz w:val="28"/>
          <w:szCs w:val="28"/>
          <w:lang w:eastAsia="en-GB"/>
        </w:rPr>
        <w:t xml:space="preserve"> criteria</w:t>
      </w:r>
      <w:r w:rsidRPr="0057765B">
        <w:rPr>
          <w:b/>
          <w:bCs/>
          <w:sz w:val="28"/>
          <w:szCs w:val="28"/>
          <w:lang w:eastAsia="en-GB"/>
        </w:rPr>
        <w:t>.</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C54B2A">
        <w:rPr>
          <w:b/>
          <w:bCs/>
          <w:lang w:eastAsia="en-GB"/>
        </w:rPr>
        <w:t xml:space="preserve">H1. </w:t>
      </w:r>
      <w:proofErr w:type="gramStart"/>
      <w:r w:rsidRPr="00C54B2A">
        <w:rPr>
          <w:b/>
          <w:bCs/>
          <w:lang w:eastAsia="en-GB"/>
        </w:rPr>
        <w:t>Non-COX-2 selective non-steroidal anti-inflammatory drug (NSAID) with history of peptic ulcer disease or gastrointestinal bleeding, unless with concurrent PPI or H2 antagonist (risk of peptic ulcer relapse).</w:t>
      </w:r>
      <w:proofErr w:type="gramEnd"/>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54B2A">
        <w:rPr>
          <w:lang w:eastAsia="en-GB"/>
        </w:rPr>
        <w:t>H1</w:t>
      </w:r>
      <w:r>
        <w:rPr>
          <w:lang w:eastAsia="en-GB"/>
        </w:rPr>
        <w:t xml:space="preserve"> </w:t>
      </w:r>
      <w:r w:rsidRPr="00C54B2A">
        <w:rPr>
          <w:lang w:eastAsia="en-GB"/>
        </w:rPr>
        <w:t>(i): Blandizzi C, Tuccori M, Colucci R, Gori G, Fornai M, Antonioli L, Ghisu N, Del Tacc</w:t>
      </w:r>
      <w:r>
        <w:rPr>
          <w:lang w:eastAsia="en-GB"/>
        </w:rPr>
        <w:t xml:space="preserve">a M. </w:t>
      </w:r>
      <w:r w:rsidRPr="00C54B2A">
        <w:rPr>
          <w:lang w:eastAsia="en-GB"/>
        </w:rPr>
        <w:t>Clinical efficacy of esomeprazole in the prevention and healing of gastrointestinal toxicity associated with NSAIDs i</w:t>
      </w:r>
      <w:r>
        <w:rPr>
          <w:lang w:eastAsia="en-GB"/>
        </w:rPr>
        <w:t>n elderly patients. Drugs Aging</w:t>
      </w:r>
      <w:r w:rsidRPr="00C54B2A">
        <w:rPr>
          <w:lang w:eastAsia="en-GB"/>
        </w:rPr>
        <w:t xml:space="preserve"> 2008;</w:t>
      </w:r>
      <w:r>
        <w:rPr>
          <w:lang w:eastAsia="en-GB"/>
        </w:rPr>
        <w:t xml:space="preserve"> </w:t>
      </w:r>
      <w:r w:rsidRPr="00C54B2A">
        <w:rPr>
          <w:lang w:eastAsia="en-GB"/>
        </w:rPr>
        <w:t>25(3):</w:t>
      </w:r>
      <w:r>
        <w:rPr>
          <w:lang w:eastAsia="en-GB"/>
        </w:rPr>
        <w:t xml:space="preserve"> </w:t>
      </w:r>
      <w:r w:rsidRPr="00C54B2A">
        <w:rPr>
          <w:lang w:eastAsia="en-GB"/>
        </w:rPr>
        <w:t xml:space="preserve">197-208. </w:t>
      </w:r>
      <w:proofErr w:type="gramStart"/>
      <w:r w:rsidRPr="00C54B2A">
        <w:rPr>
          <w:lang w:eastAsia="en-GB"/>
        </w:rPr>
        <w:t>Review.</w:t>
      </w:r>
      <w:proofErr w:type="gramEnd"/>
      <w:r w:rsidRPr="00C54B2A">
        <w:rPr>
          <w:lang w:eastAsia="en-GB"/>
        </w:rPr>
        <w:t xml:space="preserve"> PubMed PMID: 18331072.</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54B2A">
        <w:rPr>
          <w:lang w:eastAsia="en-GB"/>
        </w:rPr>
        <w:t>H1</w:t>
      </w:r>
      <w:r>
        <w:rPr>
          <w:lang w:eastAsia="en-GB"/>
        </w:rPr>
        <w:t xml:space="preserve"> </w:t>
      </w:r>
      <w:r w:rsidRPr="00C54B2A">
        <w:rPr>
          <w:lang w:eastAsia="en-GB"/>
        </w:rPr>
        <w:t>(ii): Lanas A, Ferrandez A. Inappropriate prevention of NSAID-induced gastrointestinal events among long-term users in the elderly. Drugs Aging 2007;</w:t>
      </w:r>
      <w:r>
        <w:rPr>
          <w:lang w:eastAsia="en-GB"/>
        </w:rPr>
        <w:t xml:space="preserve"> </w:t>
      </w:r>
      <w:r w:rsidRPr="00C54B2A">
        <w:rPr>
          <w:lang w:eastAsia="en-GB"/>
        </w:rPr>
        <w:t xml:space="preserve">24(2):121-31. </w:t>
      </w:r>
      <w:proofErr w:type="gramStart"/>
      <w:r w:rsidRPr="00C54B2A">
        <w:rPr>
          <w:lang w:eastAsia="en-GB"/>
        </w:rPr>
        <w:t>Review.</w:t>
      </w:r>
      <w:proofErr w:type="gramEnd"/>
      <w:r w:rsidRPr="00C54B2A">
        <w:rPr>
          <w:lang w:eastAsia="en-GB"/>
        </w:rPr>
        <w:t xml:space="preserve">  PubMed PMID: 17313200.</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54B2A">
        <w:rPr>
          <w:lang w:eastAsia="en-GB"/>
        </w:rPr>
        <w:t xml:space="preserve">H1(iii): Alaa Rostom, Catherine Dube, George A Wells, Peter Tugwell, Vivian Welch, Emilie Jolicoeur, Jessie McGowan, Angel Lanas. </w:t>
      </w:r>
      <w:proofErr w:type="gramStart"/>
      <w:r w:rsidRPr="00C54B2A">
        <w:rPr>
          <w:lang w:eastAsia="en-GB"/>
        </w:rPr>
        <w:t>Prevention of NSAID-induced gastroduodenal ulcers.</w:t>
      </w:r>
      <w:proofErr w:type="gramEnd"/>
      <w:r w:rsidRPr="00C54B2A">
        <w:rPr>
          <w:lang w:eastAsia="en-GB"/>
        </w:rPr>
        <w:t xml:space="preserve"> Editorial Group: </w:t>
      </w:r>
      <w:hyperlink r:id="rId27" w:history="1">
        <w:r w:rsidRPr="00C54B2A">
          <w:rPr>
            <w:rStyle w:val="Hyperlink"/>
            <w:rFonts w:cs="Calibri"/>
            <w:lang w:eastAsia="en-GB"/>
          </w:rPr>
          <w:t xml:space="preserve">Cochrane Upper Gastrointestinal and Pancreatic Diseases Group </w:t>
        </w:r>
      </w:hyperlink>
      <w:r>
        <w:rPr>
          <w:lang w:eastAsia="en-GB"/>
        </w:rPr>
        <w:t>Published Online: 20 Jan</w:t>
      </w:r>
      <w:r w:rsidRPr="00C54B2A">
        <w:rPr>
          <w:lang w:eastAsia="en-GB"/>
        </w:rPr>
        <w:t xml:space="preserve"> 2010. DOI: 10.1002/14651858.CD002296.</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C54B2A">
        <w:rPr>
          <w:b/>
          <w:bCs/>
          <w:lang w:eastAsia="en-GB"/>
        </w:rPr>
        <w:t xml:space="preserve">H2. </w:t>
      </w:r>
      <w:proofErr w:type="gramStart"/>
      <w:r w:rsidRPr="00C54B2A">
        <w:rPr>
          <w:b/>
          <w:bCs/>
          <w:lang w:eastAsia="en-GB"/>
        </w:rPr>
        <w:t>NSAID with established hypertension (risk of exacerbation of hypertension) or heart failure (risk of exacerbation of heart failure).</w:t>
      </w:r>
      <w:proofErr w:type="gramEnd"/>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C54B2A">
        <w:rPr>
          <w:lang w:eastAsia="en-GB"/>
        </w:rPr>
        <w:t>H2(</w:t>
      </w:r>
      <w:proofErr w:type="gramEnd"/>
      <w:r w:rsidRPr="00C54B2A">
        <w:rPr>
          <w:lang w:eastAsia="en-GB"/>
        </w:rPr>
        <w:t xml:space="preserve">i): White WB. </w:t>
      </w:r>
      <w:proofErr w:type="gramStart"/>
      <w:r w:rsidRPr="00C54B2A">
        <w:rPr>
          <w:lang w:eastAsia="en-GB"/>
        </w:rPr>
        <w:t>Defining the problem of treating the patient with hypertension and art</w:t>
      </w:r>
      <w:r>
        <w:rPr>
          <w:lang w:eastAsia="en-GB"/>
        </w:rPr>
        <w:t>hritis pain.</w:t>
      </w:r>
      <w:proofErr w:type="gramEnd"/>
      <w:r>
        <w:rPr>
          <w:lang w:eastAsia="en-GB"/>
        </w:rPr>
        <w:t xml:space="preserve">  Am J Med. 2009</w:t>
      </w:r>
      <w:r w:rsidRPr="00C54B2A">
        <w:rPr>
          <w:lang w:eastAsia="en-GB"/>
        </w:rPr>
        <w:t>;</w:t>
      </w:r>
      <w:r>
        <w:rPr>
          <w:lang w:eastAsia="en-GB"/>
        </w:rPr>
        <w:t xml:space="preserve"> </w:t>
      </w:r>
      <w:r w:rsidRPr="00C54B2A">
        <w:rPr>
          <w:lang w:eastAsia="en-GB"/>
        </w:rPr>
        <w:t>122(5 Suppl):</w:t>
      </w:r>
      <w:r>
        <w:rPr>
          <w:lang w:eastAsia="en-GB"/>
        </w:rPr>
        <w:t xml:space="preserve"> </w:t>
      </w:r>
      <w:r w:rsidRPr="00C54B2A">
        <w:rPr>
          <w:lang w:eastAsia="en-GB"/>
        </w:rPr>
        <w:t xml:space="preserve">S3-9. </w:t>
      </w:r>
      <w:proofErr w:type="gramStart"/>
      <w:r w:rsidRPr="00C54B2A">
        <w:rPr>
          <w:lang w:eastAsia="en-GB"/>
        </w:rPr>
        <w:t>Review.</w:t>
      </w:r>
      <w:proofErr w:type="gramEnd"/>
      <w:r w:rsidRPr="00C54B2A">
        <w:rPr>
          <w:lang w:eastAsia="en-GB"/>
        </w:rPr>
        <w:t xml:space="preserve">  PubMed PMID: 19393824.</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1B33C0">
        <w:rPr>
          <w:lang w:eastAsia="en-GB"/>
        </w:rPr>
        <w:t>H2(</w:t>
      </w:r>
      <w:proofErr w:type="gramEnd"/>
      <w:r w:rsidRPr="001B33C0">
        <w:rPr>
          <w:lang w:eastAsia="en-GB"/>
        </w:rPr>
        <w:t xml:space="preserve">ii): </w:t>
      </w:r>
      <w:hyperlink r:id="rId28" w:tooltip="Search for publications by this author" w:history="1">
        <w:r w:rsidRPr="001B33C0">
          <w:rPr>
            <w:rStyle w:val="Hyperlink"/>
            <w:rFonts w:cs="Calibri"/>
            <w:color w:val="auto"/>
            <w:u w:val="none"/>
            <w:lang w:eastAsia="en-GB"/>
          </w:rPr>
          <w:t>Park</w:t>
        </w:r>
        <w:r w:rsidRPr="00A57181">
          <w:rPr>
            <w:rStyle w:val="Hyperlink"/>
            <w:rFonts w:cs="Calibri"/>
            <w:color w:val="auto"/>
            <w:u w:val="none"/>
            <w:lang w:eastAsia="en-GB"/>
          </w:rPr>
          <w:t> </w:t>
        </w:r>
        <w:r w:rsidRPr="001B33C0">
          <w:rPr>
            <w:rStyle w:val="Hyperlink"/>
            <w:rFonts w:cs="Calibri"/>
            <w:color w:val="auto"/>
            <w:u w:val="none"/>
            <w:lang w:eastAsia="en-GB"/>
          </w:rPr>
          <w:t>KE.</w:t>
        </w:r>
      </w:hyperlink>
      <w:hyperlink r:id="rId29" w:tooltip="Search for publications by this author" w:history="1">
        <w:r w:rsidRPr="001B33C0">
          <w:rPr>
            <w:rStyle w:val="Hyperlink"/>
            <w:rFonts w:cs="Calibri"/>
            <w:color w:val="auto"/>
            <w:u w:val="none"/>
            <w:lang w:eastAsia="en-GB"/>
          </w:rPr>
          <w:t>Qin</w:t>
        </w:r>
        <w:r w:rsidRPr="00A57181">
          <w:rPr>
            <w:rStyle w:val="Hyperlink"/>
            <w:rFonts w:cs="Calibri"/>
            <w:color w:val="auto"/>
            <w:u w:val="none"/>
            <w:lang w:eastAsia="en-GB"/>
          </w:rPr>
          <w:t> </w:t>
        </w:r>
        <w:r w:rsidRPr="001B33C0">
          <w:rPr>
            <w:rStyle w:val="Hyperlink"/>
            <w:rFonts w:cs="Calibri"/>
            <w:color w:val="auto"/>
            <w:u w:val="none"/>
            <w:lang w:eastAsia="en-GB"/>
          </w:rPr>
          <w:t>Y</w:t>
        </w:r>
      </w:hyperlink>
      <w:r>
        <w:rPr>
          <w:lang w:eastAsia="en-GB"/>
        </w:rPr>
        <w:t xml:space="preserve">, </w:t>
      </w:r>
      <w:hyperlink r:id="rId30" w:tooltip="Search for publications by this author" w:history="1">
        <w:r w:rsidRPr="00C54B2A">
          <w:rPr>
            <w:rStyle w:val="Hyperlink"/>
            <w:rFonts w:cs="Calibri"/>
            <w:color w:val="auto"/>
            <w:u w:val="none"/>
            <w:lang w:eastAsia="en-GB"/>
          </w:rPr>
          <w:t>Bavry </w:t>
        </w:r>
        <w:r>
          <w:rPr>
            <w:rStyle w:val="Hyperlink"/>
            <w:rFonts w:cs="Calibri"/>
            <w:color w:val="auto"/>
            <w:u w:val="none"/>
            <w:lang w:eastAsia="en-GB"/>
          </w:rPr>
          <w:t>AA</w:t>
        </w:r>
        <w:r w:rsidRPr="00C54B2A">
          <w:rPr>
            <w:rStyle w:val="Hyperlink"/>
            <w:rFonts w:cs="Calibri"/>
            <w:color w:val="auto"/>
            <w:u w:val="none"/>
            <w:lang w:eastAsia="en-GB"/>
          </w:rPr>
          <w:t>.</w:t>
        </w:r>
      </w:hyperlink>
      <w:r>
        <w:rPr>
          <w:rStyle w:val="Hyperlink"/>
          <w:rFonts w:cs="Calibri"/>
          <w:color w:val="auto"/>
          <w:u w:val="none"/>
          <w:lang w:eastAsia="en-GB"/>
        </w:rPr>
        <w:t xml:space="preserve"> </w:t>
      </w:r>
      <w:proofErr w:type="gramStart"/>
      <w:r w:rsidRPr="00C54B2A">
        <w:rPr>
          <w:lang w:eastAsia="en-GB"/>
        </w:rPr>
        <w:t>Nonsteroidal anti-inflammatory drugs and their effects in th</w:t>
      </w:r>
      <w:r>
        <w:rPr>
          <w:lang w:eastAsia="en-GB"/>
        </w:rPr>
        <w:t>e elderly.</w:t>
      </w:r>
      <w:proofErr w:type="gramEnd"/>
      <w:r>
        <w:rPr>
          <w:lang w:eastAsia="en-GB"/>
        </w:rPr>
        <w:t xml:space="preserve"> Aging Health 2012; 8(2)</w:t>
      </w:r>
      <w:r w:rsidRPr="00C54B2A">
        <w:rPr>
          <w:lang w:eastAsia="en-GB"/>
        </w:rPr>
        <w:t xml:space="preserve">: 167-177. </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C54B2A">
        <w:rPr>
          <w:b/>
          <w:bCs/>
          <w:lang w:eastAsia="en-GB"/>
        </w:rPr>
        <w:t>H3. Long-term use of NSAID (&gt;3 months) for symptom relief of osteoarthritis pain where paracetamol has not been tried (simple analgesics preferable and usually as effective for pain relief)</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C54B2A">
        <w:rPr>
          <w:lang w:eastAsia="en-GB"/>
        </w:rPr>
        <w:t>H3(</w:t>
      </w:r>
      <w:proofErr w:type="gramEnd"/>
      <w:r w:rsidRPr="00C54B2A">
        <w:rPr>
          <w:lang w:eastAsia="en-GB"/>
        </w:rPr>
        <w:t>i): Nikles CJ, Yelland M, Del Mar C, Wilkinson D. The role of paracetamol in chronic pain: an evi</w:t>
      </w:r>
      <w:r>
        <w:rPr>
          <w:lang w:eastAsia="en-GB"/>
        </w:rPr>
        <w:t>dence-based approach. Am J Ther 2005</w:t>
      </w:r>
      <w:r w:rsidRPr="00C54B2A">
        <w:rPr>
          <w:lang w:eastAsia="en-GB"/>
        </w:rPr>
        <w:t>;</w:t>
      </w:r>
      <w:r>
        <w:rPr>
          <w:lang w:eastAsia="en-GB"/>
        </w:rPr>
        <w:t xml:space="preserve"> </w:t>
      </w:r>
      <w:r w:rsidRPr="00C54B2A">
        <w:rPr>
          <w:lang w:eastAsia="en-GB"/>
        </w:rPr>
        <w:t>12(1):</w:t>
      </w:r>
      <w:r>
        <w:rPr>
          <w:lang w:eastAsia="en-GB"/>
        </w:rPr>
        <w:t xml:space="preserve"> </w:t>
      </w:r>
      <w:r w:rsidRPr="00C54B2A">
        <w:rPr>
          <w:lang w:eastAsia="en-GB"/>
        </w:rPr>
        <w:t xml:space="preserve">80-91. </w:t>
      </w:r>
      <w:proofErr w:type="gramStart"/>
      <w:r w:rsidRPr="00C54B2A">
        <w:rPr>
          <w:lang w:eastAsia="en-GB"/>
        </w:rPr>
        <w:t>Review.</w:t>
      </w:r>
      <w:proofErr w:type="gramEnd"/>
      <w:r w:rsidRPr="00C54B2A">
        <w:rPr>
          <w:lang w:eastAsia="en-GB"/>
        </w:rPr>
        <w:t xml:space="preserve"> PubMed PMID: 15662295.</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C54B2A">
        <w:rPr>
          <w:lang w:eastAsia="en-GB"/>
        </w:rPr>
        <w:t>H3(</w:t>
      </w:r>
      <w:proofErr w:type="gramEnd"/>
      <w:r w:rsidRPr="00C54B2A">
        <w:rPr>
          <w:lang w:eastAsia="en-GB"/>
        </w:rPr>
        <w:t xml:space="preserve">ii): Seed SM, Dunican KC, Lynch AM. Osteoarthritis: a review of treatment options.  </w:t>
      </w:r>
      <w:r>
        <w:rPr>
          <w:lang w:eastAsia="en-GB"/>
        </w:rPr>
        <w:t>Geriatrics 2009</w:t>
      </w:r>
      <w:r w:rsidRPr="00C54B2A">
        <w:rPr>
          <w:lang w:eastAsia="en-GB"/>
        </w:rPr>
        <w:t>;</w:t>
      </w:r>
      <w:r>
        <w:rPr>
          <w:lang w:eastAsia="en-GB"/>
        </w:rPr>
        <w:t xml:space="preserve"> </w:t>
      </w:r>
      <w:r w:rsidRPr="00C54B2A">
        <w:rPr>
          <w:lang w:eastAsia="en-GB"/>
        </w:rPr>
        <w:t>64(10):</w:t>
      </w:r>
      <w:r>
        <w:rPr>
          <w:lang w:eastAsia="en-GB"/>
        </w:rPr>
        <w:t xml:space="preserve"> </w:t>
      </w:r>
      <w:r w:rsidRPr="00C54B2A">
        <w:rPr>
          <w:lang w:eastAsia="en-GB"/>
        </w:rPr>
        <w:t xml:space="preserve">20-9. </w:t>
      </w:r>
      <w:proofErr w:type="gramStart"/>
      <w:r w:rsidRPr="00C54B2A">
        <w:rPr>
          <w:lang w:eastAsia="en-GB"/>
        </w:rPr>
        <w:t>Review.</w:t>
      </w:r>
      <w:proofErr w:type="gramEnd"/>
      <w:r w:rsidRPr="00C54B2A">
        <w:rPr>
          <w:lang w:eastAsia="en-GB"/>
        </w:rPr>
        <w:t xml:space="preserve"> PubMed PMID: 20726384.</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C54B2A">
        <w:rPr>
          <w:lang w:eastAsia="en-GB"/>
        </w:rPr>
        <w:t>H3(</w:t>
      </w:r>
      <w:proofErr w:type="gramEnd"/>
      <w:r w:rsidRPr="00C54B2A">
        <w:rPr>
          <w:lang w:eastAsia="en-GB"/>
        </w:rPr>
        <w:t xml:space="preserve">iii): Jawad AS. Analgesics and osteoarthritis: </w:t>
      </w:r>
      <w:proofErr w:type="gramStart"/>
      <w:r w:rsidRPr="00C54B2A">
        <w:rPr>
          <w:lang w:eastAsia="en-GB"/>
        </w:rPr>
        <w:t>are</w:t>
      </w:r>
      <w:proofErr w:type="gramEnd"/>
      <w:r w:rsidRPr="00C54B2A">
        <w:rPr>
          <w:lang w:eastAsia="en-GB"/>
        </w:rPr>
        <w:t xml:space="preserve"> treatment guidelines reflected in </w:t>
      </w:r>
      <w:r>
        <w:rPr>
          <w:lang w:eastAsia="en-GB"/>
        </w:rPr>
        <w:t>clinical practice? Am J Ther 2005</w:t>
      </w:r>
      <w:r w:rsidRPr="00C54B2A">
        <w:rPr>
          <w:lang w:eastAsia="en-GB"/>
        </w:rPr>
        <w:t>;</w:t>
      </w:r>
      <w:r>
        <w:rPr>
          <w:lang w:eastAsia="en-GB"/>
        </w:rPr>
        <w:t xml:space="preserve"> </w:t>
      </w:r>
      <w:r w:rsidRPr="00C54B2A">
        <w:rPr>
          <w:lang w:eastAsia="en-GB"/>
        </w:rPr>
        <w:t>12(1):</w:t>
      </w:r>
      <w:r>
        <w:rPr>
          <w:lang w:eastAsia="en-GB"/>
        </w:rPr>
        <w:t xml:space="preserve"> </w:t>
      </w:r>
      <w:r w:rsidRPr="00C54B2A">
        <w:rPr>
          <w:lang w:eastAsia="en-GB"/>
        </w:rPr>
        <w:t xml:space="preserve">98-103. </w:t>
      </w:r>
      <w:proofErr w:type="gramStart"/>
      <w:r w:rsidRPr="00C54B2A">
        <w:rPr>
          <w:lang w:eastAsia="en-GB"/>
        </w:rPr>
        <w:t>Review.</w:t>
      </w:r>
      <w:proofErr w:type="gramEnd"/>
      <w:r w:rsidRPr="00C54B2A">
        <w:rPr>
          <w:lang w:eastAsia="en-GB"/>
        </w:rPr>
        <w:t xml:space="preserve"> PubMed PMID: 15662297.</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C54B2A">
        <w:rPr>
          <w:b/>
          <w:bCs/>
          <w:lang w:eastAsia="en-GB"/>
        </w:rPr>
        <w:t xml:space="preserve">H4. </w:t>
      </w:r>
      <w:proofErr w:type="gramStart"/>
      <w:r w:rsidRPr="00C54B2A">
        <w:rPr>
          <w:b/>
          <w:bCs/>
          <w:lang w:eastAsia="en-GB"/>
        </w:rPr>
        <w:t>Long-term corticosteroids (&gt;3 months) as monotherapy for rheumatoid arthrtitis (risk of systemic corticosteroid side-effects).</w:t>
      </w:r>
      <w:proofErr w:type="gramEnd"/>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C54B2A">
        <w:rPr>
          <w:lang w:eastAsia="en-GB"/>
        </w:rPr>
        <w:t>H4(</w:t>
      </w:r>
      <w:proofErr w:type="gramEnd"/>
      <w:r w:rsidRPr="00C54B2A">
        <w:rPr>
          <w:lang w:eastAsia="en-GB"/>
        </w:rPr>
        <w:t>i): Onishi </w:t>
      </w:r>
      <w:r>
        <w:rPr>
          <w:lang w:eastAsia="en-GB"/>
        </w:rPr>
        <w:t>S</w:t>
      </w:r>
      <w:r w:rsidRPr="00C54B2A">
        <w:rPr>
          <w:lang w:eastAsia="en-GB"/>
        </w:rPr>
        <w:t>, Iwmoto </w:t>
      </w:r>
      <w:r>
        <w:rPr>
          <w:lang w:eastAsia="en-GB"/>
        </w:rPr>
        <w:t xml:space="preserve">M, </w:t>
      </w:r>
      <w:hyperlink r:id="rId31" w:tooltip="Search for publications by this author" w:history="1">
        <w:r w:rsidRPr="00C54B2A">
          <w:rPr>
            <w:rStyle w:val="Hyperlink"/>
            <w:rFonts w:cs="Calibri"/>
            <w:color w:val="auto"/>
            <w:u w:val="none"/>
            <w:lang w:eastAsia="en-GB"/>
          </w:rPr>
          <w:t>Minota S.</w:t>
        </w:r>
      </w:hyperlink>
      <w:r w:rsidRPr="00C54B2A">
        <w:rPr>
          <w:lang w:eastAsia="en-GB"/>
        </w:rPr>
        <w:t xml:space="preserve">  Management of elderly-onset rheumatoid arthritis</w:t>
      </w:r>
      <w:r>
        <w:rPr>
          <w:lang w:eastAsia="en-GB"/>
        </w:rPr>
        <w:t>. J Clin Immunol</w:t>
      </w:r>
      <w:r w:rsidRPr="00C54B2A">
        <w:rPr>
          <w:lang w:eastAsia="en-GB"/>
        </w:rPr>
        <w:t> 2010</w:t>
      </w:r>
      <w:r>
        <w:rPr>
          <w:lang w:eastAsia="en-GB"/>
        </w:rPr>
        <w:t xml:space="preserve">; 33(1): 1-7. </w:t>
      </w:r>
      <w:r w:rsidRPr="00F40C7A">
        <w:rPr>
          <w:lang w:eastAsia="en-GB"/>
        </w:rPr>
        <w:t>PubMed PMID: 20190503</w:t>
      </w:r>
      <w:r>
        <w:rPr>
          <w:lang w:eastAsia="en-GB"/>
        </w:rPr>
        <w:t>.</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C54B2A">
        <w:rPr>
          <w:lang w:eastAsia="en-GB"/>
        </w:rPr>
        <w:t>H4(</w:t>
      </w:r>
      <w:proofErr w:type="gramEnd"/>
      <w:r w:rsidRPr="00C54B2A">
        <w:rPr>
          <w:lang w:eastAsia="en-GB"/>
        </w:rPr>
        <w:t>ii): American College of Rheumatology Subcommittee on Rheumatoid Arthritis Guidelines. Guidelines for the management of rheumatoid arthriti</w:t>
      </w:r>
      <w:r>
        <w:rPr>
          <w:lang w:eastAsia="en-GB"/>
        </w:rPr>
        <w:t>s: 2002 Update. Arthritis Rheum 2002</w:t>
      </w:r>
      <w:r w:rsidRPr="00C54B2A">
        <w:rPr>
          <w:lang w:eastAsia="en-GB"/>
        </w:rPr>
        <w:t>;</w:t>
      </w:r>
      <w:r>
        <w:rPr>
          <w:lang w:eastAsia="en-GB"/>
        </w:rPr>
        <w:t xml:space="preserve"> </w:t>
      </w:r>
      <w:r w:rsidRPr="00C54B2A">
        <w:rPr>
          <w:lang w:eastAsia="en-GB"/>
        </w:rPr>
        <w:t>46(2):</w:t>
      </w:r>
      <w:r>
        <w:rPr>
          <w:lang w:eastAsia="en-GB"/>
        </w:rPr>
        <w:t xml:space="preserve"> </w:t>
      </w:r>
      <w:r w:rsidRPr="00C54B2A">
        <w:rPr>
          <w:lang w:eastAsia="en-GB"/>
        </w:rPr>
        <w:t>28-46. PubMed PMID: 11840435.</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54B2A">
        <w:rPr>
          <w:lang w:eastAsia="en-GB"/>
        </w:rPr>
        <w:t xml:space="preserve">H4(iii): Soubrier M, Mathieu S, Payet S, Dubost JJ, Ristori JM. </w:t>
      </w:r>
      <w:proofErr w:type="gramStart"/>
      <w:r w:rsidRPr="00C54B2A">
        <w:rPr>
          <w:lang w:eastAsia="en-GB"/>
        </w:rPr>
        <w:t>Elderly-onset rheumato</w:t>
      </w:r>
      <w:r>
        <w:rPr>
          <w:lang w:eastAsia="en-GB"/>
        </w:rPr>
        <w:t>id arthritis.</w:t>
      </w:r>
      <w:proofErr w:type="gramEnd"/>
      <w:r>
        <w:rPr>
          <w:lang w:eastAsia="en-GB"/>
        </w:rPr>
        <w:t xml:space="preserve"> Joint Bone Spine 2010</w:t>
      </w:r>
      <w:r w:rsidRPr="00C54B2A">
        <w:rPr>
          <w:lang w:eastAsia="en-GB"/>
        </w:rPr>
        <w:t>;</w:t>
      </w:r>
      <w:r>
        <w:rPr>
          <w:lang w:eastAsia="en-GB"/>
        </w:rPr>
        <w:t xml:space="preserve"> </w:t>
      </w:r>
      <w:r w:rsidRPr="00C54B2A">
        <w:rPr>
          <w:lang w:eastAsia="en-GB"/>
        </w:rPr>
        <w:t>77(4):</w:t>
      </w:r>
      <w:r>
        <w:rPr>
          <w:lang w:eastAsia="en-GB"/>
        </w:rPr>
        <w:t xml:space="preserve"> </w:t>
      </w:r>
      <w:r w:rsidRPr="00C54B2A">
        <w:rPr>
          <w:lang w:eastAsia="en-GB"/>
        </w:rPr>
        <w:t xml:space="preserve">290-6. </w:t>
      </w:r>
      <w:proofErr w:type="gramStart"/>
      <w:r w:rsidRPr="00C54B2A">
        <w:rPr>
          <w:lang w:eastAsia="en-GB"/>
        </w:rPr>
        <w:t>Review.</w:t>
      </w:r>
      <w:proofErr w:type="gramEnd"/>
      <w:r w:rsidRPr="00C54B2A">
        <w:rPr>
          <w:lang w:eastAsia="en-GB"/>
        </w:rPr>
        <w:t xml:space="preserve"> PubMed PMID: 20554241.</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C54B2A">
        <w:rPr>
          <w:b/>
          <w:bCs/>
          <w:lang w:eastAsia="en-GB"/>
        </w:rPr>
        <w:t>H5. Corticosteroids (other than periodic intra-articular injections for mono-articular pain) for osteoarthritis (risk of systemic corticosteroid side-effects).</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C54B2A">
        <w:rPr>
          <w:lang w:eastAsia="en-GB"/>
        </w:rPr>
        <w:lastRenderedPageBreak/>
        <w:t>H5(</w:t>
      </w:r>
      <w:proofErr w:type="gramEnd"/>
      <w:r w:rsidRPr="00C54B2A">
        <w:rPr>
          <w:lang w:eastAsia="en-GB"/>
        </w:rPr>
        <w:t>i): British National Formulary volume 61, March 2011, pp 443-4.</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7677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Pr>
          <w:lang w:eastAsia="en-GB"/>
        </w:rPr>
        <w:t xml:space="preserve">H5 (ii): </w:t>
      </w:r>
      <w:r w:rsidRPr="0017677A">
        <w:rPr>
          <w:lang w:val="en-IE" w:eastAsia="en-GB"/>
        </w:rPr>
        <w:t>Recommendations for the medical management o</w:t>
      </w:r>
      <w:r>
        <w:rPr>
          <w:lang w:val="en-IE" w:eastAsia="en-GB"/>
        </w:rPr>
        <w:t xml:space="preserve">f osteoarthritis of the hip and </w:t>
      </w:r>
      <w:r w:rsidRPr="0017677A">
        <w:rPr>
          <w:lang w:val="en-IE" w:eastAsia="en-GB"/>
        </w:rPr>
        <w:t xml:space="preserve">knee: 2000 update. </w:t>
      </w:r>
      <w:r>
        <w:rPr>
          <w:lang w:val="en-IE" w:eastAsia="en-GB"/>
        </w:rPr>
        <w:t xml:space="preserve"> </w:t>
      </w:r>
      <w:proofErr w:type="gramStart"/>
      <w:r w:rsidRPr="0017677A">
        <w:rPr>
          <w:lang w:val="en-IE" w:eastAsia="en-GB"/>
        </w:rPr>
        <w:t>American College of Rheumatology Subcommittee on</w:t>
      </w:r>
      <w:r>
        <w:rPr>
          <w:lang w:val="en-IE" w:eastAsia="en-GB"/>
        </w:rPr>
        <w:t xml:space="preserve"> </w:t>
      </w:r>
      <w:r w:rsidRPr="0017677A">
        <w:rPr>
          <w:lang w:val="en-IE" w:eastAsia="en-GB"/>
        </w:rPr>
        <w:t>Osteoarthritis Guide</w:t>
      </w:r>
      <w:r>
        <w:rPr>
          <w:lang w:val="en-IE" w:eastAsia="en-GB"/>
        </w:rPr>
        <w:t>lines.</w:t>
      </w:r>
      <w:proofErr w:type="gramEnd"/>
      <w:r>
        <w:rPr>
          <w:lang w:val="en-IE" w:eastAsia="en-GB"/>
        </w:rPr>
        <w:t xml:space="preserve"> Arthritis Rheum 2000</w:t>
      </w:r>
      <w:r w:rsidRPr="0017677A">
        <w:rPr>
          <w:lang w:val="en-IE" w:eastAsia="en-GB"/>
        </w:rPr>
        <w:t>;</w:t>
      </w:r>
      <w:r>
        <w:rPr>
          <w:lang w:val="en-IE" w:eastAsia="en-GB"/>
        </w:rPr>
        <w:t xml:space="preserve"> </w:t>
      </w:r>
      <w:r w:rsidRPr="0017677A">
        <w:rPr>
          <w:lang w:val="en-IE" w:eastAsia="en-GB"/>
        </w:rPr>
        <w:t>43(9):</w:t>
      </w:r>
      <w:r>
        <w:rPr>
          <w:lang w:val="en-IE" w:eastAsia="en-GB"/>
        </w:rPr>
        <w:t xml:space="preserve"> </w:t>
      </w:r>
      <w:r w:rsidRPr="0017677A">
        <w:rPr>
          <w:lang w:val="en-IE" w:eastAsia="en-GB"/>
        </w:rPr>
        <w:t>1905-15. PubMed PMID: 11014340.</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C54B2A">
        <w:rPr>
          <w:b/>
          <w:bCs/>
          <w:lang w:eastAsia="en-GB"/>
        </w:rPr>
        <w:t xml:space="preserve">H6. Long-term NSAID or colchicine for </w:t>
      </w:r>
      <w:r>
        <w:rPr>
          <w:b/>
          <w:bCs/>
          <w:lang w:eastAsia="en-GB"/>
        </w:rPr>
        <w:t>prevention</w:t>
      </w:r>
      <w:r w:rsidRPr="00C54B2A">
        <w:rPr>
          <w:b/>
          <w:bCs/>
          <w:lang w:eastAsia="en-GB"/>
        </w:rPr>
        <w:t xml:space="preserve"> of </w:t>
      </w:r>
      <w:r>
        <w:rPr>
          <w:b/>
          <w:bCs/>
          <w:lang w:eastAsia="en-GB"/>
        </w:rPr>
        <w:t xml:space="preserve">relapses of </w:t>
      </w:r>
      <w:r w:rsidRPr="00C54B2A">
        <w:rPr>
          <w:b/>
          <w:bCs/>
          <w:lang w:eastAsia="en-GB"/>
        </w:rPr>
        <w:t>gout where there is no contraindication t</w:t>
      </w:r>
      <w:r>
        <w:rPr>
          <w:b/>
          <w:bCs/>
          <w:lang w:eastAsia="en-GB"/>
        </w:rPr>
        <w:t>o a xanthine-oxidase inhibitor e.g. allopurinol, febuxostat</w:t>
      </w:r>
      <w:r w:rsidRPr="00C54B2A">
        <w:rPr>
          <w:b/>
          <w:bCs/>
          <w:lang w:eastAsia="en-GB"/>
        </w:rPr>
        <w:t xml:space="preserve"> (xanthine-oxidase inhibitors are first choice prophylactic drugs in gout).</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54B2A">
        <w:rPr>
          <w:lang w:eastAsia="en-GB"/>
        </w:rPr>
        <w:t>H6(i): De Leonardis F, Govoni M, Colina M, Bruschi M, Trotta F. Elderly-onse</w:t>
      </w:r>
      <w:r>
        <w:rPr>
          <w:lang w:eastAsia="en-GB"/>
        </w:rPr>
        <w:t>t gout: a review. Rheumatol Int 2007</w:t>
      </w:r>
      <w:r w:rsidRPr="00C54B2A">
        <w:rPr>
          <w:lang w:eastAsia="en-GB"/>
        </w:rPr>
        <w:t>;</w:t>
      </w:r>
      <w:r>
        <w:rPr>
          <w:lang w:eastAsia="en-GB"/>
        </w:rPr>
        <w:t xml:space="preserve"> 2</w:t>
      </w:r>
      <w:r w:rsidRPr="00C54B2A">
        <w:rPr>
          <w:lang w:eastAsia="en-GB"/>
        </w:rPr>
        <w:t>8(1):</w:t>
      </w:r>
      <w:r>
        <w:rPr>
          <w:lang w:eastAsia="en-GB"/>
        </w:rPr>
        <w:t xml:space="preserve"> </w:t>
      </w:r>
      <w:r w:rsidRPr="00C54B2A">
        <w:rPr>
          <w:lang w:eastAsia="en-GB"/>
        </w:rPr>
        <w:t xml:space="preserve">1-6. </w:t>
      </w:r>
      <w:proofErr w:type="gramStart"/>
      <w:r w:rsidRPr="00C54B2A">
        <w:rPr>
          <w:lang w:eastAsia="en-GB"/>
        </w:rPr>
        <w:t>Review.</w:t>
      </w:r>
      <w:proofErr w:type="gramEnd"/>
      <w:r w:rsidRPr="00C54B2A">
        <w:rPr>
          <w:lang w:eastAsia="en-GB"/>
        </w:rPr>
        <w:t xml:space="preserve"> PubMed PMID: 17653719.</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2D76DC"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2D76DC">
        <w:rPr>
          <w:lang w:eastAsia="en-GB"/>
        </w:rPr>
        <w:t>H6(</w:t>
      </w:r>
      <w:proofErr w:type="gramEnd"/>
      <w:r w:rsidRPr="002D76DC">
        <w:rPr>
          <w:lang w:eastAsia="en-GB"/>
        </w:rPr>
        <w:t xml:space="preserve">ii): Hoskison KT, Wortmann RL.  </w:t>
      </w:r>
      <w:r w:rsidRPr="00C54B2A">
        <w:rPr>
          <w:lang w:eastAsia="en-GB"/>
        </w:rPr>
        <w:t>Management of gout in older adults: barriers t</w:t>
      </w:r>
      <w:r>
        <w:rPr>
          <w:lang w:eastAsia="en-GB"/>
        </w:rPr>
        <w:t>o optimal control.  Drugs Aging</w:t>
      </w:r>
      <w:r w:rsidRPr="00C54B2A">
        <w:rPr>
          <w:lang w:eastAsia="en-GB"/>
        </w:rPr>
        <w:t xml:space="preserve"> 2007;</w:t>
      </w:r>
      <w:r>
        <w:rPr>
          <w:lang w:eastAsia="en-GB"/>
        </w:rPr>
        <w:t xml:space="preserve"> </w:t>
      </w:r>
      <w:r w:rsidRPr="00C54B2A">
        <w:rPr>
          <w:lang w:eastAsia="en-GB"/>
        </w:rPr>
        <w:t>24(1):</w:t>
      </w:r>
      <w:r>
        <w:rPr>
          <w:lang w:eastAsia="en-GB"/>
        </w:rPr>
        <w:t xml:space="preserve"> </w:t>
      </w:r>
      <w:r w:rsidRPr="00C54B2A">
        <w:rPr>
          <w:lang w:eastAsia="en-GB"/>
        </w:rPr>
        <w:t xml:space="preserve">21-36. </w:t>
      </w:r>
      <w:proofErr w:type="gramStart"/>
      <w:r w:rsidRPr="00C54B2A">
        <w:rPr>
          <w:lang w:eastAsia="en-GB"/>
        </w:rPr>
        <w:t>Review.</w:t>
      </w:r>
      <w:proofErr w:type="gramEnd"/>
      <w:r w:rsidRPr="00C54B2A">
        <w:rPr>
          <w:lang w:eastAsia="en-GB"/>
        </w:rPr>
        <w:t xml:space="preserve">  PubMed PMID: 17233545.</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FF0000"/>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C54B2A">
        <w:rPr>
          <w:b/>
          <w:bCs/>
          <w:lang w:eastAsia="en-GB"/>
        </w:rPr>
        <w:t>H7. COX-2 selective NSAIDs with concurrent cardiovascular disease (increased risk of myocardial infarction and stroke)</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54B2A">
        <w:rPr>
          <w:lang w:eastAsia="en-GB"/>
        </w:rPr>
        <w:t>H7</w:t>
      </w:r>
      <w:r>
        <w:rPr>
          <w:lang w:eastAsia="en-GB"/>
        </w:rPr>
        <w:t xml:space="preserve"> </w:t>
      </w:r>
      <w:r w:rsidRPr="00C54B2A">
        <w:rPr>
          <w:lang w:eastAsia="en-GB"/>
        </w:rPr>
        <w:t>(i): Pilotto A, Sancarlo D, Addante F, Scarcelli C, Franceschi M. Non-steroidal anti-inflammatory drug use in the elderly. Surg On</w:t>
      </w:r>
      <w:r>
        <w:rPr>
          <w:lang w:eastAsia="en-GB"/>
        </w:rPr>
        <w:t>col 2010</w:t>
      </w:r>
      <w:r w:rsidRPr="00C54B2A">
        <w:rPr>
          <w:lang w:eastAsia="en-GB"/>
        </w:rPr>
        <w:t>;</w:t>
      </w:r>
      <w:r>
        <w:rPr>
          <w:lang w:eastAsia="en-GB"/>
        </w:rPr>
        <w:t xml:space="preserve"> </w:t>
      </w:r>
      <w:r w:rsidRPr="00C54B2A">
        <w:rPr>
          <w:lang w:eastAsia="en-GB"/>
        </w:rPr>
        <w:t>19(3):</w:t>
      </w:r>
      <w:r>
        <w:rPr>
          <w:lang w:eastAsia="en-GB"/>
        </w:rPr>
        <w:t xml:space="preserve"> </w:t>
      </w:r>
      <w:r w:rsidRPr="00C54B2A">
        <w:rPr>
          <w:lang w:eastAsia="en-GB"/>
        </w:rPr>
        <w:t xml:space="preserve">167-72. </w:t>
      </w:r>
      <w:proofErr w:type="gramStart"/>
      <w:r w:rsidRPr="00C54B2A">
        <w:rPr>
          <w:lang w:eastAsia="en-GB"/>
        </w:rPr>
        <w:t>Review.</w:t>
      </w:r>
      <w:proofErr w:type="gramEnd"/>
      <w:r w:rsidRPr="00C54B2A">
        <w:rPr>
          <w:lang w:eastAsia="en-GB"/>
        </w:rPr>
        <w:t xml:space="preserve"> PubMed PMID: 20022240.</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54B2A">
        <w:rPr>
          <w:lang w:eastAsia="en-GB"/>
        </w:rPr>
        <w:t>H7</w:t>
      </w:r>
      <w:r>
        <w:rPr>
          <w:lang w:eastAsia="en-GB"/>
        </w:rPr>
        <w:t xml:space="preserve"> </w:t>
      </w:r>
      <w:r w:rsidRPr="00C54B2A">
        <w:rPr>
          <w:lang w:eastAsia="en-GB"/>
        </w:rPr>
        <w:t>(ii): Strand V. Are COX-2 inhibit</w:t>
      </w:r>
      <w:r>
        <w:rPr>
          <w:lang w:eastAsia="en-GB"/>
        </w:rPr>
        <w:t xml:space="preserve">ors preferable to non-selective </w:t>
      </w:r>
      <w:r w:rsidRPr="00C54B2A">
        <w:rPr>
          <w:lang w:eastAsia="en-GB"/>
        </w:rPr>
        <w:t>non-steroidal anti-inflammatory drugs in patients with risk of cardiovascular events taking low-dose aspirin? L</w:t>
      </w:r>
      <w:r>
        <w:rPr>
          <w:lang w:eastAsia="en-GB"/>
        </w:rPr>
        <w:t>ancet 2007</w:t>
      </w:r>
      <w:r w:rsidRPr="00C54B2A">
        <w:rPr>
          <w:lang w:eastAsia="en-GB"/>
        </w:rPr>
        <w:t>;</w:t>
      </w:r>
      <w:r>
        <w:rPr>
          <w:lang w:eastAsia="en-GB"/>
        </w:rPr>
        <w:t xml:space="preserve"> </w:t>
      </w:r>
      <w:r w:rsidRPr="00C54B2A">
        <w:rPr>
          <w:lang w:eastAsia="en-GB"/>
        </w:rPr>
        <w:t>370(9605):</w:t>
      </w:r>
      <w:r>
        <w:rPr>
          <w:lang w:eastAsia="en-GB"/>
        </w:rPr>
        <w:t xml:space="preserve"> </w:t>
      </w:r>
      <w:r w:rsidRPr="00C54B2A">
        <w:rPr>
          <w:lang w:eastAsia="en-GB"/>
        </w:rPr>
        <w:t xml:space="preserve">2138-51. </w:t>
      </w:r>
      <w:proofErr w:type="gramStart"/>
      <w:r w:rsidRPr="00C54B2A">
        <w:rPr>
          <w:lang w:eastAsia="en-GB"/>
        </w:rPr>
        <w:t>Review.</w:t>
      </w:r>
      <w:proofErr w:type="gramEnd"/>
      <w:r w:rsidRPr="00C54B2A">
        <w:rPr>
          <w:lang w:eastAsia="en-GB"/>
        </w:rPr>
        <w:t xml:space="preserve"> PubMed PMID: 18156036.</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C54B2A">
        <w:rPr>
          <w:b/>
          <w:bCs/>
          <w:lang w:eastAsia="en-GB"/>
        </w:rPr>
        <w:t>H8. NSAID with concurrent corticosteroids without PPI prophylaxis (increased risk of peptic ulcer disease)</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54B2A">
        <w:rPr>
          <w:lang w:eastAsia="en-GB"/>
        </w:rPr>
        <w:t>H8</w:t>
      </w:r>
      <w:r>
        <w:rPr>
          <w:lang w:eastAsia="en-GB"/>
        </w:rPr>
        <w:t xml:space="preserve"> </w:t>
      </w:r>
      <w:r w:rsidRPr="00C54B2A">
        <w:rPr>
          <w:lang w:eastAsia="en-GB"/>
        </w:rPr>
        <w:t>(i): Peng S, Duggan A. Gastrointestinal adverse effects of non-steroidal anti-inflammato</w:t>
      </w:r>
      <w:r>
        <w:rPr>
          <w:lang w:eastAsia="en-GB"/>
        </w:rPr>
        <w:t>ry drugs.  Expert Opin Drug Saf 2005</w:t>
      </w:r>
      <w:r w:rsidRPr="00C54B2A">
        <w:rPr>
          <w:lang w:eastAsia="en-GB"/>
        </w:rPr>
        <w:t>;</w:t>
      </w:r>
      <w:r>
        <w:rPr>
          <w:lang w:eastAsia="en-GB"/>
        </w:rPr>
        <w:t xml:space="preserve"> </w:t>
      </w:r>
      <w:r w:rsidRPr="00C54B2A">
        <w:rPr>
          <w:lang w:eastAsia="en-GB"/>
        </w:rPr>
        <w:t>4(2):</w:t>
      </w:r>
      <w:r>
        <w:rPr>
          <w:lang w:eastAsia="en-GB"/>
        </w:rPr>
        <w:t xml:space="preserve"> </w:t>
      </w:r>
      <w:r w:rsidRPr="00C54B2A">
        <w:rPr>
          <w:lang w:eastAsia="en-GB"/>
        </w:rPr>
        <w:t xml:space="preserve">157-69. </w:t>
      </w:r>
      <w:proofErr w:type="gramStart"/>
      <w:r w:rsidRPr="00C54B2A">
        <w:rPr>
          <w:lang w:eastAsia="en-GB"/>
        </w:rPr>
        <w:t>Review.</w:t>
      </w:r>
      <w:proofErr w:type="gramEnd"/>
      <w:r w:rsidRPr="00C54B2A">
        <w:rPr>
          <w:lang w:eastAsia="en-GB"/>
        </w:rPr>
        <w:t xml:space="preserve"> PubMed PMID: 15794710.</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54B2A">
        <w:rPr>
          <w:lang w:eastAsia="en-GB"/>
        </w:rPr>
        <w:t>H8</w:t>
      </w:r>
      <w:r>
        <w:rPr>
          <w:lang w:eastAsia="en-GB"/>
        </w:rPr>
        <w:t xml:space="preserve"> </w:t>
      </w:r>
      <w:r w:rsidRPr="00C54B2A">
        <w:rPr>
          <w:lang w:eastAsia="en-GB"/>
        </w:rPr>
        <w:t>(ii): Zullo A, Hassan C, Campo SM, Morini S. Bleeding peptic ulcer in the elderly: risk factors and pre</w:t>
      </w:r>
      <w:r>
        <w:rPr>
          <w:lang w:eastAsia="en-GB"/>
        </w:rPr>
        <w:t>vention strategies. Drugs Aging</w:t>
      </w:r>
      <w:r w:rsidRPr="00C54B2A">
        <w:rPr>
          <w:lang w:eastAsia="en-GB"/>
        </w:rPr>
        <w:t xml:space="preserve"> 2007;</w:t>
      </w:r>
      <w:r>
        <w:rPr>
          <w:lang w:eastAsia="en-GB"/>
        </w:rPr>
        <w:t xml:space="preserve"> </w:t>
      </w:r>
      <w:r w:rsidRPr="00C54B2A">
        <w:rPr>
          <w:lang w:eastAsia="en-GB"/>
        </w:rPr>
        <w:t>24(10):</w:t>
      </w:r>
      <w:r>
        <w:rPr>
          <w:lang w:eastAsia="en-GB"/>
        </w:rPr>
        <w:t xml:space="preserve"> </w:t>
      </w:r>
      <w:r w:rsidRPr="00C54B2A">
        <w:rPr>
          <w:lang w:eastAsia="en-GB"/>
        </w:rPr>
        <w:t xml:space="preserve">815-28. </w:t>
      </w:r>
      <w:proofErr w:type="gramStart"/>
      <w:r w:rsidRPr="00C54B2A">
        <w:rPr>
          <w:lang w:eastAsia="en-GB"/>
        </w:rPr>
        <w:t>Review.</w:t>
      </w:r>
      <w:proofErr w:type="gramEnd"/>
      <w:r w:rsidRPr="00C54B2A">
        <w:rPr>
          <w:lang w:eastAsia="en-GB"/>
        </w:rPr>
        <w:t xml:space="preserve">  PubMed PMID: 17896831.</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54B2A">
        <w:rPr>
          <w:lang w:eastAsia="en-GB"/>
        </w:rPr>
        <w:t>H8</w:t>
      </w:r>
      <w:r>
        <w:rPr>
          <w:lang w:eastAsia="en-GB"/>
        </w:rPr>
        <w:t xml:space="preserve"> </w:t>
      </w:r>
      <w:r w:rsidRPr="00C54B2A">
        <w:rPr>
          <w:lang w:eastAsia="en-GB"/>
        </w:rPr>
        <w:t>(iii): Scheiman JM. NSAID-induced peptic ulcer disease: a critical review of patho</w:t>
      </w:r>
      <w:r>
        <w:rPr>
          <w:lang w:eastAsia="en-GB"/>
        </w:rPr>
        <w:t>genesis and management. Dig Dis 1994</w:t>
      </w:r>
      <w:r w:rsidRPr="00C54B2A">
        <w:rPr>
          <w:lang w:eastAsia="en-GB"/>
        </w:rPr>
        <w:t>;</w:t>
      </w:r>
      <w:r>
        <w:rPr>
          <w:lang w:eastAsia="en-GB"/>
        </w:rPr>
        <w:t xml:space="preserve"> </w:t>
      </w:r>
      <w:r w:rsidRPr="00C54B2A">
        <w:rPr>
          <w:lang w:eastAsia="en-GB"/>
        </w:rPr>
        <w:t>12(4):</w:t>
      </w:r>
      <w:r>
        <w:rPr>
          <w:lang w:eastAsia="en-GB"/>
        </w:rPr>
        <w:t xml:space="preserve"> </w:t>
      </w:r>
      <w:r w:rsidRPr="00C54B2A">
        <w:rPr>
          <w:lang w:eastAsia="en-GB"/>
        </w:rPr>
        <w:t xml:space="preserve">210-22. </w:t>
      </w:r>
      <w:proofErr w:type="gramStart"/>
      <w:r w:rsidRPr="00C54B2A">
        <w:rPr>
          <w:lang w:eastAsia="en-GB"/>
        </w:rPr>
        <w:t>Review.</w:t>
      </w:r>
      <w:proofErr w:type="gramEnd"/>
      <w:r w:rsidRPr="00C54B2A">
        <w:rPr>
          <w:lang w:eastAsia="en-GB"/>
        </w:rPr>
        <w:t xml:space="preserve"> PubMed PMID: 7851000.</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C54B2A">
        <w:rPr>
          <w:b/>
          <w:bCs/>
          <w:lang w:eastAsia="en-GB"/>
        </w:rPr>
        <w:t>H9. Oral bisphosphonates in patients with a history of upper gastrointestinal disease i.e. dysphagia, oesophagitis, gastritis, duodenitis, or peptic ulcer disease, or upper gastrointestinal bleeding (risk of relapse/exacerbation of oesophagitis, oesophageal ulcer, oesophageal stricture)</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B66CC"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C54B2A">
        <w:rPr>
          <w:lang w:eastAsia="en-GB"/>
        </w:rPr>
        <w:t>H9(</w:t>
      </w:r>
      <w:proofErr w:type="gramEnd"/>
      <w:r w:rsidRPr="00C54B2A">
        <w:rPr>
          <w:lang w:eastAsia="en-GB"/>
        </w:rPr>
        <w:t xml:space="preserve">i): </w:t>
      </w:r>
      <w:r w:rsidRPr="000B66CC">
        <w:rPr>
          <w:lang w:eastAsia="en-GB"/>
        </w:rPr>
        <w:t>Pazianas M, Abrahamsen B. Safety</w:t>
      </w:r>
      <w:r>
        <w:rPr>
          <w:lang w:eastAsia="en-GB"/>
        </w:rPr>
        <w:t xml:space="preserve"> of bisphosphonates. Bone 2011</w:t>
      </w:r>
      <w:r w:rsidRPr="000B66CC">
        <w:rPr>
          <w:lang w:eastAsia="en-GB"/>
        </w:rPr>
        <w:t>;</w:t>
      </w:r>
      <w:r>
        <w:rPr>
          <w:lang w:eastAsia="en-GB"/>
        </w:rPr>
        <w:t xml:space="preserve"> </w:t>
      </w:r>
      <w:r w:rsidRPr="000B66CC">
        <w:rPr>
          <w:lang w:eastAsia="en-GB"/>
        </w:rPr>
        <w:t>49(1):</w:t>
      </w:r>
      <w:r>
        <w:rPr>
          <w:lang w:eastAsia="en-GB"/>
        </w:rPr>
        <w:t xml:space="preserve"> </w:t>
      </w:r>
      <w:r w:rsidRPr="000B66CC">
        <w:rPr>
          <w:lang w:eastAsia="en-GB"/>
        </w:rPr>
        <w:t xml:space="preserve">103-10. </w:t>
      </w:r>
      <w:proofErr w:type="gramStart"/>
      <w:r w:rsidRPr="000B66CC">
        <w:rPr>
          <w:lang w:eastAsia="en-GB"/>
        </w:rPr>
        <w:t>Review.</w:t>
      </w:r>
      <w:proofErr w:type="gramEnd"/>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0B66CC">
        <w:rPr>
          <w:lang w:eastAsia="en-GB"/>
        </w:rPr>
        <w:t>PubMed PMID: 21236370.</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C54B2A">
        <w:rPr>
          <w:lang w:eastAsia="en-GB"/>
        </w:rPr>
        <w:lastRenderedPageBreak/>
        <w:t>H9(</w:t>
      </w:r>
      <w:proofErr w:type="gramEnd"/>
      <w:r w:rsidRPr="00C54B2A">
        <w:rPr>
          <w:lang w:eastAsia="en-GB"/>
        </w:rPr>
        <w:t>ii): Civitelli R, Napoli N, Armamento-</w:t>
      </w:r>
      <w:r>
        <w:rPr>
          <w:lang w:eastAsia="en-GB"/>
        </w:rPr>
        <w:t xml:space="preserve">Villareal R. Use of intravenous </w:t>
      </w:r>
      <w:r w:rsidRPr="00C54B2A">
        <w:rPr>
          <w:lang w:eastAsia="en-GB"/>
        </w:rPr>
        <w:t>bisphosphonates in osteoporosis. Curr Osteoporos R</w:t>
      </w:r>
      <w:r>
        <w:rPr>
          <w:lang w:eastAsia="en-GB"/>
        </w:rPr>
        <w:t>ep 2007</w:t>
      </w:r>
      <w:proofErr w:type="gramStart"/>
      <w:r>
        <w:rPr>
          <w:lang w:eastAsia="en-GB"/>
        </w:rPr>
        <w:t>;  5</w:t>
      </w:r>
      <w:proofErr w:type="gramEnd"/>
      <w:r>
        <w:rPr>
          <w:lang w:eastAsia="en-GB"/>
        </w:rPr>
        <w:t xml:space="preserve">(1): 8-13. PubMed </w:t>
      </w:r>
      <w:r w:rsidRPr="00C54B2A">
        <w:rPr>
          <w:lang w:eastAsia="en-GB"/>
        </w:rPr>
        <w:t>PMID: 17320022.</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C54B2A">
        <w:rPr>
          <w:lang w:eastAsia="en-GB"/>
        </w:rPr>
        <w:t>H9(</w:t>
      </w:r>
      <w:proofErr w:type="gramEnd"/>
      <w:r w:rsidRPr="00C54B2A">
        <w:rPr>
          <w:lang w:eastAsia="en-GB"/>
        </w:rPr>
        <w:t>iii): Gaudio A, Morabito N. Pharmacological management of severe postmenopausal</w:t>
      </w:r>
    </w:p>
    <w:p w:rsidR="00851DC2" w:rsidRPr="00C54B2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Pr>
          <w:lang w:eastAsia="en-GB"/>
        </w:rPr>
        <w:t>osteoporosis</w:t>
      </w:r>
      <w:proofErr w:type="gramEnd"/>
      <w:r>
        <w:rPr>
          <w:lang w:eastAsia="en-GB"/>
        </w:rPr>
        <w:t>. Drugs Aging</w:t>
      </w:r>
      <w:r w:rsidRPr="00C54B2A">
        <w:rPr>
          <w:lang w:eastAsia="en-GB"/>
        </w:rPr>
        <w:t xml:space="preserve"> 2005;</w:t>
      </w:r>
      <w:r>
        <w:rPr>
          <w:lang w:eastAsia="en-GB"/>
        </w:rPr>
        <w:t xml:space="preserve"> </w:t>
      </w:r>
      <w:r w:rsidRPr="00C54B2A">
        <w:rPr>
          <w:lang w:eastAsia="en-GB"/>
        </w:rPr>
        <w:t>22(5):</w:t>
      </w:r>
      <w:r>
        <w:rPr>
          <w:lang w:eastAsia="en-GB"/>
        </w:rPr>
        <w:t xml:space="preserve"> </w:t>
      </w:r>
      <w:r w:rsidRPr="00C54B2A">
        <w:rPr>
          <w:lang w:eastAsia="en-GB"/>
        </w:rPr>
        <w:t xml:space="preserve">405-17. </w:t>
      </w:r>
      <w:proofErr w:type="gramStart"/>
      <w:r w:rsidRPr="00C54B2A">
        <w:rPr>
          <w:lang w:eastAsia="en-GB"/>
        </w:rPr>
        <w:t>Review.</w:t>
      </w:r>
      <w:proofErr w:type="gramEnd"/>
      <w:r w:rsidRPr="00C54B2A">
        <w:rPr>
          <w:lang w:eastAsia="en-GB"/>
        </w:rPr>
        <w:t xml:space="preserve"> PubMed PMID: 15903353.</w:t>
      </w:r>
    </w:p>
    <w:p w:rsidR="00851DC2" w:rsidRPr="003833F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B671B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r w:rsidRPr="00B671BB">
        <w:rPr>
          <w:b/>
          <w:bCs/>
          <w:sz w:val="28"/>
          <w:szCs w:val="28"/>
          <w:lang w:eastAsia="en-GB"/>
        </w:rPr>
        <w:t>Section I: Urogenital System</w:t>
      </w:r>
      <w:r>
        <w:rPr>
          <w:b/>
          <w:bCs/>
          <w:sz w:val="28"/>
          <w:szCs w:val="28"/>
          <w:lang w:eastAsia="en-GB"/>
        </w:rPr>
        <w:t xml:space="preserve"> criteria</w:t>
      </w:r>
      <w:r w:rsidRPr="00B671BB">
        <w:rPr>
          <w:b/>
          <w:bCs/>
          <w:sz w:val="28"/>
          <w:szCs w:val="28"/>
          <w:lang w:eastAsia="en-GB"/>
        </w:rPr>
        <w:t>.</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B671B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B671BB">
        <w:rPr>
          <w:b/>
          <w:bCs/>
          <w:lang w:eastAsia="en-GB"/>
        </w:rPr>
        <w:t xml:space="preserve">I1. </w:t>
      </w:r>
      <w:proofErr w:type="gramStart"/>
      <w:r w:rsidRPr="00B671BB">
        <w:rPr>
          <w:b/>
          <w:bCs/>
          <w:lang w:eastAsia="en-GB"/>
        </w:rPr>
        <w:t xml:space="preserve">Antimuscarinic drugs </w:t>
      </w:r>
      <w:r>
        <w:rPr>
          <w:b/>
          <w:bCs/>
          <w:lang w:eastAsia="en-GB"/>
        </w:rPr>
        <w:t xml:space="preserve">for overactive bladder syndrome </w:t>
      </w:r>
      <w:r w:rsidRPr="00B671BB">
        <w:rPr>
          <w:b/>
          <w:bCs/>
          <w:lang w:eastAsia="en-GB"/>
        </w:rPr>
        <w:t xml:space="preserve">with </w:t>
      </w:r>
      <w:r>
        <w:rPr>
          <w:b/>
          <w:bCs/>
          <w:lang w:eastAsia="en-GB"/>
        </w:rPr>
        <w:t>concurrent dementia</w:t>
      </w:r>
      <w:r w:rsidRPr="00B671BB">
        <w:rPr>
          <w:b/>
          <w:bCs/>
          <w:lang w:eastAsia="en-GB"/>
        </w:rPr>
        <w:t xml:space="preserve"> or chronic cognitive impairment (risk of increased confusion, agitation) or narrow-angle glaucoma (risk of acute exacerbation of glaucoma), or chronic prostatism (risk of urinary retention).</w:t>
      </w:r>
      <w:proofErr w:type="gramEnd"/>
    </w:p>
    <w:p w:rsidR="00851DC2" w:rsidRPr="00B671B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B671B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1B18EB">
        <w:rPr>
          <w:lang w:val="sv-SE" w:eastAsia="en-GB"/>
        </w:rPr>
        <w:t>I1</w:t>
      </w:r>
      <w:r>
        <w:rPr>
          <w:lang w:val="sv-SE" w:eastAsia="en-GB"/>
        </w:rPr>
        <w:t xml:space="preserve"> </w:t>
      </w:r>
      <w:r w:rsidRPr="001B18EB">
        <w:rPr>
          <w:lang w:val="sv-SE" w:eastAsia="en-GB"/>
        </w:rPr>
        <w:t xml:space="preserve">(i): Pagoria D, O'Connor RC, Guralnick ML. </w:t>
      </w:r>
      <w:r w:rsidRPr="00B671BB">
        <w:rPr>
          <w:lang w:eastAsia="en-GB"/>
        </w:rPr>
        <w:t xml:space="preserve">Antimuscarinic drugs: review of the cognitive impact when used to treat overactive bladder in </w:t>
      </w:r>
      <w:r>
        <w:rPr>
          <w:lang w:eastAsia="en-GB"/>
        </w:rPr>
        <w:t>elderly patients. Curr Urol Rep 2011</w:t>
      </w:r>
      <w:r w:rsidRPr="00B671BB">
        <w:rPr>
          <w:lang w:eastAsia="en-GB"/>
        </w:rPr>
        <w:t>;</w:t>
      </w:r>
      <w:r>
        <w:rPr>
          <w:lang w:eastAsia="en-GB"/>
        </w:rPr>
        <w:t xml:space="preserve"> </w:t>
      </w:r>
      <w:r w:rsidRPr="00B671BB">
        <w:rPr>
          <w:lang w:eastAsia="en-GB"/>
        </w:rPr>
        <w:t>12(5):</w:t>
      </w:r>
      <w:r>
        <w:rPr>
          <w:lang w:eastAsia="en-GB"/>
        </w:rPr>
        <w:t xml:space="preserve"> </w:t>
      </w:r>
      <w:r w:rsidRPr="00B671BB">
        <w:rPr>
          <w:lang w:eastAsia="en-GB"/>
        </w:rPr>
        <w:t xml:space="preserve">351-7. </w:t>
      </w:r>
      <w:proofErr w:type="gramStart"/>
      <w:r w:rsidRPr="00B671BB">
        <w:rPr>
          <w:lang w:eastAsia="en-GB"/>
        </w:rPr>
        <w:t>Review.</w:t>
      </w:r>
      <w:proofErr w:type="gramEnd"/>
      <w:r w:rsidRPr="00B671BB">
        <w:rPr>
          <w:lang w:eastAsia="en-GB"/>
        </w:rPr>
        <w:t xml:space="preserve"> PubMed PMID: 21607875.</w:t>
      </w:r>
      <w:r w:rsidRPr="00B671BB">
        <w:rPr>
          <w:lang w:eastAsia="en-GB"/>
        </w:rPr>
        <w:br/>
      </w:r>
    </w:p>
    <w:p w:rsidR="00851DC2" w:rsidRPr="00B671B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B671BB">
        <w:rPr>
          <w:lang w:eastAsia="en-GB"/>
        </w:rPr>
        <w:t>I1</w:t>
      </w:r>
      <w:r>
        <w:rPr>
          <w:lang w:eastAsia="en-GB"/>
        </w:rPr>
        <w:t xml:space="preserve"> </w:t>
      </w:r>
      <w:r w:rsidRPr="00B671BB">
        <w:rPr>
          <w:lang w:eastAsia="en-GB"/>
        </w:rPr>
        <w:t xml:space="preserve">(ii): Kay GG, Abou-Donia MB, Messer WS Jr, Murphy DG, Tsao JW, Ouslander JG. Antimuscarinic drugs for overactive bladder and their potential effects on cognitive function in older patients.  </w:t>
      </w:r>
      <w:r>
        <w:rPr>
          <w:lang w:eastAsia="en-GB"/>
        </w:rPr>
        <w:t>J Am Geriatr Soc 2005</w:t>
      </w:r>
      <w:r w:rsidRPr="001B18EB">
        <w:rPr>
          <w:lang w:eastAsia="en-GB"/>
        </w:rPr>
        <w:t>;</w:t>
      </w:r>
      <w:r>
        <w:rPr>
          <w:lang w:eastAsia="en-GB"/>
        </w:rPr>
        <w:t xml:space="preserve"> </w:t>
      </w:r>
      <w:r w:rsidRPr="001B18EB">
        <w:rPr>
          <w:lang w:eastAsia="en-GB"/>
        </w:rPr>
        <w:t>53(12):</w:t>
      </w:r>
      <w:r>
        <w:rPr>
          <w:lang w:eastAsia="en-GB"/>
        </w:rPr>
        <w:t xml:space="preserve"> </w:t>
      </w:r>
      <w:r w:rsidRPr="001B18EB">
        <w:rPr>
          <w:lang w:eastAsia="en-GB"/>
        </w:rPr>
        <w:t>2195-201.</w:t>
      </w:r>
      <w:r>
        <w:rPr>
          <w:lang w:eastAsia="en-GB"/>
        </w:rPr>
        <w:t xml:space="preserve"> </w:t>
      </w:r>
      <w:proofErr w:type="gramStart"/>
      <w:r w:rsidRPr="00B671BB">
        <w:rPr>
          <w:lang w:eastAsia="en-GB"/>
        </w:rPr>
        <w:t>Review.</w:t>
      </w:r>
      <w:proofErr w:type="gramEnd"/>
      <w:r w:rsidRPr="00B671BB">
        <w:rPr>
          <w:lang w:eastAsia="en-GB"/>
        </w:rPr>
        <w:t xml:space="preserve"> PubMed PMID: 16398909.</w:t>
      </w:r>
    </w:p>
    <w:p w:rsidR="00851DC2" w:rsidRPr="00B671B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B18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u w:val="single"/>
          <w:lang w:eastAsia="en-GB"/>
        </w:rPr>
      </w:pPr>
    </w:p>
    <w:p w:rsidR="00851DC2" w:rsidRPr="00B671B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B671BB">
        <w:rPr>
          <w:b/>
          <w:bCs/>
          <w:lang w:eastAsia="en-GB"/>
        </w:rPr>
        <w:t>I2. Selective alpha-1 selective alpha blockers in those with symptomatic orthostatic hypotension or micturition syncope (risk of precipitating recurrent syncope)</w:t>
      </w:r>
    </w:p>
    <w:p w:rsidR="00851DC2" w:rsidRPr="001B18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7B0A59"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sidRPr="00B671BB">
        <w:rPr>
          <w:lang w:eastAsia="en-GB"/>
        </w:rPr>
        <w:t>I2 (i)</w:t>
      </w:r>
      <w:proofErr w:type="gramStart"/>
      <w:r>
        <w:rPr>
          <w:lang w:eastAsia="en-GB"/>
        </w:rPr>
        <w:t>:</w:t>
      </w:r>
      <w:r w:rsidRPr="007B0A59">
        <w:rPr>
          <w:lang w:val="en-IE" w:eastAsia="en-GB"/>
        </w:rPr>
        <w:t>Lowe</w:t>
      </w:r>
      <w:proofErr w:type="gramEnd"/>
      <w:r w:rsidRPr="007B0A59">
        <w:rPr>
          <w:lang w:val="en-IE" w:eastAsia="en-GB"/>
        </w:rPr>
        <w:t xml:space="preserve"> FC. </w:t>
      </w:r>
      <w:proofErr w:type="gramStart"/>
      <w:r w:rsidRPr="007B0A59">
        <w:rPr>
          <w:lang w:val="en-IE" w:eastAsia="en-GB"/>
        </w:rPr>
        <w:t>Role of the newer alpha, -adrener</w:t>
      </w:r>
      <w:r>
        <w:rPr>
          <w:lang w:val="en-IE" w:eastAsia="en-GB"/>
        </w:rPr>
        <w:t xml:space="preserve">gic-receptor antagonists in the </w:t>
      </w:r>
      <w:r w:rsidRPr="007B0A59">
        <w:rPr>
          <w:lang w:val="en-IE" w:eastAsia="en-GB"/>
        </w:rPr>
        <w:t>treatment of benign prostatic hyperplasia-related lower urinary tract symptoms.</w:t>
      </w:r>
      <w:proofErr w:type="gramEnd"/>
      <w:r>
        <w:rPr>
          <w:lang w:val="en-IE" w:eastAsia="en-GB"/>
        </w:rPr>
        <w:t xml:space="preserve"> Clin Ther</w:t>
      </w:r>
      <w:r w:rsidRPr="007B0A59">
        <w:rPr>
          <w:lang w:val="en-IE" w:eastAsia="en-GB"/>
        </w:rPr>
        <w:t xml:space="preserve"> 2</w:t>
      </w:r>
      <w:r>
        <w:rPr>
          <w:lang w:val="en-IE" w:eastAsia="en-GB"/>
        </w:rPr>
        <w:t>004</w:t>
      </w:r>
      <w:r w:rsidRPr="007B0A59">
        <w:rPr>
          <w:lang w:val="en-IE" w:eastAsia="en-GB"/>
        </w:rPr>
        <w:t>;</w:t>
      </w:r>
      <w:r>
        <w:rPr>
          <w:lang w:val="en-IE" w:eastAsia="en-GB"/>
        </w:rPr>
        <w:t xml:space="preserve"> </w:t>
      </w:r>
      <w:r w:rsidRPr="007B0A59">
        <w:rPr>
          <w:lang w:val="en-IE" w:eastAsia="en-GB"/>
        </w:rPr>
        <w:t>26(11):</w:t>
      </w:r>
      <w:r>
        <w:rPr>
          <w:lang w:val="en-IE" w:eastAsia="en-GB"/>
        </w:rPr>
        <w:t xml:space="preserve"> </w:t>
      </w:r>
      <w:r w:rsidRPr="007B0A59">
        <w:rPr>
          <w:lang w:val="en-IE" w:eastAsia="en-GB"/>
        </w:rPr>
        <w:t xml:space="preserve">1701-13. </w:t>
      </w:r>
      <w:proofErr w:type="gramStart"/>
      <w:r w:rsidRPr="007B0A59">
        <w:rPr>
          <w:lang w:val="en-IE" w:eastAsia="en-GB"/>
        </w:rPr>
        <w:t>Review.</w:t>
      </w:r>
      <w:proofErr w:type="gramEnd"/>
      <w:r w:rsidRPr="007B0A59">
        <w:rPr>
          <w:lang w:val="en-IE" w:eastAsia="en-GB"/>
        </w:rPr>
        <w:t xml:space="preserve"> PubMed PMID: 15639685.</w:t>
      </w:r>
    </w:p>
    <w:p w:rsidR="00851DC2" w:rsidRPr="00B671B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B671BB">
        <w:rPr>
          <w:lang w:eastAsia="en-GB"/>
        </w:rPr>
        <w:t>I2 (ii): British National Formulary vol. 61</w:t>
      </w:r>
      <w:r>
        <w:rPr>
          <w:lang w:eastAsia="en-GB"/>
        </w:rPr>
        <w:t>, March 2011: p 506</w:t>
      </w:r>
      <w:r w:rsidRPr="00B671BB">
        <w:rPr>
          <w:lang w:eastAsia="en-GB"/>
        </w:rPr>
        <w:t>.</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B953E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r w:rsidRPr="00B953E4">
        <w:rPr>
          <w:b/>
          <w:bCs/>
          <w:sz w:val="28"/>
          <w:szCs w:val="28"/>
          <w:lang w:eastAsia="en-GB"/>
        </w:rPr>
        <w:t>Section J: Endocrine System</w:t>
      </w:r>
      <w:r>
        <w:rPr>
          <w:b/>
          <w:bCs/>
          <w:sz w:val="28"/>
          <w:szCs w:val="28"/>
          <w:lang w:eastAsia="en-GB"/>
        </w:rPr>
        <w:t xml:space="preserve"> criteria</w:t>
      </w:r>
      <w:r w:rsidRPr="00B953E4">
        <w:rPr>
          <w:b/>
          <w:bCs/>
          <w:sz w:val="28"/>
          <w:szCs w:val="28"/>
          <w:lang w:eastAsia="en-GB"/>
        </w:rPr>
        <w:t>.</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CE1665">
        <w:rPr>
          <w:b/>
          <w:bCs/>
          <w:lang w:eastAsia="en-GB"/>
        </w:rPr>
        <w:t>J1. Sulphonylureas with a long duration of action (e.g. glibenclamide, chlorpropamide, glimepiride) with type 2 diabetes mellitus (risk of prolonged hypoglycaemia).</w:t>
      </w: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1B18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1B18EB">
        <w:rPr>
          <w:lang w:eastAsia="en-GB"/>
        </w:rPr>
        <w:t>J1(</w:t>
      </w:r>
      <w:proofErr w:type="gramEnd"/>
      <w:r w:rsidRPr="001B18EB">
        <w:rPr>
          <w:lang w:eastAsia="en-GB"/>
        </w:rPr>
        <w:t xml:space="preserve">i): Graal MB, Wolffenbuttel BH. </w:t>
      </w:r>
      <w:proofErr w:type="gramStart"/>
      <w:r w:rsidRPr="00CE1665">
        <w:rPr>
          <w:lang w:eastAsia="en-GB"/>
        </w:rPr>
        <w:t>The use of sulphonylureas in the elderly.</w:t>
      </w:r>
      <w:proofErr w:type="gramEnd"/>
      <w:r>
        <w:rPr>
          <w:lang w:eastAsia="en-GB"/>
        </w:rPr>
        <w:t xml:space="preserve"> Drugs Aging 1999</w:t>
      </w:r>
      <w:r w:rsidRPr="00CE1665">
        <w:rPr>
          <w:lang w:eastAsia="en-GB"/>
        </w:rPr>
        <w:t>;</w:t>
      </w:r>
      <w:r>
        <w:rPr>
          <w:lang w:eastAsia="en-GB"/>
        </w:rPr>
        <w:t xml:space="preserve"> </w:t>
      </w:r>
      <w:r w:rsidRPr="00CE1665">
        <w:rPr>
          <w:lang w:eastAsia="en-GB"/>
        </w:rPr>
        <w:t>15(6):</w:t>
      </w:r>
      <w:r>
        <w:rPr>
          <w:lang w:eastAsia="en-GB"/>
        </w:rPr>
        <w:t xml:space="preserve"> </w:t>
      </w:r>
      <w:r w:rsidRPr="00CE1665">
        <w:rPr>
          <w:lang w:eastAsia="en-GB"/>
        </w:rPr>
        <w:t xml:space="preserve">471-81. </w:t>
      </w:r>
      <w:proofErr w:type="gramStart"/>
      <w:r w:rsidRPr="00CE1665">
        <w:rPr>
          <w:lang w:eastAsia="en-GB"/>
        </w:rPr>
        <w:t>Review.</w:t>
      </w:r>
      <w:proofErr w:type="gramEnd"/>
      <w:r w:rsidRPr="00CE1665">
        <w:rPr>
          <w:lang w:eastAsia="en-GB"/>
        </w:rPr>
        <w:t xml:space="preserve"> PubMed PMID: 10641958.</w:t>
      </w: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B18E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1B18EB">
        <w:rPr>
          <w:lang w:eastAsia="en-GB"/>
        </w:rPr>
        <w:t>J1(</w:t>
      </w:r>
      <w:proofErr w:type="gramEnd"/>
      <w:r w:rsidRPr="001B18EB">
        <w:rPr>
          <w:lang w:eastAsia="en-GB"/>
        </w:rPr>
        <w:t xml:space="preserve">ii): Langtry HD, Balfour JA. </w:t>
      </w:r>
      <w:proofErr w:type="gramStart"/>
      <w:r w:rsidRPr="00CE1665">
        <w:rPr>
          <w:lang w:eastAsia="en-GB"/>
        </w:rPr>
        <w:t>Glimepiride.</w:t>
      </w:r>
      <w:proofErr w:type="gramEnd"/>
      <w:r>
        <w:rPr>
          <w:lang w:eastAsia="en-GB"/>
        </w:rPr>
        <w:t xml:space="preserve"> </w:t>
      </w:r>
      <w:proofErr w:type="gramStart"/>
      <w:r w:rsidRPr="00CE1665">
        <w:rPr>
          <w:lang w:eastAsia="en-GB"/>
        </w:rPr>
        <w:t>A review o</w:t>
      </w:r>
      <w:r>
        <w:rPr>
          <w:lang w:eastAsia="en-GB"/>
        </w:rPr>
        <w:t xml:space="preserve">f its use in the management of </w:t>
      </w:r>
      <w:r w:rsidRPr="001B18EB">
        <w:rPr>
          <w:lang w:eastAsia="en-GB"/>
        </w:rPr>
        <w:t>type 2 d</w:t>
      </w:r>
      <w:r>
        <w:rPr>
          <w:lang w:eastAsia="en-GB"/>
        </w:rPr>
        <w:t>iabetes mellitus.</w:t>
      </w:r>
      <w:proofErr w:type="gramEnd"/>
      <w:r>
        <w:rPr>
          <w:lang w:eastAsia="en-GB"/>
        </w:rPr>
        <w:t xml:space="preserve"> Drugs 1998</w:t>
      </w:r>
      <w:r w:rsidRPr="001B18EB">
        <w:rPr>
          <w:lang w:eastAsia="en-GB"/>
        </w:rPr>
        <w:t>;</w:t>
      </w:r>
      <w:r>
        <w:rPr>
          <w:lang w:eastAsia="en-GB"/>
        </w:rPr>
        <w:t xml:space="preserve"> </w:t>
      </w:r>
      <w:r w:rsidRPr="001B18EB">
        <w:rPr>
          <w:lang w:eastAsia="en-GB"/>
        </w:rPr>
        <w:t>55(4):</w:t>
      </w:r>
      <w:r>
        <w:rPr>
          <w:lang w:eastAsia="en-GB"/>
        </w:rPr>
        <w:t xml:space="preserve"> </w:t>
      </w:r>
      <w:r w:rsidRPr="001B18EB">
        <w:rPr>
          <w:lang w:eastAsia="en-GB"/>
        </w:rPr>
        <w:t xml:space="preserve">563-84. </w:t>
      </w:r>
      <w:proofErr w:type="gramStart"/>
      <w:r w:rsidRPr="00CE1665">
        <w:rPr>
          <w:lang w:eastAsia="en-GB"/>
        </w:rPr>
        <w:t>Review.</w:t>
      </w:r>
      <w:proofErr w:type="gramEnd"/>
      <w:r w:rsidRPr="00CE1665">
        <w:rPr>
          <w:lang w:eastAsia="en-GB"/>
        </w:rPr>
        <w:t xml:space="preserve"> PubMed PMID: 9561345.</w:t>
      </w: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CE1665">
        <w:rPr>
          <w:b/>
          <w:bCs/>
          <w:lang w:eastAsia="en-GB"/>
        </w:rPr>
        <w:t>J2. Thiazolidenediones (e.g. rosiglitazone, pioglitazone) in patients with documented heart failure (risk of exacerbation of heart failure)</w:t>
      </w: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CE1665">
        <w:rPr>
          <w:lang w:eastAsia="en-GB"/>
        </w:rPr>
        <w:t>J2(</w:t>
      </w:r>
      <w:proofErr w:type="gramEnd"/>
      <w:r w:rsidRPr="00CE1665">
        <w:rPr>
          <w:lang w:eastAsia="en-GB"/>
        </w:rPr>
        <w:t>i): Germino FW. Noninsulin treatment of type 2 diabetes mellitus in geriatri</w:t>
      </w:r>
      <w:r>
        <w:rPr>
          <w:lang w:eastAsia="en-GB"/>
        </w:rPr>
        <w:t>c patients: a review. Clin Ther 2011</w:t>
      </w:r>
      <w:r w:rsidRPr="00CE1665">
        <w:rPr>
          <w:lang w:eastAsia="en-GB"/>
        </w:rPr>
        <w:t>;</w:t>
      </w:r>
      <w:r>
        <w:rPr>
          <w:lang w:eastAsia="en-GB"/>
        </w:rPr>
        <w:t xml:space="preserve"> </w:t>
      </w:r>
      <w:r w:rsidRPr="00CE1665">
        <w:rPr>
          <w:lang w:eastAsia="en-GB"/>
        </w:rPr>
        <w:t>33(12):</w:t>
      </w:r>
      <w:r>
        <w:rPr>
          <w:lang w:eastAsia="en-GB"/>
        </w:rPr>
        <w:t xml:space="preserve"> </w:t>
      </w:r>
      <w:r w:rsidRPr="00CE1665">
        <w:rPr>
          <w:lang w:eastAsia="en-GB"/>
        </w:rPr>
        <w:t xml:space="preserve">1868-82. </w:t>
      </w:r>
      <w:proofErr w:type="gramStart"/>
      <w:r w:rsidRPr="00CE1665">
        <w:rPr>
          <w:lang w:eastAsia="en-GB"/>
        </w:rPr>
        <w:t>Review.</w:t>
      </w:r>
      <w:proofErr w:type="gramEnd"/>
      <w:r w:rsidRPr="00CE1665">
        <w:rPr>
          <w:lang w:eastAsia="en-GB"/>
        </w:rPr>
        <w:t xml:space="preserve"> PubMed PMID: 22136979.</w:t>
      </w: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CE1665">
        <w:rPr>
          <w:lang w:eastAsia="en-GB"/>
        </w:rPr>
        <w:t>J2(</w:t>
      </w:r>
      <w:proofErr w:type="gramEnd"/>
      <w:r w:rsidRPr="00CE1665">
        <w:rPr>
          <w:lang w:eastAsia="en-GB"/>
        </w:rPr>
        <w:t>ii): Lago RM, Singh PP, Nesto RW. Congestive heart failure and cardiovascular death in patients with prediabetes and type 2 diabetes given thiazolidinediones: a meta-analysis of ran</w:t>
      </w:r>
      <w:r>
        <w:rPr>
          <w:lang w:eastAsia="en-GB"/>
        </w:rPr>
        <w:t>domised clinical trials. Lancet 2007</w:t>
      </w:r>
      <w:r w:rsidRPr="00CE1665">
        <w:rPr>
          <w:lang w:eastAsia="en-GB"/>
        </w:rPr>
        <w:t>;</w:t>
      </w:r>
      <w:r>
        <w:rPr>
          <w:lang w:eastAsia="en-GB"/>
        </w:rPr>
        <w:t xml:space="preserve"> </w:t>
      </w:r>
      <w:r w:rsidRPr="00CE1665">
        <w:rPr>
          <w:lang w:eastAsia="en-GB"/>
        </w:rPr>
        <w:t>370(9593):</w:t>
      </w:r>
      <w:r>
        <w:rPr>
          <w:lang w:eastAsia="en-GB"/>
        </w:rPr>
        <w:t xml:space="preserve"> </w:t>
      </w:r>
      <w:r w:rsidRPr="00CE1665">
        <w:rPr>
          <w:lang w:eastAsia="en-GB"/>
        </w:rPr>
        <w:t xml:space="preserve">1129-36. </w:t>
      </w:r>
      <w:proofErr w:type="gramStart"/>
      <w:r w:rsidRPr="00CE1665">
        <w:rPr>
          <w:lang w:eastAsia="en-GB"/>
        </w:rPr>
        <w:t>Review.</w:t>
      </w:r>
      <w:proofErr w:type="gramEnd"/>
      <w:r w:rsidRPr="00CE1665">
        <w:rPr>
          <w:lang w:eastAsia="en-GB"/>
        </w:rPr>
        <w:t xml:space="preserve"> PubMed PMID: 17905165.</w:t>
      </w: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CE1665">
        <w:rPr>
          <w:b/>
          <w:bCs/>
          <w:lang w:eastAsia="en-GB"/>
        </w:rPr>
        <w:t>J3. Beta-blockers in diabetes mellitus with frequent hypoglycaemic episodes (risk of suppressing hypoglycaemic symptoms).</w:t>
      </w: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CE1665">
        <w:rPr>
          <w:lang w:eastAsia="en-GB"/>
        </w:rPr>
        <w:t>J3(</w:t>
      </w:r>
      <w:proofErr w:type="gramEnd"/>
      <w:r w:rsidRPr="00CE1665">
        <w:rPr>
          <w:lang w:eastAsia="en-GB"/>
        </w:rPr>
        <w:t xml:space="preserve">i): Chelliah A, Burge MR. Hypoglycaemia in elderly patients with diabetes mellitus: causes and strategies for </w:t>
      </w:r>
      <w:r>
        <w:rPr>
          <w:lang w:eastAsia="en-GB"/>
        </w:rPr>
        <w:t>prevention. Drugs Aging</w:t>
      </w:r>
      <w:r w:rsidRPr="00CE1665">
        <w:rPr>
          <w:lang w:eastAsia="en-GB"/>
        </w:rPr>
        <w:t xml:space="preserve"> 2004;</w:t>
      </w:r>
      <w:r>
        <w:rPr>
          <w:lang w:eastAsia="en-GB"/>
        </w:rPr>
        <w:t xml:space="preserve"> </w:t>
      </w:r>
      <w:r w:rsidRPr="00CE1665">
        <w:rPr>
          <w:lang w:eastAsia="en-GB"/>
        </w:rPr>
        <w:t>21(8):</w:t>
      </w:r>
      <w:r>
        <w:rPr>
          <w:lang w:eastAsia="en-GB"/>
        </w:rPr>
        <w:t xml:space="preserve"> </w:t>
      </w:r>
      <w:r w:rsidRPr="00CE1665">
        <w:rPr>
          <w:lang w:eastAsia="en-GB"/>
        </w:rPr>
        <w:t xml:space="preserve">511-30. </w:t>
      </w:r>
      <w:proofErr w:type="gramStart"/>
      <w:r w:rsidRPr="00CE1665">
        <w:rPr>
          <w:lang w:eastAsia="en-GB"/>
        </w:rPr>
        <w:t>Review.</w:t>
      </w:r>
      <w:proofErr w:type="gramEnd"/>
      <w:r w:rsidRPr="00CE1665">
        <w:rPr>
          <w:lang w:eastAsia="en-GB"/>
        </w:rPr>
        <w:t xml:space="preserve"> PubMed PMID: 15182216.</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J3 (ii): British National Formulary </w:t>
      </w:r>
      <w:r w:rsidRPr="004F2B2B">
        <w:rPr>
          <w:lang w:eastAsia="en-GB"/>
        </w:rPr>
        <w:t>vol. 61, March 2011: p</w:t>
      </w:r>
      <w:r>
        <w:rPr>
          <w:lang w:eastAsia="en-GB"/>
        </w:rPr>
        <w:t xml:space="preserve"> 98.</w:t>
      </w: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CE1665">
        <w:rPr>
          <w:b/>
          <w:bCs/>
          <w:lang w:eastAsia="en-GB"/>
        </w:rPr>
        <w:t>J4. Oestrogens with a history of breast cancer or venous thromboembolism (increased risk of recurrence).</w:t>
      </w: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E1665">
        <w:rPr>
          <w:lang w:eastAsia="en-GB"/>
        </w:rPr>
        <w:t>J4(i): Calle EE, Feigelson HS, Hildebrand JS, Teras LR, Thun MJ, Rodriguez C. Postmenopausal hormone use and breast cancer associations differ by hormone regimen</w:t>
      </w:r>
      <w:r>
        <w:rPr>
          <w:lang w:eastAsia="en-GB"/>
        </w:rPr>
        <w:t xml:space="preserve"> and histologic subtype. Cancer 2009</w:t>
      </w:r>
      <w:r w:rsidRPr="00CE1665">
        <w:rPr>
          <w:lang w:eastAsia="en-GB"/>
        </w:rPr>
        <w:t>;</w:t>
      </w:r>
      <w:r>
        <w:rPr>
          <w:lang w:eastAsia="en-GB"/>
        </w:rPr>
        <w:t xml:space="preserve"> </w:t>
      </w:r>
      <w:r w:rsidRPr="00CE1665">
        <w:rPr>
          <w:lang w:eastAsia="en-GB"/>
        </w:rPr>
        <w:t>115(5):</w:t>
      </w:r>
      <w:r>
        <w:rPr>
          <w:lang w:eastAsia="en-GB"/>
        </w:rPr>
        <w:t xml:space="preserve"> 936-45. Erratum in: Cancer 2009</w:t>
      </w:r>
      <w:r w:rsidRPr="00CE1665">
        <w:rPr>
          <w:lang w:eastAsia="en-GB"/>
        </w:rPr>
        <w:t>;</w:t>
      </w:r>
      <w:r>
        <w:rPr>
          <w:lang w:eastAsia="en-GB"/>
        </w:rPr>
        <w:t xml:space="preserve"> </w:t>
      </w:r>
      <w:r w:rsidRPr="00CE1665">
        <w:rPr>
          <w:lang w:eastAsia="en-GB"/>
        </w:rPr>
        <w:t>115(7):</w:t>
      </w:r>
      <w:r>
        <w:rPr>
          <w:lang w:eastAsia="en-GB"/>
        </w:rPr>
        <w:t xml:space="preserve"> </w:t>
      </w:r>
      <w:r w:rsidRPr="00CE1665">
        <w:rPr>
          <w:lang w:eastAsia="en-GB"/>
        </w:rPr>
        <w:t>1587. PubMed PMID: 19156895.</w:t>
      </w: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E1665">
        <w:rPr>
          <w:lang w:eastAsia="en-GB"/>
        </w:rPr>
        <w:t>J4(ii): Diergaarde B, Potter JD, Jupe ER, Manjeshwar S, Shimasaki CD, Pugh TW,</w:t>
      </w:r>
      <w:r>
        <w:rPr>
          <w:lang w:eastAsia="en-GB"/>
        </w:rPr>
        <w:t xml:space="preserve"> </w:t>
      </w:r>
      <w:r w:rsidRPr="00CE1665">
        <w:rPr>
          <w:lang w:eastAsia="en-GB"/>
        </w:rPr>
        <w:t>Defreese DC, Gramling BA, Evans I, White E. Polymorphisms in genes involved in sex hormone metabolism, estrogen plus progestin hormone therapy use, and risk of postmenopausal breast cancer. C</w:t>
      </w:r>
      <w:r>
        <w:rPr>
          <w:lang w:eastAsia="en-GB"/>
        </w:rPr>
        <w:t>ancer Epidemiol Biomarkers Prev</w:t>
      </w:r>
      <w:r w:rsidRPr="00CE1665">
        <w:rPr>
          <w:lang w:eastAsia="en-GB"/>
        </w:rPr>
        <w:t xml:space="preserve"> 200</w:t>
      </w:r>
      <w:r>
        <w:rPr>
          <w:lang w:eastAsia="en-GB"/>
        </w:rPr>
        <w:t>8</w:t>
      </w:r>
      <w:r w:rsidRPr="00CE1665">
        <w:rPr>
          <w:lang w:eastAsia="en-GB"/>
        </w:rPr>
        <w:t>;</w:t>
      </w:r>
      <w:r>
        <w:rPr>
          <w:lang w:eastAsia="en-GB"/>
        </w:rPr>
        <w:t xml:space="preserve"> </w:t>
      </w:r>
      <w:r w:rsidRPr="00CE1665">
        <w:rPr>
          <w:lang w:eastAsia="en-GB"/>
        </w:rPr>
        <w:t>17(7):</w:t>
      </w:r>
      <w:r>
        <w:rPr>
          <w:lang w:eastAsia="en-GB"/>
        </w:rPr>
        <w:t xml:space="preserve"> </w:t>
      </w:r>
      <w:r w:rsidRPr="00CE1665">
        <w:rPr>
          <w:lang w:eastAsia="en-GB"/>
        </w:rPr>
        <w:t>1751-9. PubMed PMID: 18628428</w:t>
      </w:r>
      <w:r>
        <w:rPr>
          <w:lang w:eastAsia="en-GB"/>
        </w:rPr>
        <w:t>.</w:t>
      </w: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CE1665">
        <w:rPr>
          <w:b/>
          <w:bCs/>
          <w:lang w:eastAsia="en-GB"/>
        </w:rPr>
        <w:t>J5. Oestrogens without progestogen in patients with intact uterus (risk of endometrial cancer).</w:t>
      </w: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DB4A33">
        <w:rPr>
          <w:lang w:val="sv-SE" w:eastAsia="en-GB"/>
        </w:rPr>
        <w:t xml:space="preserve">J5(i): Dick SE, DeWitt DE, Anawalt BD. </w:t>
      </w:r>
      <w:r w:rsidRPr="00CE1665">
        <w:rPr>
          <w:lang w:eastAsia="en-GB"/>
        </w:rPr>
        <w:t>Postmenopausal hormone replacement therapy and major clinical outcomes: a focus on cardiovascular disease, osteoporosis, dementia, and breast and endomet</w:t>
      </w:r>
      <w:r>
        <w:rPr>
          <w:lang w:eastAsia="en-GB"/>
        </w:rPr>
        <w:t>rial neoplasia. Am J Manag Care 2002</w:t>
      </w:r>
      <w:r w:rsidRPr="00CE1665">
        <w:rPr>
          <w:lang w:eastAsia="en-GB"/>
        </w:rPr>
        <w:t>;</w:t>
      </w:r>
      <w:r>
        <w:rPr>
          <w:lang w:eastAsia="en-GB"/>
        </w:rPr>
        <w:t xml:space="preserve"> </w:t>
      </w:r>
      <w:r w:rsidRPr="00CE1665">
        <w:rPr>
          <w:lang w:eastAsia="en-GB"/>
        </w:rPr>
        <w:t>8(</w:t>
      </w:r>
      <w:r>
        <w:rPr>
          <w:lang w:eastAsia="en-GB"/>
        </w:rPr>
        <w:t xml:space="preserve">1): 95-104. </w:t>
      </w:r>
      <w:proofErr w:type="gramStart"/>
      <w:r w:rsidRPr="00CE1665">
        <w:rPr>
          <w:lang w:eastAsia="en-GB"/>
        </w:rPr>
        <w:t>Review.</w:t>
      </w:r>
      <w:proofErr w:type="gramEnd"/>
      <w:r w:rsidRPr="00CE1665">
        <w:rPr>
          <w:lang w:eastAsia="en-GB"/>
        </w:rPr>
        <w:t xml:space="preserve"> PubMed PMID: 11814176.</w:t>
      </w: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E1665">
        <w:rPr>
          <w:lang w:eastAsia="en-GB"/>
        </w:rPr>
        <w:t>J5(ii): Furness S, Roberts H, Marjoribanks J, Lethaby A. Hormone therapy in postmenopausal women and risk of endometrial hyper</w:t>
      </w:r>
      <w:r>
        <w:rPr>
          <w:lang w:eastAsia="en-GB"/>
        </w:rPr>
        <w:t xml:space="preserve">plasia. Cochrane Database Syst </w:t>
      </w:r>
      <w:r w:rsidRPr="00CE1665">
        <w:rPr>
          <w:lang w:eastAsia="en-GB"/>
        </w:rPr>
        <w:t>Re</w:t>
      </w:r>
      <w:r>
        <w:rPr>
          <w:lang w:eastAsia="en-GB"/>
        </w:rPr>
        <w:t>v</w:t>
      </w:r>
      <w:r w:rsidRPr="00CE1665">
        <w:rPr>
          <w:lang w:eastAsia="en-GB"/>
        </w:rPr>
        <w:t xml:space="preserve"> 2012 Aug 15</w:t>
      </w:r>
      <w:proofErr w:type="gramStart"/>
      <w:r w:rsidRPr="00CE1665">
        <w:rPr>
          <w:lang w:eastAsia="en-GB"/>
        </w:rPr>
        <w:t>;8:CD000402</w:t>
      </w:r>
      <w:proofErr w:type="gramEnd"/>
      <w:r w:rsidRPr="00CE1665">
        <w:rPr>
          <w:lang w:eastAsia="en-GB"/>
        </w:rPr>
        <w:t xml:space="preserve">. </w:t>
      </w:r>
      <w:proofErr w:type="gramStart"/>
      <w:r w:rsidRPr="00CE1665">
        <w:rPr>
          <w:lang w:eastAsia="en-GB"/>
        </w:rPr>
        <w:t>doi</w:t>
      </w:r>
      <w:proofErr w:type="gramEnd"/>
      <w:r w:rsidRPr="00CE1665">
        <w:rPr>
          <w:lang w:eastAsia="en-GB"/>
        </w:rPr>
        <w:t xml:space="preserve">: 10.1002/14651858.CD000402.pub4. </w:t>
      </w:r>
      <w:proofErr w:type="gramStart"/>
      <w:r w:rsidRPr="00CE1665">
        <w:rPr>
          <w:lang w:eastAsia="en-GB"/>
        </w:rPr>
        <w:t>Review.</w:t>
      </w:r>
      <w:proofErr w:type="gramEnd"/>
      <w:r w:rsidRPr="00CE1665">
        <w:rPr>
          <w:lang w:eastAsia="en-GB"/>
        </w:rPr>
        <w:t xml:space="preserve"> PubMed PMID: 22895916.</w:t>
      </w: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CE1665">
        <w:rPr>
          <w:lang w:eastAsia="en-GB"/>
        </w:rPr>
        <w:t>J5(</w:t>
      </w:r>
      <w:proofErr w:type="gramEnd"/>
      <w:r w:rsidRPr="00CE1665">
        <w:rPr>
          <w:lang w:eastAsia="en-GB"/>
        </w:rPr>
        <w:t xml:space="preserve">iii): Marjoribanks J, Farquhar C, Roberts H, Lethaby A.  </w:t>
      </w:r>
      <w:proofErr w:type="gramStart"/>
      <w:r w:rsidRPr="00CE1665">
        <w:rPr>
          <w:lang w:eastAsia="en-GB"/>
        </w:rPr>
        <w:t>Long term hormone therapy for perimenopausal and postmenopausal wom</w:t>
      </w:r>
      <w:r>
        <w:rPr>
          <w:lang w:eastAsia="en-GB"/>
        </w:rPr>
        <w:t>en.</w:t>
      </w:r>
      <w:proofErr w:type="gramEnd"/>
      <w:r>
        <w:rPr>
          <w:lang w:eastAsia="en-GB"/>
        </w:rPr>
        <w:t xml:space="preserve">  Cochrane Database Syst Rev 2012 Jul </w:t>
      </w:r>
      <w:r w:rsidRPr="00CE1665">
        <w:rPr>
          <w:lang w:eastAsia="en-GB"/>
        </w:rPr>
        <w:t>11</w:t>
      </w:r>
      <w:proofErr w:type="gramStart"/>
      <w:r w:rsidRPr="00CE1665">
        <w:rPr>
          <w:lang w:eastAsia="en-GB"/>
        </w:rPr>
        <w:t>;7:CD004143</w:t>
      </w:r>
      <w:proofErr w:type="gramEnd"/>
      <w:r w:rsidRPr="00CE1665">
        <w:rPr>
          <w:lang w:eastAsia="en-GB"/>
        </w:rPr>
        <w:t xml:space="preserve">. </w:t>
      </w:r>
      <w:proofErr w:type="gramStart"/>
      <w:r w:rsidRPr="00CE1665">
        <w:rPr>
          <w:lang w:eastAsia="en-GB"/>
        </w:rPr>
        <w:t>doi</w:t>
      </w:r>
      <w:proofErr w:type="gramEnd"/>
      <w:r w:rsidRPr="00CE1665">
        <w:rPr>
          <w:lang w:eastAsia="en-GB"/>
        </w:rPr>
        <w:t xml:space="preserve">: 10.1002/14651858.CD004143.pub4. </w:t>
      </w:r>
      <w:proofErr w:type="gramStart"/>
      <w:r w:rsidRPr="00CE1665">
        <w:rPr>
          <w:lang w:eastAsia="en-GB"/>
        </w:rPr>
        <w:t>Review.</w:t>
      </w:r>
      <w:proofErr w:type="gramEnd"/>
      <w:r w:rsidRPr="00CE1665">
        <w:rPr>
          <w:lang w:eastAsia="en-GB"/>
        </w:rPr>
        <w:t xml:space="preserve">  PubMed PMID: 22786488</w:t>
      </w:r>
    </w:p>
    <w:p w:rsidR="00851DC2" w:rsidRPr="00CE166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CE1665">
        <w:rPr>
          <w:b/>
          <w:bCs/>
          <w:lang w:eastAsia="en-GB"/>
        </w:rPr>
        <w:t xml:space="preserve">J6. </w:t>
      </w:r>
      <w:proofErr w:type="gramStart"/>
      <w:r w:rsidRPr="00CE1665">
        <w:rPr>
          <w:b/>
          <w:bCs/>
          <w:lang w:eastAsia="en-GB"/>
        </w:rPr>
        <w:t>Androgens in the absence of primary or secondary hypogonadism (risk of androgen toxicity; no proven benefit outside of hypogonadism indication).</w:t>
      </w:r>
      <w:proofErr w:type="gramEnd"/>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Pr>
          <w:lang w:val="en-IE" w:eastAsia="en-GB"/>
        </w:rPr>
        <w:t>J6(</w:t>
      </w:r>
      <w:proofErr w:type="gramEnd"/>
      <w:r>
        <w:rPr>
          <w:lang w:val="en-IE" w:eastAsia="en-GB"/>
        </w:rPr>
        <w:t xml:space="preserve">i): </w:t>
      </w:r>
      <w:r w:rsidRPr="0096767D">
        <w:rPr>
          <w:lang w:val="en-IE" w:eastAsia="en-GB"/>
        </w:rPr>
        <w:t>Bhasin S, Cunningham GR, Hayes FJ, Matsumoto AM, Snyder PJ, Swerdloff RS,Montori VM; Task Force, Endocrine Society. Testosterone therapy in men withan</w:t>
      </w:r>
      <w:r>
        <w:rPr>
          <w:lang w:val="en-IE" w:eastAsia="en-GB"/>
        </w:rPr>
        <w:t xml:space="preserve">drogen deficiency syndromes: an </w:t>
      </w:r>
      <w:r w:rsidRPr="0096767D">
        <w:rPr>
          <w:lang w:val="en-IE" w:eastAsia="en-GB"/>
        </w:rPr>
        <w:t xml:space="preserve">Endocrine Society clinical practice guideline. </w:t>
      </w:r>
      <w:r>
        <w:rPr>
          <w:lang w:val="en-IE" w:eastAsia="en-GB"/>
        </w:rPr>
        <w:t>J Clin Endocrinol Metab 2010</w:t>
      </w:r>
      <w:r w:rsidRPr="0096767D">
        <w:rPr>
          <w:lang w:val="en-IE" w:eastAsia="en-GB"/>
        </w:rPr>
        <w:t>;</w:t>
      </w:r>
      <w:r>
        <w:rPr>
          <w:lang w:val="en-IE" w:eastAsia="en-GB"/>
        </w:rPr>
        <w:t xml:space="preserve"> </w:t>
      </w:r>
      <w:r w:rsidRPr="0096767D">
        <w:rPr>
          <w:lang w:val="en-IE" w:eastAsia="en-GB"/>
        </w:rPr>
        <w:t>95(6):</w:t>
      </w:r>
      <w:r>
        <w:rPr>
          <w:lang w:val="en-IE" w:eastAsia="en-GB"/>
        </w:rPr>
        <w:t xml:space="preserve"> </w:t>
      </w:r>
      <w:r w:rsidRPr="0096767D">
        <w:rPr>
          <w:lang w:val="en-IE" w:eastAsia="en-GB"/>
        </w:rPr>
        <w:t xml:space="preserve">2536-59. </w:t>
      </w:r>
      <w:proofErr w:type="gramStart"/>
      <w:r w:rsidRPr="0096767D">
        <w:rPr>
          <w:lang w:val="en-IE" w:eastAsia="en-GB"/>
        </w:rPr>
        <w:t>Review.</w:t>
      </w:r>
      <w:proofErr w:type="gramEnd"/>
      <w:r w:rsidRPr="0096767D">
        <w:rPr>
          <w:lang w:val="en-IE" w:eastAsia="en-GB"/>
        </w:rPr>
        <w:t xml:space="preserve"> PubMed PMID: 20525905.</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proofErr w:type="gramStart"/>
      <w:r>
        <w:rPr>
          <w:lang w:val="en-IE" w:eastAsia="en-GB"/>
        </w:rPr>
        <w:lastRenderedPageBreak/>
        <w:t>J6(</w:t>
      </w:r>
      <w:proofErr w:type="gramEnd"/>
      <w:r>
        <w:rPr>
          <w:lang w:val="en-IE" w:eastAsia="en-GB"/>
        </w:rPr>
        <w:t xml:space="preserve">ii): </w:t>
      </w:r>
      <w:r w:rsidRPr="00B027CA">
        <w:rPr>
          <w:lang w:val="en-IE" w:eastAsia="en-GB"/>
        </w:rPr>
        <w:t xml:space="preserve">Kazi M, Geraci SA, Koch CA. Considerations for </w:t>
      </w:r>
      <w:r>
        <w:rPr>
          <w:lang w:val="en-IE" w:eastAsia="en-GB"/>
        </w:rPr>
        <w:t xml:space="preserve">the diagnosis and treatment of </w:t>
      </w:r>
      <w:r w:rsidRPr="00B027CA">
        <w:rPr>
          <w:lang w:val="en-IE" w:eastAsia="en-GB"/>
        </w:rPr>
        <w:t>testosterone defi</w:t>
      </w:r>
      <w:r>
        <w:rPr>
          <w:lang w:val="en-IE" w:eastAsia="en-GB"/>
        </w:rPr>
        <w:t>ciency in elderly men. Am J Med 2007</w:t>
      </w:r>
      <w:r w:rsidRPr="00B027CA">
        <w:rPr>
          <w:lang w:val="en-IE" w:eastAsia="en-GB"/>
        </w:rPr>
        <w:t>;</w:t>
      </w:r>
      <w:r>
        <w:rPr>
          <w:lang w:val="en-IE" w:eastAsia="en-GB"/>
        </w:rPr>
        <w:t xml:space="preserve"> </w:t>
      </w:r>
      <w:r w:rsidRPr="00B027CA">
        <w:rPr>
          <w:lang w:val="en-IE" w:eastAsia="en-GB"/>
        </w:rPr>
        <w:t>120(10):</w:t>
      </w:r>
      <w:r>
        <w:rPr>
          <w:lang w:val="en-IE" w:eastAsia="en-GB"/>
        </w:rPr>
        <w:t xml:space="preserve"> </w:t>
      </w:r>
      <w:r w:rsidRPr="00B027CA">
        <w:rPr>
          <w:lang w:val="en-IE" w:eastAsia="en-GB"/>
        </w:rPr>
        <w:t>835-40.Review. PubMed PMID: 17904450.</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p>
    <w:p w:rsidR="00851DC2" w:rsidRPr="00F8555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8"/>
          <w:szCs w:val="28"/>
          <w:lang w:val="en-IE" w:eastAsia="en-GB"/>
        </w:rPr>
      </w:pPr>
      <w:r w:rsidRPr="00F85555">
        <w:rPr>
          <w:b/>
          <w:bCs/>
          <w:sz w:val="28"/>
          <w:szCs w:val="28"/>
          <w:lang w:val="en-IE" w:eastAsia="en-GB"/>
        </w:rPr>
        <w:t>Section K: Drugs that predictably increase the risk of falls in older people.</w:t>
      </w:r>
    </w:p>
    <w:p w:rsidR="00851DC2" w:rsidRPr="00F8555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F85555">
        <w:rPr>
          <w:b/>
          <w:bCs/>
          <w:lang w:eastAsia="en-GB"/>
        </w:rPr>
        <w:t>K1. Benzodiazepines (sedative, may cause reduced sensorium, impair balance).</w:t>
      </w:r>
    </w:p>
    <w:p w:rsidR="00851DC2" w:rsidRPr="00F8555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8555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F85555">
        <w:rPr>
          <w:lang w:val="en-IE" w:eastAsia="en-GB"/>
        </w:rPr>
        <w:t>K1(i): Huang AR, Mallet L, Rochefort CM, Eguale T, Buckeridge DL, Tamblyn R. Medication-related falls in the elderly: causative factors and preventive</w:t>
      </w:r>
      <w:r>
        <w:rPr>
          <w:lang w:val="en-IE" w:eastAsia="en-GB"/>
        </w:rPr>
        <w:t xml:space="preserve"> strategies. Drugs Aging 2012</w:t>
      </w:r>
      <w:r w:rsidRPr="00F85555">
        <w:rPr>
          <w:lang w:val="en-IE" w:eastAsia="en-GB"/>
        </w:rPr>
        <w:t>;</w:t>
      </w:r>
      <w:r>
        <w:rPr>
          <w:lang w:val="en-IE" w:eastAsia="en-GB"/>
        </w:rPr>
        <w:t xml:space="preserve"> </w:t>
      </w:r>
      <w:r w:rsidRPr="00F85555">
        <w:rPr>
          <w:lang w:val="en-IE" w:eastAsia="en-GB"/>
        </w:rPr>
        <w:t>29(5):</w:t>
      </w:r>
      <w:r>
        <w:rPr>
          <w:lang w:val="en-IE" w:eastAsia="en-GB"/>
        </w:rPr>
        <w:t xml:space="preserve"> </w:t>
      </w:r>
      <w:r w:rsidRPr="00F85555">
        <w:rPr>
          <w:lang w:val="en-IE" w:eastAsia="en-GB"/>
        </w:rPr>
        <w:t xml:space="preserve">359-76. </w:t>
      </w:r>
      <w:proofErr w:type="gramStart"/>
      <w:r w:rsidRPr="00F85555">
        <w:rPr>
          <w:lang w:val="en-IE" w:eastAsia="en-GB"/>
        </w:rPr>
        <w:t>Review.</w:t>
      </w:r>
      <w:proofErr w:type="gramEnd"/>
      <w:r w:rsidRPr="00F85555">
        <w:rPr>
          <w:lang w:val="en-IE" w:eastAsia="en-GB"/>
        </w:rPr>
        <w:t xml:space="preserve"> PubMed PMID: 22550966.</w:t>
      </w:r>
    </w:p>
    <w:p w:rsidR="00851DC2" w:rsidRPr="00F8555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9771F0"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sv-SE" w:eastAsia="en-GB"/>
        </w:rPr>
      </w:pPr>
      <w:r w:rsidRPr="00F85555">
        <w:rPr>
          <w:lang w:val="en-IE" w:eastAsia="en-GB"/>
        </w:rPr>
        <w:t xml:space="preserve">K1(ii): Woolcott JC, Richardson KJ, Wiens MO, Patel B, Marin J, Khan KM, Marra CA. Meta-analysis of the impact of 9 medication classes on falls in elderly persons.  </w:t>
      </w:r>
      <w:r>
        <w:rPr>
          <w:lang w:val="sv-SE" w:eastAsia="en-GB"/>
        </w:rPr>
        <w:t>Arch Intern Med 2009</w:t>
      </w:r>
      <w:r w:rsidRPr="009771F0">
        <w:rPr>
          <w:lang w:val="sv-SE" w:eastAsia="en-GB"/>
        </w:rPr>
        <w:t>;</w:t>
      </w:r>
      <w:r>
        <w:rPr>
          <w:lang w:val="sv-SE" w:eastAsia="en-GB"/>
        </w:rPr>
        <w:t xml:space="preserve"> </w:t>
      </w:r>
      <w:r w:rsidRPr="009771F0">
        <w:rPr>
          <w:lang w:val="sv-SE" w:eastAsia="en-GB"/>
        </w:rPr>
        <w:t>169(21):</w:t>
      </w:r>
      <w:r>
        <w:rPr>
          <w:lang w:val="sv-SE" w:eastAsia="en-GB"/>
        </w:rPr>
        <w:t xml:space="preserve"> </w:t>
      </w:r>
      <w:r w:rsidRPr="009771F0">
        <w:rPr>
          <w:lang w:val="sv-SE" w:eastAsia="en-GB"/>
        </w:rPr>
        <w:t>1952-60. Revi</w:t>
      </w:r>
      <w:r>
        <w:rPr>
          <w:lang w:val="sv-SE" w:eastAsia="en-GB"/>
        </w:rPr>
        <w:t>ew. Erratum in: Arch Intern Med</w:t>
      </w:r>
      <w:r w:rsidRPr="009771F0">
        <w:rPr>
          <w:lang w:val="sv-SE" w:eastAsia="en-GB"/>
        </w:rPr>
        <w:t xml:space="preserve"> 2010 Mar 8;170(5):477. PubMed PMID: 19933955.</w:t>
      </w:r>
    </w:p>
    <w:p w:rsidR="00851DC2" w:rsidRPr="009771F0"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sv-SE" w:eastAsia="en-GB"/>
        </w:rPr>
      </w:pPr>
    </w:p>
    <w:p w:rsidR="00851DC2" w:rsidRPr="009771F0"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sv-SE" w:eastAsia="en-GB"/>
        </w:rPr>
      </w:pPr>
    </w:p>
    <w:p w:rsidR="00851DC2" w:rsidRPr="009771F0"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sv-SE" w:eastAsia="en-GB"/>
        </w:rPr>
      </w:pPr>
      <w:r w:rsidRPr="009771F0">
        <w:rPr>
          <w:b/>
          <w:bCs/>
          <w:lang w:val="sv-SE" w:eastAsia="en-GB"/>
        </w:rPr>
        <w:t>K2. Neuroleptic drugs (may cause gait dyspraxia, Parkinsonism).</w:t>
      </w:r>
    </w:p>
    <w:p w:rsidR="00851DC2" w:rsidRPr="009771F0"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sv-SE" w:eastAsia="en-GB"/>
        </w:rPr>
      </w:pPr>
    </w:p>
    <w:p w:rsidR="00851DC2" w:rsidRPr="00F8555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F85555">
        <w:rPr>
          <w:lang w:val="en-IE" w:eastAsia="en-GB"/>
        </w:rPr>
        <w:t>K2(</w:t>
      </w:r>
      <w:proofErr w:type="gramEnd"/>
      <w:r w:rsidRPr="00F85555">
        <w:rPr>
          <w:lang w:val="en-IE" w:eastAsia="en-GB"/>
        </w:rPr>
        <w:t xml:space="preserve">i): Hill KD, Wee R. Psychotropic drug-induced falls in older people: a review of interventions aimed at reducing the problem.  </w:t>
      </w:r>
      <w:r>
        <w:rPr>
          <w:lang w:val="en-IE" w:eastAsia="en-GB"/>
        </w:rPr>
        <w:t>Drugs Aging 2012</w:t>
      </w:r>
      <w:r w:rsidRPr="00F85555">
        <w:rPr>
          <w:lang w:val="en-IE" w:eastAsia="en-GB"/>
        </w:rPr>
        <w:t>;</w:t>
      </w:r>
      <w:r>
        <w:rPr>
          <w:lang w:val="en-IE" w:eastAsia="en-GB"/>
        </w:rPr>
        <w:t xml:space="preserve"> </w:t>
      </w:r>
      <w:r w:rsidRPr="00F85555">
        <w:rPr>
          <w:lang w:val="en-IE" w:eastAsia="en-GB"/>
        </w:rPr>
        <w:t>29(1):</w:t>
      </w:r>
      <w:r>
        <w:rPr>
          <w:lang w:val="en-IE" w:eastAsia="en-GB"/>
        </w:rPr>
        <w:t xml:space="preserve"> </w:t>
      </w:r>
      <w:r w:rsidRPr="00F85555">
        <w:rPr>
          <w:lang w:val="en-IE" w:eastAsia="en-GB"/>
        </w:rPr>
        <w:t xml:space="preserve">15-30. </w:t>
      </w:r>
      <w:proofErr w:type="gramStart"/>
      <w:r w:rsidRPr="00F85555">
        <w:rPr>
          <w:lang w:val="en-IE" w:eastAsia="en-GB"/>
        </w:rPr>
        <w:t>Review.</w:t>
      </w:r>
      <w:proofErr w:type="gramEnd"/>
      <w:r w:rsidRPr="00F85555">
        <w:rPr>
          <w:lang w:val="en-IE" w:eastAsia="en-GB"/>
        </w:rPr>
        <w:t xml:space="preserve"> PubMed PMID: 22191720.</w:t>
      </w:r>
    </w:p>
    <w:p w:rsidR="00851DC2" w:rsidRPr="00F8555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9771F0"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sv-SE" w:eastAsia="en-GB"/>
        </w:rPr>
      </w:pPr>
      <w:r w:rsidRPr="00F85555">
        <w:rPr>
          <w:lang w:val="en-IE" w:eastAsia="en-GB"/>
        </w:rPr>
        <w:t>K2(ii): Woolcott JC, Richardson KJ, Wiens MO, Patel B, Marin J, Khan KM, Marra CA. Meta-analysis of the impact of 9 medication classes on falls in e</w:t>
      </w:r>
      <w:r>
        <w:rPr>
          <w:lang w:val="en-IE" w:eastAsia="en-GB"/>
        </w:rPr>
        <w:t xml:space="preserve">lderly persons. </w:t>
      </w:r>
      <w:r>
        <w:rPr>
          <w:lang w:val="sv-SE" w:eastAsia="en-GB"/>
        </w:rPr>
        <w:t>Arch Intern Med 2009</w:t>
      </w:r>
      <w:r w:rsidRPr="009771F0">
        <w:rPr>
          <w:lang w:val="sv-SE" w:eastAsia="en-GB"/>
        </w:rPr>
        <w:t>;</w:t>
      </w:r>
      <w:r>
        <w:rPr>
          <w:lang w:val="sv-SE" w:eastAsia="en-GB"/>
        </w:rPr>
        <w:t xml:space="preserve"> </w:t>
      </w:r>
      <w:r w:rsidRPr="009771F0">
        <w:rPr>
          <w:lang w:val="sv-SE" w:eastAsia="en-GB"/>
        </w:rPr>
        <w:t>169(21):</w:t>
      </w:r>
      <w:r>
        <w:rPr>
          <w:lang w:val="sv-SE" w:eastAsia="en-GB"/>
        </w:rPr>
        <w:t xml:space="preserve"> </w:t>
      </w:r>
      <w:r w:rsidRPr="009771F0">
        <w:rPr>
          <w:lang w:val="sv-SE" w:eastAsia="en-GB"/>
        </w:rPr>
        <w:t>1952-60. Review. Erratum</w:t>
      </w:r>
      <w:r>
        <w:rPr>
          <w:lang w:val="sv-SE" w:eastAsia="en-GB"/>
        </w:rPr>
        <w:t xml:space="preserve"> in: Arch Intern Med 2010</w:t>
      </w:r>
      <w:r w:rsidRPr="009771F0">
        <w:rPr>
          <w:lang w:val="sv-SE" w:eastAsia="en-GB"/>
        </w:rPr>
        <w:t>;</w:t>
      </w:r>
      <w:r>
        <w:rPr>
          <w:lang w:val="sv-SE" w:eastAsia="en-GB"/>
        </w:rPr>
        <w:t xml:space="preserve"> </w:t>
      </w:r>
      <w:r w:rsidRPr="009771F0">
        <w:rPr>
          <w:lang w:val="sv-SE" w:eastAsia="en-GB"/>
        </w:rPr>
        <w:t>170(5):</w:t>
      </w:r>
      <w:r>
        <w:rPr>
          <w:lang w:val="sv-SE" w:eastAsia="en-GB"/>
        </w:rPr>
        <w:t xml:space="preserve"> </w:t>
      </w:r>
      <w:r w:rsidRPr="009771F0">
        <w:rPr>
          <w:lang w:val="sv-SE" w:eastAsia="en-GB"/>
        </w:rPr>
        <w:t>477. PubMed PMID: 19933955.</w:t>
      </w:r>
    </w:p>
    <w:p w:rsidR="00851DC2" w:rsidRPr="009771F0"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sv-SE" w:eastAsia="en-GB"/>
        </w:rPr>
      </w:pPr>
    </w:p>
    <w:p w:rsidR="00851DC2" w:rsidRPr="009771F0"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sv-SE" w:eastAsia="en-GB"/>
        </w:rPr>
      </w:pPr>
    </w:p>
    <w:p w:rsidR="00851DC2" w:rsidRPr="009771F0"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sv-SE" w:eastAsia="en-GB"/>
        </w:rPr>
      </w:pPr>
      <w:r w:rsidRPr="009771F0">
        <w:rPr>
          <w:b/>
          <w:bCs/>
          <w:lang w:val="sv-SE" w:eastAsia="en-GB"/>
        </w:rPr>
        <w:t xml:space="preserve">K3. Vasodilator drugs (e.g. alpha-1 receptor blockers, calcium channel blockers, long-acting nitrates, ACE inhibitors, angiotensin I receptor blockers, diazoxide, minoxidil, hydralazine) with persistent postural hypotension i.e. recurrent drop in systolic blood pressure </w:t>
      </w:r>
      <w:r w:rsidRPr="00A57181">
        <w:rPr>
          <w:b/>
          <w:bCs/>
          <w:lang w:val="sv-SE" w:eastAsia="en-GB"/>
        </w:rPr>
        <w:t>≥</w:t>
      </w:r>
      <w:r w:rsidRPr="009771F0">
        <w:rPr>
          <w:b/>
          <w:bCs/>
          <w:lang w:val="sv-SE" w:eastAsia="en-GB"/>
        </w:rPr>
        <w:t xml:space="preserve"> 20mmHg (risk of syncope, falls).</w:t>
      </w:r>
    </w:p>
    <w:p w:rsidR="00851DC2" w:rsidRPr="009771F0"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sv-SE" w:eastAsia="en-GB"/>
        </w:rPr>
      </w:pPr>
    </w:p>
    <w:p w:rsidR="00851DC2" w:rsidRPr="00F8555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F85555">
        <w:rPr>
          <w:lang w:val="en-IE" w:eastAsia="en-GB"/>
        </w:rPr>
        <w:t>K3(</w:t>
      </w:r>
      <w:proofErr w:type="gramEnd"/>
      <w:r w:rsidRPr="00F85555">
        <w:rPr>
          <w:lang w:val="en-IE" w:eastAsia="en-GB"/>
        </w:rPr>
        <w:t xml:space="preserve">i): Aronow WS. </w:t>
      </w:r>
      <w:proofErr w:type="gramStart"/>
      <w:r w:rsidRPr="00F85555">
        <w:rPr>
          <w:lang w:val="en-IE" w:eastAsia="en-GB"/>
        </w:rPr>
        <w:t>Treating hypertension in older adults: safety considerations.</w:t>
      </w:r>
      <w:proofErr w:type="gramEnd"/>
      <w:r w:rsidRPr="00F85555">
        <w:rPr>
          <w:lang w:val="en-IE" w:eastAsia="en-GB"/>
        </w:rPr>
        <w:t xml:space="preserve"> D</w:t>
      </w:r>
      <w:r>
        <w:rPr>
          <w:lang w:val="en-IE" w:eastAsia="en-GB"/>
        </w:rPr>
        <w:t>rug Saf</w:t>
      </w:r>
      <w:r w:rsidRPr="00F85555">
        <w:rPr>
          <w:lang w:val="en-IE" w:eastAsia="en-GB"/>
        </w:rPr>
        <w:t xml:space="preserve"> 2009;</w:t>
      </w:r>
      <w:r>
        <w:rPr>
          <w:lang w:val="en-IE" w:eastAsia="en-GB"/>
        </w:rPr>
        <w:t xml:space="preserve"> </w:t>
      </w:r>
      <w:r w:rsidRPr="00F85555">
        <w:rPr>
          <w:lang w:val="en-IE" w:eastAsia="en-GB"/>
        </w:rPr>
        <w:t>32(2):</w:t>
      </w:r>
      <w:r>
        <w:rPr>
          <w:lang w:val="en-IE" w:eastAsia="en-GB"/>
        </w:rPr>
        <w:t xml:space="preserve"> </w:t>
      </w:r>
      <w:r w:rsidRPr="00F85555">
        <w:rPr>
          <w:lang w:val="en-IE" w:eastAsia="en-GB"/>
        </w:rPr>
        <w:t xml:space="preserve">111-8. PMID: 19236118  </w:t>
      </w:r>
    </w:p>
    <w:p w:rsidR="00851DC2" w:rsidRPr="00F8555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8555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F85555">
        <w:rPr>
          <w:lang w:val="en-IE" w:eastAsia="en-GB"/>
        </w:rPr>
        <w:t>K3(</w:t>
      </w:r>
      <w:proofErr w:type="gramEnd"/>
      <w:r w:rsidRPr="00F85555">
        <w:rPr>
          <w:lang w:val="en-IE" w:eastAsia="en-GB"/>
        </w:rPr>
        <w:t>ii): Verhaeverbeke I, Mets T. Drug-induced orthostatic hypotension in the elderly:</w:t>
      </w:r>
      <w:r>
        <w:rPr>
          <w:lang w:val="en-IE" w:eastAsia="en-GB"/>
        </w:rPr>
        <w:t xml:space="preserve">  avoiding its onset. Drug Saf 1997</w:t>
      </w:r>
      <w:r w:rsidRPr="00F85555">
        <w:rPr>
          <w:lang w:val="en-IE" w:eastAsia="en-GB"/>
        </w:rPr>
        <w:t>;</w:t>
      </w:r>
      <w:r>
        <w:rPr>
          <w:lang w:val="en-IE" w:eastAsia="en-GB"/>
        </w:rPr>
        <w:t xml:space="preserve"> </w:t>
      </w:r>
      <w:r w:rsidRPr="00F85555">
        <w:rPr>
          <w:lang w:val="en-IE" w:eastAsia="en-GB"/>
        </w:rPr>
        <w:t>17(2):</w:t>
      </w:r>
      <w:r>
        <w:rPr>
          <w:lang w:val="en-IE" w:eastAsia="en-GB"/>
        </w:rPr>
        <w:t xml:space="preserve"> </w:t>
      </w:r>
      <w:r w:rsidRPr="00F85555">
        <w:rPr>
          <w:lang w:val="en-IE" w:eastAsia="en-GB"/>
        </w:rPr>
        <w:t xml:space="preserve">105-18. </w:t>
      </w:r>
      <w:proofErr w:type="gramStart"/>
      <w:r w:rsidRPr="00F85555">
        <w:rPr>
          <w:lang w:val="en-IE" w:eastAsia="en-GB"/>
        </w:rPr>
        <w:t>Review.</w:t>
      </w:r>
      <w:proofErr w:type="gramEnd"/>
      <w:r w:rsidRPr="00F85555">
        <w:rPr>
          <w:lang w:val="en-IE" w:eastAsia="en-GB"/>
        </w:rPr>
        <w:t xml:space="preserve"> PubMed PMID: 9285201.</w:t>
      </w:r>
    </w:p>
    <w:p w:rsidR="00851DC2" w:rsidRPr="00F8555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F8555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F85555">
        <w:rPr>
          <w:b/>
          <w:bCs/>
          <w:lang w:eastAsia="en-GB"/>
        </w:rPr>
        <w:t>K4. Hypnotic Z-drugs (e.g. zopiclone, zolpidem, zaleplon) (may cause protracted daytime sedation, ataxia).</w:t>
      </w:r>
    </w:p>
    <w:p w:rsidR="00851DC2" w:rsidRPr="00F8555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8555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9771F0">
        <w:rPr>
          <w:lang w:val="de-DE" w:eastAsia="en-GB"/>
        </w:rPr>
        <w:t xml:space="preserve">K4(i): Mets MA, Volkerts ER, Olivier B, Verster JC.  </w:t>
      </w:r>
      <w:proofErr w:type="gramStart"/>
      <w:r w:rsidRPr="00F85555">
        <w:rPr>
          <w:lang w:val="en-IE" w:eastAsia="en-GB"/>
        </w:rPr>
        <w:t>Effect of hypnotic drugs on body balance and standing steadiness.</w:t>
      </w:r>
      <w:proofErr w:type="gramEnd"/>
      <w:r>
        <w:rPr>
          <w:lang w:val="en-IE" w:eastAsia="en-GB"/>
        </w:rPr>
        <w:t xml:space="preserve"> Sleep Med Rev 2010</w:t>
      </w:r>
      <w:r w:rsidRPr="00F85555">
        <w:rPr>
          <w:lang w:val="en-IE" w:eastAsia="en-GB"/>
        </w:rPr>
        <w:t>;</w:t>
      </w:r>
      <w:r>
        <w:rPr>
          <w:lang w:val="en-IE" w:eastAsia="en-GB"/>
        </w:rPr>
        <w:t xml:space="preserve"> </w:t>
      </w:r>
      <w:r w:rsidRPr="00F85555">
        <w:rPr>
          <w:lang w:val="en-IE" w:eastAsia="en-GB"/>
        </w:rPr>
        <w:t>14(4):</w:t>
      </w:r>
      <w:r>
        <w:rPr>
          <w:lang w:val="en-IE" w:eastAsia="en-GB"/>
        </w:rPr>
        <w:t xml:space="preserve"> </w:t>
      </w:r>
      <w:r w:rsidRPr="00F85555">
        <w:rPr>
          <w:lang w:val="en-IE" w:eastAsia="en-GB"/>
        </w:rPr>
        <w:t>259-67. PubMed PMID: 20171127.</w:t>
      </w:r>
    </w:p>
    <w:p w:rsidR="00851DC2" w:rsidRPr="00F8555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F85555">
        <w:rPr>
          <w:lang w:val="en-IE" w:eastAsia="en-GB"/>
        </w:rPr>
        <w:t xml:space="preserve">K4(ii): </w:t>
      </w:r>
      <w:r w:rsidRPr="0086504E">
        <w:rPr>
          <w:lang w:val="en-IE" w:eastAsia="en-GB"/>
        </w:rPr>
        <w:t xml:space="preserve">Shuto H, Imakyure O, Matsumoto J, Egawa T, </w:t>
      </w:r>
      <w:r>
        <w:rPr>
          <w:lang w:val="en-IE" w:eastAsia="en-GB"/>
        </w:rPr>
        <w:t xml:space="preserve">Jiang Y, Hirakawa M, Kataoka Y, </w:t>
      </w:r>
      <w:r w:rsidRPr="0086504E">
        <w:rPr>
          <w:lang w:val="en-IE" w:eastAsia="en-GB"/>
        </w:rPr>
        <w:t>Yanagawa T. Medication use as a risk factor for inpatient falls in an acute care hospital: a case-cross</w:t>
      </w:r>
      <w:r>
        <w:rPr>
          <w:lang w:val="en-IE" w:eastAsia="en-GB"/>
        </w:rPr>
        <w:t>over study. Br J Clin Pharmacol 2010</w:t>
      </w:r>
      <w:r w:rsidRPr="0086504E">
        <w:rPr>
          <w:lang w:val="en-IE" w:eastAsia="en-GB"/>
        </w:rPr>
        <w:t>;</w:t>
      </w:r>
      <w:r>
        <w:rPr>
          <w:lang w:val="en-IE" w:eastAsia="en-GB"/>
        </w:rPr>
        <w:t xml:space="preserve"> </w:t>
      </w:r>
      <w:r w:rsidRPr="0086504E">
        <w:rPr>
          <w:lang w:val="en-IE" w:eastAsia="en-GB"/>
        </w:rPr>
        <w:t>69(5):</w:t>
      </w:r>
      <w:r>
        <w:rPr>
          <w:lang w:val="en-IE" w:eastAsia="en-GB"/>
        </w:rPr>
        <w:t xml:space="preserve"> </w:t>
      </w:r>
      <w:r w:rsidRPr="0086504E">
        <w:rPr>
          <w:lang w:val="en-IE" w:eastAsia="en-GB"/>
        </w:rPr>
        <w:t>535-42.</w:t>
      </w:r>
      <w:r>
        <w:rPr>
          <w:lang w:val="en-IE" w:eastAsia="en-GB"/>
        </w:rPr>
        <w:t xml:space="preserve"> </w:t>
      </w:r>
      <w:r w:rsidRPr="0086504E">
        <w:rPr>
          <w:lang w:val="en-IE" w:eastAsia="en-GB"/>
        </w:rPr>
        <w:t>PubMed PMID: 20573090</w:t>
      </w:r>
      <w:r>
        <w:rPr>
          <w:lang w:val="en-IE" w:eastAsia="en-GB"/>
        </w:rPr>
        <w:t>.</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B84B90"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val="en-IE" w:eastAsia="en-GB"/>
        </w:rPr>
      </w:pPr>
      <w:r w:rsidRPr="00B84B90">
        <w:rPr>
          <w:b/>
          <w:bCs/>
          <w:sz w:val="28"/>
          <w:szCs w:val="28"/>
          <w:lang w:val="en-IE" w:eastAsia="en-GB"/>
        </w:rPr>
        <w:t>Section L: Analgesic Drugs.</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8B6111">
        <w:rPr>
          <w:b/>
          <w:bCs/>
          <w:lang w:eastAsia="en-GB"/>
        </w:rPr>
        <w:t xml:space="preserve">L1. </w:t>
      </w:r>
      <w:proofErr w:type="gramStart"/>
      <w:r w:rsidRPr="008B6111">
        <w:rPr>
          <w:b/>
          <w:bCs/>
          <w:lang w:eastAsia="en-GB"/>
        </w:rPr>
        <w:t>Use of oral or transdermal strong opioids (morphine, oxycodone, fentanyl, buprenorphine, diamorphine, methadone, tramadol, pethidine, pentazocine) as first line therapy for mild pain (WHO analgesic ladder not observed).</w:t>
      </w:r>
      <w:proofErr w:type="gramEnd"/>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8B6111">
        <w:rPr>
          <w:lang w:val="en-IE" w:eastAsia="en-GB"/>
        </w:rPr>
        <w:t>L1(</w:t>
      </w:r>
      <w:proofErr w:type="gramEnd"/>
      <w:r w:rsidRPr="008B6111">
        <w:rPr>
          <w:lang w:val="en-IE" w:eastAsia="en-GB"/>
        </w:rPr>
        <w:t xml:space="preserve">i): </w:t>
      </w:r>
      <w:r>
        <w:rPr>
          <w:lang w:val="en-IE" w:eastAsia="en-GB"/>
        </w:rPr>
        <w:t>World Health Organization (WHO)</w:t>
      </w:r>
      <w:r w:rsidRPr="008B6111">
        <w:rPr>
          <w:lang w:val="en-IE" w:eastAsia="en-GB"/>
        </w:rPr>
        <w:t xml:space="preserve">. </w:t>
      </w:r>
      <w:proofErr w:type="gramStart"/>
      <w:r w:rsidRPr="008B6111">
        <w:rPr>
          <w:lang w:val="en-IE" w:eastAsia="en-GB"/>
        </w:rPr>
        <w:t>Cancer pain relief.</w:t>
      </w:r>
      <w:proofErr w:type="gramEnd"/>
      <w:r w:rsidRPr="008B6111">
        <w:rPr>
          <w:lang w:val="en-IE" w:eastAsia="en-GB"/>
        </w:rPr>
        <w:t xml:space="preserve"> With </w:t>
      </w:r>
      <w:r>
        <w:rPr>
          <w:lang w:val="en-IE" w:eastAsia="en-GB"/>
        </w:rPr>
        <w:t>a guide to opioid availability, 2nd ed</w:t>
      </w:r>
      <w:r w:rsidRPr="008B6111">
        <w:rPr>
          <w:lang w:val="en-IE" w:eastAsia="en-GB"/>
        </w:rPr>
        <w:t>. Geneva</w:t>
      </w:r>
      <w:r>
        <w:rPr>
          <w:lang w:val="en-IE" w:eastAsia="en-GB"/>
        </w:rPr>
        <w:t xml:space="preserve"> 1996</w:t>
      </w:r>
      <w:r w:rsidRPr="008B6111">
        <w:rPr>
          <w:lang w:val="en-IE" w:eastAsia="en-GB"/>
        </w:rPr>
        <w:t xml:space="preserve">: WHO. </w:t>
      </w:r>
      <w:proofErr w:type="gramStart"/>
      <w:r w:rsidRPr="008B6111">
        <w:rPr>
          <w:lang w:val="en-IE" w:eastAsia="en-GB"/>
        </w:rPr>
        <w:t>ISBN 92-4-154482-1.</w:t>
      </w:r>
      <w:proofErr w:type="gramEnd"/>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Pr>
          <w:lang w:val="en-IE" w:eastAsia="en-GB"/>
        </w:rPr>
        <w:t xml:space="preserve">L1(ii): </w:t>
      </w:r>
      <w:r w:rsidRPr="002E177B">
        <w:rPr>
          <w:lang w:val="en-IE" w:eastAsia="en-GB"/>
        </w:rPr>
        <w:t xml:space="preserve">Scoping Document for WHO Guidelines for the pharmacological treatment of persisting pain in adults with medical illnesses, </w:t>
      </w:r>
      <w:r>
        <w:rPr>
          <w:lang w:val="en-IE" w:eastAsia="en-GB"/>
        </w:rPr>
        <w:t xml:space="preserve">Geneva </w:t>
      </w:r>
      <w:r w:rsidRPr="002E177B">
        <w:rPr>
          <w:lang w:val="en-IE" w:eastAsia="en-GB"/>
        </w:rPr>
        <w:t>2012</w:t>
      </w:r>
      <w:r>
        <w:rPr>
          <w:lang w:val="en-IE" w:eastAsia="en-GB"/>
        </w:rPr>
        <w:t xml:space="preserve">, </w:t>
      </w:r>
      <w:r w:rsidRPr="002E177B">
        <w:rPr>
          <w:lang w:val="en-IE" w:eastAsia="en-GB"/>
        </w:rPr>
        <w:t>GRC-08-04-0052A</w:t>
      </w:r>
      <w:r>
        <w:rPr>
          <w:lang w:val="en-IE" w:eastAsia="en-GB"/>
        </w:rPr>
        <w:t xml:space="preserve">, p 9. </w:t>
      </w:r>
      <w:hyperlink r:id="rId32" w:history="1">
        <w:proofErr w:type="gramStart"/>
        <w:r w:rsidRPr="00DA5DA9">
          <w:rPr>
            <w:rStyle w:val="Hyperlink"/>
            <w:rFonts w:cs="Calibri"/>
            <w:lang w:val="en-IE" w:eastAsia="en-GB"/>
          </w:rPr>
          <w:t>http://www.who.int/medicines/areas/quality_safety/Scoping_WHO_GLs_PersistPainAdults_webversion.pdf</w:t>
        </w:r>
      </w:hyperlink>
      <w:r>
        <w:rPr>
          <w:lang w:val="en-IE" w:eastAsia="en-GB"/>
        </w:rPr>
        <w:t>; accessed Dec 28, 2012.</w:t>
      </w:r>
      <w:proofErr w:type="gramEnd"/>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8B6111">
        <w:rPr>
          <w:b/>
          <w:bCs/>
          <w:lang w:eastAsia="en-GB"/>
        </w:rPr>
        <w:t xml:space="preserve">L2. </w:t>
      </w:r>
      <w:proofErr w:type="gramStart"/>
      <w:r w:rsidRPr="008B6111">
        <w:rPr>
          <w:b/>
          <w:bCs/>
          <w:lang w:eastAsia="en-GB"/>
        </w:rPr>
        <w:t>Use of regular (as distinct from PRN) opioids without concomitant laxative (risk of severe constipation).</w:t>
      </w:r>
      <w:proofErr w:type="gramEnd"/>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proofErr w:type="gramStart"/>
      <w:r>
        <w:rPr>
          <w:lang w:eastAsia="en-GB"/>
        </w:rPr>
        <w:t>L</w:t>
      </w:r>
      <w:r w:rsidRPr="008B6111">
        <w:rPr>
          <w:lang w:eastAsia="en-GB"/>
        </w:rPr>
        <w:t>2(</w:t>
      </w:r>
      <w:proofErr w:type="gramEnd"/>
      <w:r w:rsidRPr="008B6111">
        <w:rPr>
          <w:lang w:eastAsia="en-GB"/>
        </w:rPr>
        <w:t xml:space="preserve">i): </w:t>
      </w:r>
      <w:r w:rsidRPr="008B6111">
        <w:rPr>
          <w:lang w:val="en-IE" w:eastAsia="en-GB"/>
        </w:rPr>
        <w:t xml:space="preserve">Forman WB. Opioid analgesic drugs in the </w:t>
      </w:r>
      <w:r>
        <w:rPr>
          <w:lang w:val="en-IE" w:eastAsia="en-GB"/>
        </w:rPr>
        <w:t>elderly. Clin Geriatr Med 1996</w:t>
      </w:r>
      <w:r w:rsidRPr="008B6111">
        <w:rPr>
          <w:lang w:val="en-IE" w:eastAsia="en-GB"/>
        </w:rPr>
        <w:t>;</w:t>
      </w:r>
      <w:r>
        <w:rPr>
          <w:lang w:val="en-IE" w:eastAsia="en-GB"/>
        </w:rPr>
        <w:t xml:space="preserve"> </w:t>
      </w:r>
      <w:r w:rsidRPr="008B6111">
        <w:rPr>
          <w:lang w:val="en-IE" w:eastAsia="en-GB"/>
        </w:rPr>
        <w:t>12(3):</w:t>
      </w:r>
      <w:r>
        <w:rPr>
          <w:lang w:val="en-IE" w:eastAsia="en-GB"/>
        </w:rPr>
        <w:t xml:space="preserve"> </w:t>
      </w:r>
      <w:r w:rsidRPr="008B6111">
        <w:rPr>
          <w:lang w:val="en-IE" w:eastAsia="en-GB"/>
        </w:rPr>
        <w:t xml:space="preserve">489-500. </w:t>
      </w:r>
      <w:proofErr w:type="gramStart"/>
      <w:r w:rsidRPr="008B6111">
        <w:rPr>
          <w:lang w:val="en-IE" w:eastAsia="en-GB"/>
        </w:rPr>
        <w:t>Review.</w:t>
      </w:r>
      <w:proofErr w:type="gramEnd"/>
      <w:r w:rsidRPr="008B6111">
        <w:rPr>
          <w:lang w:val="en-IE" w:eastAsia="en-GB"/>
        </w:rPr>
        <w:t xml:space="preserve"> PubMed PMID: 8853941</w:t>
      </w:r>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Pr>
          <w:lang w:eastAsia="en-GB"/>
        </w:rPr>
        <w:t>L</w:t>
      </w:r>
      <w:r w:rsidRPr="008B6111">
        <w:rPr>
          <w:lang w:eastAsia="en-GB"/>
        </w:rPr>
        <w:t>2(</w:t>
      </w:r>
      <w:proofErr w:type="gramEnd"/>
      <w:r w:rsidRPr="008B6111">
        <w:rPr>
          <w:lang w:eastAsia="en-GB"/>
        </w:rPr>
        <w:t>ii): Kalso E, Edwards JE, Moore RA, McQuay HJ. Opioids in chronic non-cancer pain:  systematic review of effica</w:t>
      </w:r>
      <w:r>
        <w:rPr>
          <w:lang w:eastAsia="en-GB"/>
        </w:rPr>
        <w:t>cy and safety. Pain 2004</w:t>
      </w:r>
      <w:r w:rsidRPr="008B6111">
        <w:rPr>
          <w:lang w:eastAsia="en-GB"/>
        </w:rPr>
        <w:t>;</w:t>
      </w:r>
      <w:r>
        <w:rPr>
          <w:lang w:eastAsia="en-GB"/>
        </w:rPr>
        <w:t xml:space="preserve"> </w:t>
      </w:r>
      <w:r w:rsidRPr="008B6111">
        <w:rPr>
          <w:lang w:eastAsia="en-GB"/>
        </w:rPr>
        <w:t>112(3):</w:t>
      </w:r>
      <w:r>
        <w:rPr>
          <w:lang w:eastAsia="en-GB"/>
        </w:rPr>
        <w:t xml:space="preserve"> </w:t>
      </w:r>
      <w:r w:rsidRPr="008B6111">
        <w:rPr>
          <w:lang w:eastAsia="en-GB"/>
        </w:rPr>
        <w:t>372-80. PubMed PMID: 15561393.</w:t>
      </w:r>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Pr>
          <w:b/>
          <w:bCs/>
          <w:lang w:eastAsia="en-GB"/>
        </w:rPr>
        <w:t>L</w:t>
      </w:r>
      <w:r w:rsidRPr="008B6111">
        <w:rPr>
          <w:b/>
          <w:bCs/>
          <w:lang w:eastAsia="en-GB"/>
        </w:rPr>
        <w:t>3. Long-acting opioids without short-acting opioids for break-through pain (risk of non-control of severe pain)</w:t>
      </w:r>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Pr>
          <w:lang w:eastAsia="en-GB"/>
        </w:rPr>
        <w:t>L</w:t>
      </w:r>
      <w:r w:rsidRPr="008B6111">
        <w:rPr>
          <w:lang w:eastAsia="en-GB"/>
        </w:rPr>
        <w:t>3(</w:t>
      </w:r>
      <w:proofErr w:type="gramEnd"/>
      <w:r w:rsidRPr="008B6111">
        <w:rPr>
          <w:lang w:eastAsia="en-GB"/>
        </w:rPr>
        <w:t xml:space="preserve">i): Johnson AG, Seideman P, Day RO. Adverse drug interactions with nonsteroidal anti-inflammatory drugs (NSAIDs). </w:t>
      </w:r>
      <w:proofErr w:type="gramStart"/>
      <w:r w:rsidRPr="008B6111">
        <w:rPr>
          <w:lang w:eastAsia="en-GB"/>
        </w:rPr>
        <w:t>Recognition, man</w:t>
      </w:r>
      <w:r>
        <w:rPr>
          <w:lang w:eastAsia="en-GB"/>
        </w:rPr>
        <w:t>agement and avoidance.</w:t>
      </w:r>
      <w:proofErr w:type="gramEnd"/>
      <w:r>
        <w:rPr>
          <w:lang w:eastAsia="en-GB"/>
        </w:rPr>
        <w:t xml:space="preserve"> Drug Saf 1993</w:t>
      </w:r>
      <w:r w:rsidRPr="008B6111">
        <w:rPr>
          <w:lang w:eastAsia="en-GB"/>
        </w:rPr>
        <w:t>;</w:t>
      </w:r>
      <w:r>
        <w:rPr>
          <w:lang w:eastAsia="en-GB"/>
        </w:rPr>
        <w:t xml:space="preserve"> </w:t>
      </w:r>
      <w:r w:rsidRPr="008B6111">
        <w:rPr>
          <w:lang w:eastAsia="en-GB"/>
        </w:rPr>
        <w:t>8(2):</w:t>
      </w:r>
      <w:r>
        <w:rPr>
          <w:lang w:eastAsia="en-GB"/>
        </w:rPr>
        <w:t xml:space="preserve"> </w:t>
      </w:r>
      <w:r w:rsidRPr="008B6111">
        <w:rPr>
          <w:lang w:eastAsia="en-GB"/>
        </w:rPr>
        <w:t xml:space="preserve">99-127. </w:t>
      </w:r>
      <w:proofErr w:type="gramStart"/>
      <w:r w:rsidRPr="008B6111">
        <w:rPr>
          <w:lang w:eastAsia="en-GB"/>
        </w:rPr>
        <w:t>Review.</w:t>
      </w:r>
      <w:proofErr w:type="gramEnd"/>
      <w:r w:rsidRPr="008B6111">
        <w:rPr>
          <w:lang w:eastAsia="en-GB"/>
        </w:rPr>
        <w:t xml:space="preserve"> PubMed PMID: 8452660.</w:t>
      </w:r>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L</w:t>
      </w:r>
      <w:r w:rsidRPr="008B6111">
        <w:rPr>
          <w:lang w:eastAsia="en-GB"/>
        </w:rPr>
        <w:t xml:space="preserve">3(ii): Zullo A, Hassan C, Campo SM, Morini S. Bleeding peptic ulcer in the elderly: risk factors and prevention strategies.  </w:t>
      </w:r>
      <w:r>
        <w:rPr>
          <w:lang w:eastAsia="en-GB"/>
        </w:rPr>
        <w:t>Drugs Aging</w:t>
      </w:r>
      <w:r w:rsidRPr="008B6111">
        <w:rPr>
          <w:lang w:eastAsia="en-GB"/>
        </w:rPr>
        <w:t xml:space="preserve"> 2007;</w:t>
      </w:r>
      <w:r>
        <w:rPr>
          <w:lang w:eastAsia="en-GB"/>
        </w:rPr>
        <w:t xml:space="preserve"> </w:t>
      </w:r>
      <w:r w:rsidRPr="008B6111">
        <w:rPr>
          <w:lang w:eastAsia="en-GB"/>
        </w:rPr>
        <w:t>24(10):</w:t>
      </w:r>
      <w:r>
        <w:rPr>
          <w:lang w:eastAsia="en-GB"/>
        </w:rPr>
        <w:t xml:space="preserve"> </w:t>
      </w:r>
      <w:r w:rsidRPr="008B6111">
        <w:rPr>
          <w:lang w:eastAsia="en-GB"/>
        </w:rPr>
        <w:t xml:space="preserve">815-28. </w:t>
      </w:r>
      <w:proofErr w:type="gramStart"/>
      <w:r w:rsidRPr="008B6111">
        <w:rPr>
          <w:lang w:eastAsia="en-GB"/>
        </w:rPr>
        <w:t>Review.</w:t>
      </w:r>
      <w:proofErr w:type="gramEnd"/>
      <w:r w:rsidRPr="008B6111">
        <w:rPr>
          <w:lang w:eastAsia="en-GB"/>
        </w:rPr>
        <w:t xml:space="preserve"> PubMed PMID: 17896831.</w:t>
      </w:r>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Pr>
          <w:lang w:eastAsia="en-GB"/>
        </w:rPr>
        <w:t>L</w:t>
      </w:r>
      <w:r w:rsidRPr="008B6111">
        <w:rPr>
          <w:lang w:eastAsia="en-GB"/>
        </w:rPr>
        <w:t>3(</w:t>
      </w:r>
      <w:proofErr w:type="gramEnd"/>
      <w:r w:rsidRPr="008B6111">
        <w:rPr>
          <w:lang w:eastAsia="en-GB"/>
        </w:rPr>
        <w:t>iii): Peng S, Duggan A. Gastrointestinal adverse effects of non-steroidal</w:t>
      </w:r>
      <w:r>
        <w:rPr>
          <w:lang w:eastAsia="en-GB"/>
        </w:rPr>
        <w:t xml:space="preserve"> </w:t>
      </w:r>
      <w:r w:rsidRPr="008B6111">
        <w:rPr>
          <w:lang w:eastAsia="en-GB"/>
        </w:rPr>
        <w:t>anti-inflammat</w:t>
      </w:r>
      <w:r>
        <w:rPr>
          <w:lang w:eastAsia="en-GB"/>
        </w:rPr>
        <w:t>ory drugs. Expert Opin Drug Saf 2005</w:t>
      </w:r>
      <w:r w:rsidRPr="008B6111">
        <w:rPr>
          <w:lang w:eastAsia="en-GB"/>
        </w:rPr>
        <w:t>;</w:t>
      </w:r>
      <w:r>
        <w:rPr>
          <w:lang w:eastAsia="en-GB"/>
        </w:rPr>
        <w:t xml:space="preserve"> </w:t>
      </w:r>
      <w:r w:rsidRPr="008B6111">
        <w:rPr>
          <w:lang w:eastAsia="en-GB"/>
        </w:rPr>
        <w:t>4(2):</w:t>
      </w:r>
      <w:r>
        <w:rPr>
          <w:lang w:eastAsia="en-GB"/>
        </w:rPr>
        <w:t xml:space="preserve"> </w:t>
      </w:r>
      <w:r w:rsidRPr="008B6111">
        <w:rPr>
          <w:lang w:eastAsia="en-GB"/>
        </w:rPr>
        <w:t xml:space="preserve">157-69. </w:t>
      </w:r>
      <w:proofErr w:type="gramStart"/>
      <w:r w:rsidRPr="008B6111">
        <w:rPr>
          <w:lang w:eastAsia="en-GB"/>
        </w:rPr>
        <w:t>Review.</w:t>
      </w:r>
      <w:proofErr w:type="gramEnd"/>
      <w:r>
        <w:rPr>
          <w:lang w:eastAsia="en-GB"/>
        </w:rPr>
        <w:t xml:space="preserve"> </w:t>
      </w:r>
      <w:r w:rsidRPr="008B6111">
        <w:rPr>
          <w:lang w:eastAsia="en-GB"/>
        </w:rPr>
        <w:t>PubMed PMID: 15794710.</w:t>
      </w:r>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8B61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Pr>
          <w:lang w:eastAsia="en-GB"/>
        </w:rPr>
        <w:t>L</w:t>
      </w:r>
      <w:r w:rsidRPr="008B6111">
        <w:rPr>
          <w:lang w:eastAsia="en-GB"/>
        </w:rPr>
        <w:t>3(</w:t>
      </w:r>
      <w:proofErr w:type="gramEnd"/>
      <w:r w:rsidRPr="008B6111">
        <w:rPr>
          <w:lang w:eastAsia="en-GB"/>
        </w:rPr>
        <w:t xml:space="preserve">iv): Peura DA. </w:t>
      </w:r>
      <w:proofErr w:type="gramStart"/>
      <w:r w:rsidRPr="008B6111">
        <w:rPr>
          <w:lang w:eastAsia="en-GB"/>
        </w:rPr>
        <w:t>Prevention of nonsteroidal anti-inflammatory drug-associated gastrointestinal symptoms and ulcer complications.</w:t>
      </w:r>
      <w:proofErr w:type="gramEnd"/>
      <w:r>
        <w:rPr>
          <w:lang w:eastAsia="en-GB"/>
        </w:rPr>
        <w:t xml:space="preserve"> Am J Med 2004</w:t>
      </w:r>
      <w:r w:rsidRPr="008B6111">
        <w:rPr>
          <w:lang w:eastAsia="en-GB"/>
        </w:rPr>
        <w:t>;</w:t>
      </w:r>
      <w:r>
        <w:rPr>
          <w:lang w:eastAsia="en-GB"/>
        </w:rPr>
        <w:t xml:space="preserve"> </w:t>
      </w:r>
      <w:r w:rsidRPr="008B6111">
        <w:rPr>
          <w:lang w:eastAsia="en-GB"/>
        </w:rPr>
        <w:t>117 Suppl 5A:</w:t>
      </w:r>
      <w:r>
        <w:rPr>
          <w:lang w:eastAsia="en-GB"/>
        </w:rPr>
        <w:t xml:space="preserve"> </w:t>
      </w:r>
      <w:r w:rsidRPr="008B6111">
        <w:rPr>
          <w:lang w:eastAsia="en-GB"/>
        </w:rPr>
        <w:t>63S-</w:t>
      </w:r>
      <w:proofErr w:type="gramStart"/>
      <w:r w:rsidRPr="008B6111">
        <w:rPr>
          <w:lang w:eastAsia="en-GB"/>
        </w:rPr>
        <w:t>71S.</w:t>
      </w:r>
      <w:proofErr w:type="gramEnd"/>
      <w:r w:rsidRPr="008B6111">
        <w:rPr>
          <w:lang w:eastAsia="en-GB"/>
        </w:rPr>
        <w:t xml:space="preserve"> </w:t>
      </w:r>
      <w:proofErr w:type="gramStart"/>
      <w:r w:rsidRPr="008B6111">
        <w:rPr>
          <w:lang w:eastAsia="en-GB"/>
        </w:rPr>
        <w:t>Review.</w:t>
      </w:r>
      <w:proofErr w:type="gramEnd"/>
      <w:r w:rsidRPr="008B6111">
        <w:rPr>
          <w:lang w:eastAsia="en-GB"/>
        </w:rPr>
        <w:t xml:space="preserve"> PubMed PMID: 15478855.</w:t>
      </w:r>
    </w:p>
    <w:p w:rsidR="00851DC2" w:rsidRPr="00F85555"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0B76BD"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val="en-IE" w:eastAsia="en-GB"/>
        </w:rPr>
      </w:pPr>
      <w:r>
        <w:rPr>
          <w:b/>
          <w:bCs/>
          <w:sz w:val="28"/>
          <w:szCs w:val="28"/>
          <w:lang w:val="en-IE" w:eastAsia="en-GB"/>
        </w:rPr>
        <w:t>Section M</w:t>
      </w:r>
      <w:r w:rsidRPr="000B76BD">
        <w:rPr>
          <w:b/>
          <w:bCs/>
          <w:sz w:val="28"/>
          <w:szCs w:val="28"/>
          <w:lang w:val="en-IE" w:eastAsia="en-GB"/>
        </w:rPr>
        <w:t>: Antimuscarinic/anticholinergic drug burden.</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Pr>
          <w:b/>
          <w:bCs/>
          <w:lang w:eastAsia="en-GB"/>
        </w:rPr>
        <w:t xml:space="preserve">M1: </w:t>
      </w:r>
      <w:r w:rsidRPr="002F4415">
        <w:rPr>
          <w:b/>
          <w:bCs/>
          <w:lang w:eastAsia="en-GB"/>
        </w:rPr>
        <w:t>Concomitant use of two or more drugs with antimuscarinic/anticholinergic properties (e.g. bladder antispasmodics, intestinal antispasmodics, tricyclic antidepressants, first generation antihistamines) (risk of increased antimuscarinic/anticholinergic toxicity)</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Pr>
          <w:lang w:val="en-IE" w:eastAsia="en-GB"/>
        </w:rPr>
        <w:lastRenderedPageBreak/>
        <w:t>M</w:t>
      </w:r>
      <w:r w:rsidRPr="00DB1E24">
        <w:rPr>
          <w:lang w:val="en-IE" w:eastAsia="en-GB"/>
        </w:rPr>
        <w:t>1(</w:t>
      </w:r>
      <w:proofErr w:type="gramEnd"/>
      <w:r w:rsidRPr="00DB1E24">
        <w:rPr>
          <w:lang w:val="en-IE" w:eastAsia="en-GB"/>
        </w:rPr>
        <w:t xml:space="preserve">i): Feinberg M. </w:t>
      </w:r>
      <w:proofErr w:type="gramStart"/>
      <w:r w:rsidRPr="00DB1E24">
        <w:rPr>
          <w:lang w:val="en-IE" w:eastAsia="en-GB"/>
        </w:rPr>
        <w:t>The problems of anticholinergic adverse effects</w:t>
      </w:r>
      <w:r>
        <w:rPr>
          <w:lang w:val="en-IE" w:eastAsia="en-GB"/>
        </w:rPr>
        <w:t xml:space="preserve"> in older patients.</w:t>
      </w:r>
      <w:proofErr w:type="gramEnd"/>
      <w:r>
        <w:rPr>
          <w:lang w:val="en-IE" w:eastAsia="en-GB"/>
        </w:rPr>
        <w:t xml:space="preserve"> Drugs Aging 1993</w:t>
      </w:r>
      <w:r w:rsidRPr="00DB1E24">
        <w:rPr>
          <w:lang w:val="en-IE" w:eastAsia="en-GB"/>
        </w:rPr>
        <w:t>;</w:t>
      </w:r>
      <w:r>
        <w:rPr>
          <w:lang w:val="en-IE" w:eastAsia="en-GB"/>
        </w:rPr>
        <w:t xml:space="preserve"> </w:t>
      </w:r>
      <w:r w:rsidRPr="00DB1E24">
        <w:rPr>
          <w:lang w:val="en-IE" w:eastAsia="en-GB"/>
        </w:rPr>
        <w:t>3(4):</w:t>
      </w:r>
      <w:r>
        <w:rPr>
          <w:lang w:val="en-IE" w:eastAsia="en-GB"/>
        </w:rPr>
        <w:t xml:space="preserve"> </w:t>
      </w:r>
      <w:r w:rsidRPr="00DB1E24">
        <w:rPr>
          <w:lang w:val="en-IE" w:eastAsia="en-GB"/>
        </w:rPr>
        <w:t xml:space="preserve">335-48. </w:t>
      </w:r>
      <w:proofErr w:type="gramStart"/>
      <w:r w:rsidRPr="00DB1E24">
        <w:rPr>
          <w:lang w:val="en-IE" w:eastAsia="en-GB"/>
        </w:rPr>
        <w:t>Review.</w:t>
      </w:r>
      <w:proofErr w:type="gramEnd"/>
      <w:r w:rsidRPr="00DB1E24">
        <w:rPr>
          <w:lang w:val="en-IE" w:eastAsia="en-GB"/>
        </w:rPr>
        <w:t xml:space="preserve"> PubMed PMID: 8369593</w:t>
      </w:r>
      <w:r>
        <w:rPr>
          <w:lang w:val="en-IE" w:eastAsia="en-GB"/>
        </w:rPr>
        <w:t>.</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Pr>
          <w:lang w:val="en-IE" w:eastAsia="en-GB"/>
        </w:rPr>
        <w:t>M1(</w:t>
      </w:r>
      <w:proofErr w:type="gramEnd"/>
      <w:r>
        <w:rPr>
          <w:lang w:val="en-IE" w:eastAsia="en-GB"/>
        </w:rPr>
        <w:t xml:space="preserve">ii): </w:t>
      </w:r>
      <w:r w:rsidRPr="000B2B5D">
        <w:rPr>
          <w:lang w:val="en-IE" w:eastAsia="en-GB"/>
        </w:rPr>
        <w:t>Gerretsen P, Pollock BG. Drugs with anticholinergic properties: a current perspective on use a</w:t>
      </w:r>
      <w:r>
        <w:rPr>
          <w:lang w:val="en-IE" w:eastAsia="en-GB"/>
        </w:rPr>
        <w:t>nd safety. Expert Opin Drug Saf 2011</w:t>
      </w:r>
      <w:r w:rsidRPr="000B2B5D">
        <w:rPr>
          <w:lang w:val="en-IE" w:eastAsia="en-GB"/>
        </w:rPr>
        <w:t>;</w:t>
      </w:r>
      <w:r>
        <w:rPr>
          <w:lang w:val="en-IE" w:eastAsia="en-GB"/>
        </w:rPr>
        <w:t xml:space="preserve"> </w:t>
      </w:r>
      <w:r w:rsidRPr="000B2B5D">
        <w:rPr>
          <w:lang w:val="en-IE" w:eastAsia="en-GB"/>
        </w:rPr>
        <w:t>10(5):</w:t>
      </w:r>
      <w:r>
        <w:rPr>
          <w:lang w:val="en-IE" w:eastAsia="en-GB"/>
        </w:rPr>
        <w:t xml:space="preserve"> </w:t>
      </w:r>
      <w:r w:rsidRPr="000B2B5D">
        <w:rPr>
          <w:lang w:val="en-IE" w:eastAsia="en-GB"/>
        </w:rPr>
        <w:t xml:space="preserve">751-65. </w:t>
      </w:r>
      <w:proofErr w:type="gramStart"/>
      <w:r w:rsidRPr="000B2B5D">
        <w:rPr>
          <w:lang w:val="en-IE" w:eastAsia="en-GB"/>
        </w:rPr>
        <w:t>Review.</w:t>
      </w:r>
      <w:proofErr w:type="gramEnd"/>
      <w:r w:rsidRPr="000B2B5D">
        <w:rPr>
          <w:lang w:val="en-IE" w:eastAsia="en-GB"/>
        </w:rPr>
        <w:t xml:space="preserve"> PubMed PMID: 21635190.</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97103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Pr>
          <w:lang w:val="en-IE" w:eastAsia="en-GB"/>
        </w:rPr>
        <w:t>M1(</w:t>
      </w:r>
      <w:proofErr w:type="gramEnd"/>
      <w:r>
        <w:rPr>
          <w:lang w:val="en-IE" w:eastAsia="en-GB"/>
        </w:rPr>
        <w:t xml:space="preserve">iii): </w:t>
      </w:r>
      <w:r w:rsidRPr="0097103E">
        <w:rPr>
          <w:lang w:val="en-IE" w:eastAsia="en-GB"/>
        </w:rPr>
        <w:t>Karimi S, Dharia SP, Flora DS, Slattum PW. Anticholinergic burden: clinical</w:t>
      </w:r>
      <w:r>
        <w:rPr>
          <w:lang w:val="en-IE" w:eastAsia="en-GB"/>
        </w:rPr>
        <w:t xml:space="preserve"> </w:t>
      </w:r>
      <w:r w:rsidRPr="0097103E">
        <w:rPr>
          <w:lang w:val="en-IE" w:eastAsia="en-GB"/>
        </w:rPr>
        <w:t>implications for seniors and strategie</w:t>
      </w:r>
      <w:r>
        <w:rPr>
          <w:lang w:val="en-IE" w:eastAsia="en-GB"/>
        </w:rPr>
        <w:t>s for clinicians. Consult Pharm 2012</w:t>
      </w:r>
      <w:r w:rsidRPr="0097103E">
        <w:rPr>
          <w:lang w:val="en-IE" w:eastAsia="en-GB"/>
        </w:rPr>
        <w:t>;</w:t>
      </w:r>
      <w:r>
        <w:rPr>
          <w:lang w:val="en-IE" w:eastAsia="en-GB"/>
        </w:rPr>
        <w:t xml:space="preserve"> </w:t>
      </w:r>
      <w:r w:rsidRPr="0097103E">
        <w:rPr>
          <w:lang w:val="en-IE" w:eastAsia="en-GB"/>
        </w:rPr>
        <w:t>27(8):</w:t>
      </w:r>
      <w:r>
        <w:rPr>
          <w:lang w:val="en-IE" w:eastAsia="en-GB"/>
        </w:rPr>
        <w:t xml:space="preserve"> </w:t>
      </w:r>
      <w:r w:rsidRPr="0097103E">
        <w:rPr>
          <w:lang w:val="en-IE" w:eastAsia="en-GB"/>
        </w:rPr>
        <w:t xml:space="preserve">564-82. </w:t>
      </w:r>
      <w:proofErr w:type="gramStart"/>
      <w:r w:rsidRPr="0097103E">
        <w:rPr>
          <w:lang w:val="en-IE" w:eastAsia="en-GB"/>
        </w:rPr>
        <w:t>Review.</w:t>
      </w:r>
      <w:proofErr w:type="gramEnd"/>
      <w:r w:rsidRPr="0097103E">
        <w:rPr>
          <w:lang w:val="en-IE" w:eastAsia="en-GB"/>
        </w:rPr>
        <w:t xml:space="preserve"> PubMed PMID: 22910177.</w:t>
      </w:r>
    </w:p>
    <w:p w:rsidR="00851DC2" w:rsidRPr="00DB1E2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96767D"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851DC2" w:rsidRDefault="00851DC2" w:rsidP="00851DC2">
      <w:pPr>
        <w:rPr>
          <w:b/>
          <w:sz w:val="28"/>
          <w:szCs w:val="28"/>
          <w:u w:val="single"/>
          <w:lang w:eastAsia="en-GB"/>
        </w:rPr>
      </w:pPr>
      <w:r>
        <w:rPr>
          <w:lang w:eastAsia="en-GB"/>
        </w:rPr>
        <w:br w:type="page"/>
      </w:r>
      <w:r w:rsidRPr="00851DC2">
        <w:rPr>
          <w:b/>
          <w:sz w:val="28"/>
          <w:szCs w:val="28"/>
          <w:u w:val="single"/>
          <w:lang w:eastAsia="en-GB"/>
        </w:rPr>
        <w:lastRenderedPageBreak/>
        <w:t xml:space="preserve">Appendix 2: </w:t>
      </w:r>
      <w:r w:rsidRPr="00851DC2">
        <w:rPr>
          <w:b/>
          <w:bCs/>
          <w:sz w:val="28"/>
          <w:szCs w:val="28"/>
          <w:u w:val="single"/>
          <w:lang w:eastAsia="en-GB"/>
        </w:rPr>
        <w:t>START Criteria References</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u w:val="single"/>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r w:rsidRPr="00E06B73">
        <w:rPr>
          <w:b/>
          <w:bCs/>
          <w:sz w:val="28"/>
          <w:szCs w:val="28"/>
          <w:lang w:eastAsia="en-GB"/>
        </w:rPr>
        <w:t>Section A</w:t>
      </w:r>
      <w:r>
        <w:rPr>
          <w:b/>
          <w:bCs/>
          <w:sz w:val="28"/>
          <w:szCs w:val="28"/>
          <w:lang w:eastAsia="en-GB"/>
        </w:rPr>
        <w:t>: Cardiovascular System criteria.</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p>
    <w:p w:rsidR="00851DC2" w:rsidRPr="00311B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311BD4">
        <w:rPr>
          <w:b/>
          <w:bCs/>
          <w:lang w:eastAsia="en-GB"/>
        </w:rPr>
        <w:t>A1. Vitamin K antagonists or direct thrombin inhibitors or factor Xa inhibitors in the presence of chronic atrial fibrillation.</w:t>
      </w:r>
    </w:p>
    <w:p w:rsidR="00851DC2" w:rsidRPr="00311B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11B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311BD4">
        <w:rPr>
          <w:lang w:val="en-IE" w:eastAsia="en-GB"/>
        </w:rPr>
        <w:t>A1 (i): Hughes M, Lip GY; Guideline Development Group, National Clinical Guideline forManagement of Atrial Fibrillation in Primary and Secondary Care, NationalIn</w:t>
      </w:r>
      <w:r>
        <w:rPr>
          <w:lang w:val="en-IE" w:eastAsia="en-GB"/>
        </w:rPr>
        <w:t xml:space="preserve">stitute for Health and Clinical </w:t>
      </w:r>
      <w:r w:rsidRPr="00311BD4">
        <w:rPr>
          <w:lang w:val="en-IE" w:eastAsia="en-GB"/>
        </w:rPr>
        <w:t>Excellence. Stroke and thromboembolism inatrial fibrillation: a systematic review of stroke risk factors, riskstratification schema and cost eff</w:t>
      </w:r>
      <w:r>
        <w:rPr>
          <w:lang w:val="en-IE" w:eastAsia="en-GB"/>
        </w:rPr>
        <w:t>ectiveness data. Thromb Haemost 2008</w:t>
      </w:r>
      <w:r w:rsidRPr="00311BD4">
        <w:rPr>
          <w:lang w:val="en-IE" w:eastAsia="en-GB"/>
        </w:rPr>
        <w:t>;</w:t>
      </w:r>
      <w:r>
        <w:rPr>
          <w:lang w:val="en-IE" w:eastAsia="en-GB"/>
        </w:rPr>
        <w:t xml:space="preserve"> </w:t>
      </w:r>
      <w:r w:rsidRPr="00311BD4">
        <w:rPr>
          <w:lang w:val="en-IE" w:eastAsia="en-GB"/>
        </w:rPr>
        <w:t>99(2):</w:t>
      </w:r>
      <w:r>
        <w:rPr>
          <w:lang w:val="en-IE" w:eastAsia="en-GB"/>
        </w:rPr>
        <w:t xml:space="preserve"> </w:t>
      </w:r>
      <w:r w:rsidRPr="00311BD4">
        <w:rPr>
          <w:lang w:val="en-IE" w:eastAsia="en-GB"/>
        </w:rPr>
        <w:t>295-304Review. PubMed PMID: 18278178.</w:t>
      </w:r>
    </w:p>
    <w:p w:rsidR="00851DC2" w:rsidRPr="00311B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11B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311BD4">
        <w:rPr>
          <w:lang w:val="en-IE" w:eastAsia="en-GB"/>
        </w:rPr>
        <w:t>A1 (ii): Dentali F, Riva N, Crowther M, Turpie AG, Lip GY, Ageno W. Efficacy and safetyof the novel oral anticoagulants in atrial fibrillation: a systematic review and meta-analysis</w:t>
      </w:r>
      <w:r>
        <w:rPr>
          <w:lang w:val="en-IE" w:eastAsia="en-GB"/>
        </w:rPr>
        <w:t xml:space="preserve"> of the literature. Circulation 2012</w:t>
      </w:r>
      <w:r w:rsidRPr="00311BD4">
        <w:rPr>
          <w:lang w:val="en-IE" w:eastAsia="en-GB"/>
        </w:rPr>
        <w:t>;</w:t>
      </w:r>
      <w:r>
        <w:rPr>
          <w:lang w:val="en-IE" w:eastAsia="en-GB"/>
        </w:rPr>
        <w:t xml:space="preserve"> </w:t>
      </w:r>
      <w:r w:rsidRPr="00311BD4">
        <w:rPr>
          <w:lang w:val="en-IE" w:eastAsia="en-GB"/>
        </w:rPr>
        <w:t>126(20):</w:t>
      </w:r>
      <w:r>
        <w:rPr>
          <w:lang w:val="en-IE" w:eastAsia="en-GB"/>
        </w:rPr>
        <w:t xml:space="preserve"> </w:t>
      </w:r>
      <w:r w:rsidRPr="00311BD4">
        <w:rPr>
          <w:lang w:val="en-IE" w:eastAsia="en-GB"/>
        </w:rPr>
        <w:t xml:space="preserve">2381-91. </w:t>
      </w:r>
      <w:proofErr w:type="gramStart"/>
      <w:r w:rsidRPr="00311BD4">
        <w:rPr>
          <w:lang w:val="en-IE" w:eastAsia="en-GB"/>
        </w:rPr>
        <w:t>Review.</w:t>
      </w:r>
      <w:proofErr w:type="gramEnd"/>
      <w:r w:rsidRPr="00311BD4">
        <w:rPr>
          <w:lang w:val="en-IE" w:eastAsia="en-GB"/>
        </w:rPr>
        <w:t xml:space="preserve"> PubMed PMID</w:t>
      </w:r>
      <w:proofErr w:type="gramStart"/>
      <w:r w:rsidRPr="00311BD4">
        <w:rPr>
          <w:lang w:val="en-IE" w:eastAsia="en-GB"/>
        </w:rPr>
        <w:t>:23071159</w:t>
      </w:r>
      <w:proofErr w:type="gramEnd"/>
      <w:r w:rsidRPr="00311BD4">
        <w:rPr>
          <w:lang w:val="en-IE" w:eastAsia="en-GB"/>
        </w:rPr>
        <w:t>.</w:t>
      </w:r>
    </w:p>
    <w:p w:rsidR="00851DC2" w:rsidRPr="00311B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11B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311BD4">
        <w:rPr>
          <w:lang w:val="en-IE" w:eastAsia="en-GB"/>
        </w:rPr>
        <w:t>A1(</w:t>
      </w:r>
      <w:proofErr w:type="gramEnd"/>
      <w:r w:rsidRPr="00311BD4">
        <w:rPr>
          <w:lang w:val="en-IE" w:eastAsia="en-GB"/>
        </w:rPr>
        <w:t>iii): Hart RG, Pearce LA, Aguilar MI. Meta-analysis: antithrombotic th</w:t>
      </w:r>
      <w:r>
        <w:rPr>
          <w:lang w:val="en-IE" w:eastAsia="en-GB"/>
        </w:rPr>
        <w:t xml:space="preserve">erapy to </w:t>
      </w:r>
      <w:r w:rsidRPr="00311BD4">
        <w:rPr>
          <w:lang w:val="en-IE" w:eastAsia="en-GB"/>
        </w:rPr>
        <w:t>prevent stroke in patients who have non</w:t>
      </w:r>
      <w:r>
        <w:rPr>
          <w:lang w:val="en-IE" w:eastAsia="en-GB"/>
        </w:rPr>
        <w:t>-</w:t>
      </w:r>
      <w:r w:rsidRPr="00311BD4">
        <w:rPr>
          <w:lang w:val="en-IE" w:eastAsia="en-GB"/>
        </w:rPr>
        <w:t xml:space="preserve">valvular </w:t>
      </w:r>
      <w:r>
        <w:rPr>
          <w:lang w:val="en-IE" w:eastAsia="en-GB"/>
        </w:rPr>
        <w:t>atrial fibrillation. Ann Intern Med 2007</w:t>
      </w:r>
      <w:r w:rsidRPr="00311BD4">
        <w:rPr>
          <w:lang w:val="en-IE" w:eastAsia="en-GB"/>
        </w:rPr>
        <w:t>;</w:t>
      </w:r>
      <w:r>
        <w:rPr>
          <w:lang w:val="en-IE" w:eastAsia="en-GB"/>
        </w:rPr>
        <w:t xml:space="preserve"> </w:t>
      </w:r>
      <w:r w:rsidRPr="00311BD4">
        <w:rPr>
          <w:lang w:val="en-IE" w:eastAsia="en-GB"/>
        </w:rPr>
        <w:t>146(12):</w:t>
      </w:r>
      <w:r>
        <w:rPr>
          <w:lang w:val="en-IE" w:eastAsia="en-GB"/>
        </w:rPr>
        <w:t xml:space="preserve"> </w:t>
      </w:r>
      <w:r w:rsidRPr="00311BD4">
        <w:rPr>
          <w:lang w:val="en-IE" w:eastAsia="en-GB"/>
        </w:rPr>
        <w:t>857-67. PubMed PMID: 17577005.</w:t>
      </w:r>
    </w:p>
    <w:p w:rsidR="00851DC2" w:rsidRPr="00311B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311BD4">
        <w:rPr>
          <w:lang w:eastAsia="en-GB"/>
        </w:rPr>
        <w:t>A1 (iv): Aguilar MI, Hart R. Oral anticoagulants for preventing stroke in patients with non-valvular atrial fibrillation and no previous history of stroke or transient ischemic attacks. Cochrane Database of Systematic Reviews 2005, Issue 3. Art. No.: CD001927. DOI: 10.1002/14651858.CD001927.pub2.</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B73AE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B73AE6">
        <w:rPr>
          <w:b/>
          <w:bCs/>
          <w:lang w:eastAsia="en-GB"/>
        </w:rPr>
        <w:t>A2. Aspirin (75 mg – 160 mg once daily) in the presence of chronic atrial fibrillation, where Vitamin K antagonists or direct thrombin inhibitors or factor Xa inhibitors are contraindicated.</w:t>
      </w:r>
    </w:p>
    <w:p w:rsidR="00851DC2" w:rsidRPr="00B73AE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B73AE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B73AE6">
        <w:rPr>
          <w:lang w:val="en-IE" w:eastAsia="en-GB"/>
        </w:rPr>
        <w:t xml:space="preserve">A2 (i): 1: Lip GY. </w:t>
      </w:r>
      <w:proofErr w:type="gramStart"/>
      <w:r w:rsidRPr="00B73AE6">
        <w:rPr>
          <w:lang w:val="en-IE" w:eastAsia="en-GB"/>
        </w:rPr>
        <w:t>The role of aspirin for stroke prevention in atrial fibrillation.</w:t>
      </w:r>
      <w:proofErr w:type="gramEnd"/>
      <w:r w:rsidRPr="00B73AE6">
        <w:rPr>
          <w:lang w:val="en-IE" w:eastAsia="en-GB"/>
        </w:rPr>
        <w:t xml:space="preserve"> Nat </w:t>
      </w:r>
      <w:r>
        <w:rPr>
          <w:lang w:val="en-IE" w:eastAsia="en-GB"/>
        </w:rPr>
        <w:t>Rev Cardiol 2011</w:t>
      </w:r>
      <w:r w:rsidRPr="00B73AE6">
        <w:rPr>
          <w:lang w:val="en-IE" w:eastAsia="en-GB"/>
        </w:rPr>
        <w:t>;</w:t>
      </w:r>
      <w:r>
        <w:rPr>
          <w:lang w:val="en-IE" w:eastAsia="en-GB"/>
        </w:rPr>
        <w:t xml:space="preserve"> </w:t>
      </w:r>
      <w:r w:rsidRPr="00B73AE6">
        <w:rPr>
          <w:lang w:val="en-IE" w:eastAsia="en-GB"/>
        </w:rPr>
        <w:t>8(10):</w:t>
      </w:r>
      <w:r>
        <w:rPr>
          <w:lang w:val="en-IE" w:eastAsia="en-GB"/>
        </w:rPr>
        <w:t xml:space="preserve"> </w:t>
      </w:r>
      <w:r w:rsidRPr="00B73AE6">
        <w:rPr>
          <w:lang w:val="en-IE" w:eastAsia="en-GB"/>
        </w:rPr>
        <w:t>602-6. PubMedPMID: 21788962.</w:t>
      </w:r>
    </w:p>
    <w:p w:rsidR="00851DC2" w:rsidRPr="00B73AE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B73AE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B73AE6">
        <w:rPr>
          <w:lang w:val="en-IE" w:eastAsia="en-GB"/>
        </w:rPr>
        <w:t>A2 (ii): Cairns JA, Connolly S, McMurtry S, Stephenson M, Talajic M; CCS AtrialFibrillation Guidelines Committee. Canadian Cardiovascular Society atrialfibrillation guidelines 2010: prevention of stroke and systemic thromboembolismin atrial fibrilla</w:t>
      </w:r>
      <w:r>
        <w:rPr>
          <w:lang w:val="en-IE" w:eastAsia="en-GB"/>
        </w:rPr>
        <w:t>tion and flutter. Can J Cardiol 2011</w:t>
      </w:r>
      <w:r w:rsidRPr="00B73AE6">
        <w:rPr>
          <w:lang w:val="en-IE" w:eastAsia="en-GB"/>
        </w:rPr>
        <w:t>;</w:t>
      </w:r>
      <w:r>
        <w:rPr>
          <w:lang w:val="en-IE" w:eastAsia="en-GB"/>
        </w:rPr>
        <w:t xml:space="preserve"> </w:t>
      </w:r>
      <w:r w:rsidRPr="00B73AE6">
        <w:rPr>
          <w:lang w:val="en-IE" w:eastAsia="en-GB"/>
        </w:rPr>
        <w:t>27(1):</w:t>
      </w:r>
      <w:r>
        <w:rPr>
          <w:lang w:val="en-IE" w:eastAsia="en-GB"/>
        </w:rPr>
        <w:t xml:space="preserve"> </w:t>
      </w:r>
      <w:r w:rsidRPr="00B73AE6">
        <w:rPr>
          <w:lang w:val="en-IE" w:eastAsia="en-GB"/>
        </w:rPr>
        <w:t>74-90. PubMed PMID: 21329865.</w:t>
      </w:r>
    </w:p>
    <w:p w:rsidR="00851DC2" w:rsidRPr="00B73AE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B73AE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B73AE6">
        <w:rPr>
          <w:lang w:val="en-IE" w:eastAsia="en-GB"/>
        </w:rPr>
        <w:t xml:space="preserve">A2 (iii): Gage BF, van Walraven C, Pearce L, Hart RG, Koudstaal PJ, Boode BS, PetersenP. </w:t>
      </w:r>
      <w:proofErr w:type="gramStart"/>
      <w:r w:rsidRPr="00B73AE6">
        <w:rPr>
          <w:lang w:val="en-IE" w:eastAsia="en-GB"/>
        </w:rPr>
        <w:t>Selecting patients with atrial fibrillation for anticoagulation: stroke risk stratification in patie</w:t>
      </w:r>
      <w:r>
        <w:rPr>
          <w:lang w:val="en-IE" w:eastAsia="en-GB"/>
        </w:rPr>
        <w:t>nts taking aspirin.</w:t>
      </w:r>
      <w:proofErr w:type="gramEnd"/>
      <w:r>
        <w:rPr>
          <w:lang w:val="en-IE" w:eastAsia="en-GB"/>
        </w:rPr>
        <w:t xml:space="preserve"> Circulation 2004</w:t>
      </w:r>
      <w:r w:rsidRPr="00B73AE6">
        <w:rPr>
          <w:lang w:val="en-IE" w:eastAsia="en-GB"/>
        </w:rPr>
        <w:t>;</w:t>
      </w:r>
      <w:r>
        <w:rPr>
          <w:lang w:val="en-IE" w:eastAsia="en-GB"/>
        </w:rPr>
        <w:t xml:space="preserve"> </w:t>
      </w:r>
      <w:r w:rsidRPr="00B73AE6">
        <w:rPr>
          <w:lang w:val="en-IE" w:eastAsia="en-GB"/>
        </w:rPr>
        <w:t>110(16):</w:t>
      </w:r>
      <w:r>
        <w:rPr>
          <w:lang w:val="en-IE" w:eastAsia="en-GB"/>
        </w:rPr>
        <w:t xml:space="preserve"> </w:t>
      </w:r>
      <w:r w:rsidRPr="00B73AE6">
        <w:rPr>
          <w:lang w:val="en-IE" w:eastAsia="en-GB"/>
        </w:rPr>
        <w:t>2287-92. PubMed PMID: 15477396.</w:t>
      </w:r>
    </w:p>
    <w:p w:rsidR="00851DC2" w:rsidRPr="00B73AE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B73AE6">
        <w:rPr>
          <w:lang w:val="en-IE" w:eastAsia="en-GB"/>
        </w:rPr>
        <w:t>A2 (</w:t>
      </w:r>
      <w:proofErr w:type="gramStart"/>
      <w:r w:rsidRPr="00B73AE6">
        <w:rPr>
          <w:lang w:val="en-IE" w:eastAsia="en-GB"/>
        </w:rPr>
        <w:t>iv</w:t>
      </w:r>
      <w:proofErr w:type="gramEnd"/>
      <w:r w:rsidRPr="00B73AE6">
        <w:rPr>
          <w:lang w:val="en-IE" w:eastAsia="en-GB"/>
        </w:rPr>
        <w:t xml:space="preserve">): Ezekowitz MD, Levine JA. </w:t>
      </w:r>
      <w:proofErr w:type="gramStart"/>
      <w:r w:rsidRPr="00B73AE6">
        <w:rPr>
          <w:lang w:val="en-IE" w:eastAsia="en-GB"/>
        </w:rPr>
        <w:t>Preventing stroke in patients with atrial</w:t>
      </w:r>
      <w:r>
        <w:rPr>
          <w:lang w:val="en-IE" w:eastAsia="en-GB"/>
        </w:rPr>
        <w:t xml:space="preserve"> fibrillation.</w:t>
      </w:r>
      <w:proofErr w:type="gramEnd"/>
      <w:r>
        <w:rPr>
          <w:lang w:val="en-IE" w:eastAsia="en-GB"/>
        </w:rPr>
        <w:t xml:space="preserve"> JAMA 1999</w:t>
      </w:r>
      <w:r w:rsidRPr="00B73AE6">
        <w:rPr>
          <w:lang w:val="en-IE" w:eastAsia="en-GB"/>
        </w:rPr>
        <w:t>;</w:t>
      </w:r>
      <w:r>
        <w:rPr>
          <w:lang w:val="en-IE" w:eastAsia="en-GB"/>
        </w:rPr>
        <w:t xml:space="preserve"> </w:t>
      </w:r>
      <w:r w:rsidRPr="00B73AE6">
        <w:rPr>
          <w:lang w:val="en-IE" w:eastAsia="en-GB"/>
        </w:rPr>
        <w:t>281(19):</w:t>
      </w:r>
      <w:r>
        <w:rPr>
          <w:lang w:val="en-IE" w:eastAsia="en-GB"/>
        </w:rPr>
        <w:t xml:space="preserve"> </w:t>
      </w:r>
      <w:r w:rsidRPr="00B73AE6">
        <w:rPr>
          <w:lang w:val="en-IE" w:eastAsia="en-GB"/>
        </w:rPr>
        <w:t>1830-5. PubMed PMID: 10340371.</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B100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B100D4">
        <w:rPr>
          <w:b/>
          <w:bCs/>
          <w:lang w:eastAsia="en-GB"/>
        </w:rPr>
        <w:t xml:space="preserve">A3. </w:t>
      </w:r>
      <w:proofErr w:type="gramStart"/>
      <w:r w:rsidRPr="00B100D4">
        <w:rPr>
          <w:b/>
          <w:bCs/>
          <w:lang w:eastAsia="en-GB"/>
        </w:rPr>
        <w:t>Antiplatelet therapy (aspirin or clopidogrel or prasugrel or ticagrelor) with a documented history of coronary, cerebral or peripheral vascular disease.</w:t>
      </w:r>
      <w:proofErr w:type="gramEnd"/>
    </w:p>
    <w:p w:rsidR="00851DC2" w:rsidRPr="00B100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B100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B100D4">
        <w:rPr>
          <w:lang w:val="en-IE" w:eastAsia="en-GB"/>
        </w:rPr>
        <w:lastRenderedPageBreak/>
        <w:t>A3 (i): Zuckerman IH, Yin X, Rattinger GB, Gottlieb SS, Simoni-Wastila L, Pierce SA,Huang TY, Shenolikar R, Stuart B. Effect of exposure to evidence-based</w:t>
      </w:r>
      <w:r>
        <w:rPr>
          <w:lang w:val="en-IE" w:eastAsia="en-GB"/>
        </w:rPr>
        <w:t xml:space="preserve"> </w:t>
      </w:r>
      <w:r w:rsidRPr="00B100D4">
        <w:rPr>
          <w:lang w:val="en-IE" w:eastAsia="en-GB"/>
        </w:rPr>
        <w:t xml:space="preserve">pharmacotherapy on outcomes after acute myocardial infarction in older adults. J </w:t>
      </w:r>
      <w:r>
        <w:rPr>
          <w:lang w:val="en-IE" w:eastAsia="en-GB"/>
        </w:rPr>
        <w:t>Am Geriatr Soc 2012</w:t>
      </w:r>
      <w:r w:rsidRPr="00B100D4">
        <w:rPr>
          <w:lang w:val="en-IE" w:eastAsia="en-GB"/>
        </w:rPr>
        <w:t>;</w:t>
      </w:r>
      <w:r>
        <w:rPr>
          <w:lang w:val="en-IE" w:eastAsia="en-GB"/>
        </w:rPr>
        <w:t xml:space="preserve"> </w:t>
      </w:r>
      <w:r w:rsidRPr="00B100D4">
        <w:rPr>
          <w:lang w:val="en-IE" w:eastAsia="en-GB"/>
        </w:rPr>
        <w:t>60(10):</w:t>
      </w:r>
      <w:r>
        <w:rPr>
          <w:lang w:val="en-IE" w:eastAsia="en-GB"/>
        </w:rPr>
        <w:t xml:space="preserve"> </w:t>
      </w:r>
      <w:r w:rsidRPr="00B100D4">
        <w:rPr>
          <w:lang w:val="en-IE" w:eastAsia="en-GB"/>
        </w:rPr>
        <w:t xml:space="preserve">1854-61. </w:t>
      </w:r>
      <w:r>
        <w:rPr>
          <w:lang w:val="en-IE" w:eastAsia="en-GB"/>
        </w:rPr>
        <w:t>PubMed PMID: 23003000.</w:t>
      </w:r>
    </w:p>
    <w:p w:rsidR="00851DC2" w:rsidRPr="00B100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B100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B100D4">
        <w:rPr>
          <w:lang w:val="en-IE" w:eastAsia="en-GB"/>
        </w:rPr>
        <w:t>A3 (ii): Alonso-Coello P, Bellmunt S, McGorrian C, Anand SS, Guzman R, Criqui MH, AklEA, Olav Vandvik P, Lansberg MG, Guyatt GH, Spencer FA; Americ</w:t>
      </w:r>
      <w:r>
        <w:rPr>
          <w:lang w:val="en-IE" w:eastAsia="en-GB"/>
        </w:rPr>
        <w:t xml:space="preserve">an College of Chest Physicians. </w:t>
      </w:r>
      <w:r w:rsidRPr="00B100D4">
        <w:rPr>
          <w:lang w:val="en-IE" w:eastAsia="en-GB"/>
        </w:rPr>
        <w:t xml:space="preserve">Antithrombotic therapy in peripheral artery disease: Antithrombotic Therapy and Prevention of Thrombosis, 9th </w:t>
      </w:r>
      <w:proofErr w:type="gramStart"/>
      <w:r w:rsidRPr="00B100D4">
        <w:rPr>
          <w:lang w:val="en-IE" w:eastAsia="en-GB"/>
        </w:rPr>
        <w:t>ed</w:t>
      </w:r>
      <w:proofErr w:type="gramEnd"/>
      <w:r w:rsidRPr="00B100D4">
        <w:rPr>
          <w:lang w:val="en-IE" w:eastAsia="en-GB"/>
        </w:rPr>
        <w:t>: American College of Chest Physicians Evidence-Based Clin</w:t>
      </w:r>
      <w:r>
        <w:rPr>
          <w:lang w:val="en-IE" w:eastAsia="en-GB"/>
        </w:rPr>
        <w:t>ical Practice Guidelines. Chest 2012</w:t>
      </w:r>
      <w:r w:rsidRPr="00B100D4">
        <w:rPr>
          <w:lang w:val="en-IE" w:eastAsia="en-GB"/>
        </w:rPr>
        <w:t>;</w:t>
      </w:r>
      <w:r>
        <w:rPr>
          <w:lang w:val="en-IE" w:eastAsia="en-GB"/>
        </w:rPr>
        <w:t xml:space="preserve"> </w:t>
      </w:r>
      <w:r w:rsidRPr="00B100D4">
        <w:rPr>
          <w:lang w:val="en-IE" w:eastAsia="en-GB"/>
        </w:rPr>
        <w:t>141(2Suppl):</w:t>
      </w:r>
      <w:r>
        <w:rPr>
          <w:lang w:val="en-IE" w:eastAsia="en-GB"/>
        </w:rPr>
        <w:t xml:space="preserve"> </w:t>
      </w:r>
      <w:r w:rsidRPr="00B100D4">
        <w:rPr>
          <w:lang w:val="en-IE" w:eastAsia="en-GB"/>
        </w:rPr>
        <w:t>e669S-90S. PubMed PMID: 22315275.</w:t>
      </w:r>
    </w:p>
    <w:p w:rsidR="00851DC2" w:rsidRPr="00B100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B100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B100D4">
        <w:rPr>
          <w:lang w:val="en-IE" w:eastAsia="en-GB"/>
        </w:rPr>
        <w:t>A3 (iii): Fleg JL, Aronow WS, Frishman WH. Cardiovascular drug therapy in the elderly:</w:t>
      </w:r>
      <w:r>
        <w:rPr>
          <w:lang w:val="en-IE" w:eastAsia="en-GB"/>
        </w:rPr>
        <w:t xml:space="preserve"> </w:t>
      </w:r>
      <w:r w:rsidRPr="00B100D4">
        <w:rPr>
          <w:lang w:val="en-IE" w:eastAsia="en-GB"/>
        </w:rPr>
        <w:t>benefits</w:t>
      </w:r>
      <w:r>
        <w:rPr>
          <w:lang w:val="en-IE" w:eastAsia="en-GB"/>
        </w:rPr>
        <w:t xml:space="preserve"> and challenges. Nat Rev Cardiol 2011</w:t>
      </w:r>
      <w:r w:rsidRPr="00B100D4">
        <w:rPr>
          <w:lang w:val="en-IE" w:eastAsia="en-GB"/>
        </w:rPr>
        <w:t>;</w:t>
      </w:r>
      <w:r>
        <w:rPr>
          <w:lang w:val="en-IE" w:eastAsia="en-GB"/>
        </w:rPr>
        <w:t xml:space="preserve"> </w:t>
      </w:r>
      <w:r w:rsidRPr="00B100D4">
        <w:rPr>
          <w:lang w:val="en-IE" w:eastAsia="en-GB"/>
        </w:rPr>
        <w:t>8(1):</w:t>
      </w:r>
      <w:r>
        <w:rPr>
          <w:lang w:val="en-IE" w:eastAsia="en-GB"/>
        </w:rPr>
        <w:t xml:space="preserve"> </w:t>
      </w:r>
      <w:r w:rsidRPr="00B100D4">
        <w:rPr>
          <w:lang w:val="en-IE" w:eastAsia="en-GB"/>
        </w:rPr>
        <w:t xml:space="preserve">13-28. </w:t>
      </w:r>
      <w:proofErr w:type="gramStart"/>
      <w:r w:rsidRPr="00B100D4">
        <w:rPr>
          <w:lang w:val="en-IE" w:eastAsia="en-GB"/>
        </w:rPr>
        <w:t>Review.</w:t>
      </w:r>
      <w:proofErr w:type="gramEnd"/>
      <w:r w:rsidRPr="00B100D4">
        <w:rPr>
          <w:lang w:val="en-IE" w:eastAsia="en-GB"/>
        </w:rPr>
        <w:t xml:space="preserve"> PubMed PMID: 20978470.</w:t>
      </w:r>
    </w:p>
    <w:p w:rsidR="00851DC2" w:rsidRPr="00B100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B100D4">
        <w:rPr>
          <w:lang w:val="en-IE" w:eastAsia="en-GB"/>
        </w:rPr>
        <w:t>A3 (iv): Vandvik PO, Lincoff AM, Gore JM, Gutterman DD, Sonnenberg FA, Alonso-Coello P,Akl EA, Lansberg MG, Guyatt GH, Spencer FA; American College of Chest Physicians.</w:t>
      </w:r>
      <w:r>
        <w:rPr>
          <w:lang w:val="en-IE" w:eastAsia="en-GB"/>
        </w:rPr>
        <w:t xml:space="preserve"> </w:t>
      </w:r>
      <w:r w:rsidRPr="00B100D4">
        <w:rPr>
          <w:lang w:val="en-IE" w:eastAsia="en-GB"/>
        </w:rPr>
        <w:t>Primary and secondary prevention of cardiovascular disease: Antithrombotic</w:t>
      </w:r>
      <w:r>
        <w:rPr>
          <w:lang w:val="en-IE" w:eastAsia="en-GB"/>
        </w:rPr>
        <w:t xml:space="preserve"> </w:t>
      </w:r>
      <w:r w:rsidRPr="00B100D4">
        <w:rPr>
          <w:lang w:val="en-IE" w:eastAsia="en-GB"/>
        </w:rPr>
        <w:t xml:space="preserve">Therapy and Prevention of Thrombosis, 9th </w:t>
      </w:r>
      <w:proofErr w:type="gramStart"/>
      <w:r w:rsidRPr="00B100D4">
        <w:rPr>
          <w:lang w:val="en-IE" w:eastAsia="en-GB"/>
        </w:rPr>
        <w:t>ed</w:t>
      </w:r>
      <w:proofErr w:type="gramEnd"/>
      <w:r w:rsidRPr="00B100D4">
        <w:rPr>
          <w:lang w:val="en-IE" w:eastAsia="en-GB"/>
        </w:rPr>
        <w:t>: American College of ChestPhysicians Evidence-Based Clin</w:t>
      </w:r>
      <w:r>
        <w:rPr>
          <w:lang w:val="en-IE" w:eastAsia="en-GB"/>
        </w:rPr>
        <w:t>ical Practice Guidelines. Chest 2012</w:t>
      </w:r>
      <w:r w:rsidRPr="00B100D4">
        <w:rPr>
          <w:lang w:val="en-IE" w:eastAsia="en-GB"/>
        </w:rPr>
        <w:t>;</w:t>
      </w:r>
      <w:r>
        <w:rPr>
          <w:lang w:val="en-IE" w:eastAsia="en-GB"/>
        </w:rPr>
        <w:t xml:space="preserve"> </w:t>
      </w:r>
      <w:r w:rsidRPr="00B100D4">
        <w:rPr>
          <w:lang w:val="en-IE" w:eastAsia="en-GB"/>
        </w:rPr>
        <w:t>141(2Suppl):</w:t>
      </w:r>
      <w:r>
        <w:rPr>
          <w:lang w:val="en-IE" w:eastAsia="en-GB"/>
        </w:rPr>
        <w:t xml:space="preserve"> </w:t>
      </w:r>
      <w:r w:rsidRPr="00B100D4">
        <w:rPr>
          <w:lang w:val="en-IE" w:eastAsia="en-GB"/>
        </w:rPr>
        <w:t xml:space="preserve">e637S-68S. Erratum </w:t>
      </w:r>
      <w:r>
        <w:rPr>
          <w:lang w:val="en-IE" w:eastAsia="en-GB"/>
        </w:rPr>
        <w:t>in: Chest 2012</w:t>
      </w:r>
      <w:r w:rsidRPr="00B100D4">
        <w:rPr>
          <w:lang w:val="en-IE" w:eastAsia="en-GB"/>
        </w:rPr>
        <w:t>;</w:t>
      </w:r>
      <w:r>
        <w:rPr>
          <w:lang w:val="en-IE" w:eastAsia="en-GB"/>
        </w:rPr>
        <w:t xml:space="preserve"> </w:t>
      </w:r>
      <w:r w:rsidRPr="00B100D4">
        <w:rPr>
          <w:lang w:val="en-IE" w:eastAsia="en-GB"/>
        </w:rPr>
        <w:t>141(4):</w:t>
      </w:r>
      <w:r>
        <w:rPr>
          <w:lang w:val="en-IE" w:eastAsia="en-GB"/>
        </w:rPr>
        <w:t xml:space="preserve"> </w:t>
      </w:r>
      <w:r w:rsidRPr="00B100D4">
        <w:rPr>
          <w:lang w:val="en-IE" w:eastAsia="en-GB"/>
        </w:rPr>
        <w:t xml:space="preserve">1129. </w:t>
      </w:r>
      <w:proofErr w:type="gramStart"/>
      <w:r w:rsidRPr="00B100D4">
        <w:rPr>
          <w:lang w:val="en-IE" w:eastAsia="en-GB"/>
        </w:rPr>
        <w:t>Dosage error in article text.</w:t>
      </w:r>
      <w:proofErr w:type="gramEnd"/>
      <w:r w:rsidRPr="00B100D4">
        <w:rPr>
          <w:lang w:val="en-IE" w:eastAsia="en-GB"/>
        </w:rPr>
        <w:t xml:space="preserve"> PubMed PMID: 22315274</w:t>
      </w:r>
      <w:r>
        <w:rPr>
          <w:lang w:val="en-IE" w:eastAsia="en-GB"/>
        </w:rPr>
        <w:t>.</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C41F47"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C41F47">
        <w:rPr>
          <w:b/>
          <w:bCs/>
          <w:lang w:eastAsia="en-GB"/>
        </w:rPr>
        <w:t>A4. Antihypertensive therapy where systolic blood pressure consistently &gt; 160 mmHg and/or diastolic blood pressure consistently &gt; 90 mmHg; if systolic blood pressure &gt; 140 mmHg and /or diastolic blood pressure &gt; 90 mmHg, if diabetic.</w:t>
      </w:r>
    </w:p>
    <w:p w:rsidR="00851DC2" w:rsidRPr="00C41F47"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C41F47"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C41F47">
        <w:rPr>
          <w:lang w:val="en-IE" w:eastAsia="en-GB"/>
        </w:rPr>
        <w:t>A4 (i): Williams B, Poulter NR, Brown MJ, Davis M, McInnes GT, Potter JF, Sever PS,Thom SM; BHS guidelines working party, for the British Hypertension Society.British Hypertension Society guidelines for hypertension management 2004</w:t>
      </w:r>
      <w:r>
        <w:rPr>
          <w:lang w:val="en-IE" w:eastAsia="en-GB"/>
        </w:rPr>
        <w:t xml:space="preserve"> (BHS-IV): summary. BMJ 2004</w:t>
      </w:r>
      <w:r w:rsidRPr="00C41F47">
        <w:rPr>
          <w:lang w:val="en-IE" w:eastAsia="en-GB"/>
        </w:rPr>
        <w:t>;</w:t>
      </w:r>
      <w:r>
        <w:rPr>
          <w:lang w:val="en-IE" w:eastAsia="en-GB"/>
        </w:rPr>
        <w:t xml:space="preserve"> </w:t>
      </w:r>
      <w:r w:rsidRPr="00C41F47">
        <w:rPr>
          <w:lang w:val="en-IE" w:eastAsia="en-GB"/>
        </w:rPr>
        <w:t>32</w:t>
      </w:r>
      <w:r>
        <w:rPr>
          <w:lang w:val="en-IE" w:eastAsia="en-GB"/>
        </w:rPr>
        <w:t>8(7440):634-40. Erratum in: BMJ 2004</w:t>
      </w:r>
      <w:r w:rsidRPr="00C41F47">
        <w:rPr>
          <w:lang w:val="en-IE" w:eastAsia="en-GB"/>
        </w:rPr>
        <w:t>;</w:t>
      </w:r>
      <w:r>
        <w:rPr>
          <w:lang w:val="en-IE" w:eastAsia="en-GB"/>
        </w:rPr>
        <w:t xml:space="preserve"> </w:t>
      </w:r>
      <w:r w:rsidRPr="00C41F47">
        <w:rPr>
          <w:lang w:val="en-IE" w:eastAsia="en-GB"/>
        </w:rPr>
        <w:t>328(7445):</w:t>
      </w:r>
      <w:r>
        <w:rPr>
          <w:lang w:val="en-IE" w:eastAsia="en-GB"/>
        </w:rPr>
        <w:t xml:space="preserve"> </w:t>
      </w:r>
      <w:r w:rsidRPr="00C41F47">
        <w:rPr>
          <w:lang w:val="en-IE" w:eastAsia="en-GB"/>
        </w:rPr>
        <w:t>926. PubMed PMID: 15016698</w:t>
      </w:r>
      <w:r>
        <w:rPr>
          <w:lang w:val="en-IE" w:eastAsia="en-GB"/>
        </w:rPr>
        <w:t>.</w:t>
      </w:r>
    </w:p>
    <w:p w:rsidR="00851DC2" w:rsidRPr="00C41F47"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C41F47"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C41F47">
        <w:rPr>
          <w:lang w:val="en-IE" w:eastAsia="en-GB"/>
        </w:rPr>
        <w:t>A4 (ii): Papademetriou V, Farsang C, Elmfeldt D, Hofman A, Lithell H, Olofsson B, Skoog</w:t>
      </w:r>
      <w:r>
        <w:rPr>
          <w:lang w:val="en-IE" w:eastAsia="en-GB"/>
        </w:rPr>
        <w:t xml:space="preserve"> I,                                                                                                                            </w:t>
      </w:r>
      <w:r w:rsidRPr="00C41F47">
        <w:rPr>
          <w:lang w:val="en-IE" w:eastAsia="en-GB"/>
        </w:rPr>
        <w:t>Trenkwalder P, Zanchetti A; Study on Cognition and Prognosis in the Elderly study group. Stroke prevention with the angiotensin II type 1-receptor blocker candesartan in elderly patients with isolated systolic hypertension: the Study on Cognition and Prognosis in the Eld</w:t>
      </w:r>
      <w:r>
        <w:rPr>
          <w:lang w:val="en-IE" w:eastAsia="en-GB"/>
        </w:rPr>
        <w:t>erly (SCOPE). J Am Coll Cardiol 2004</w:t>
      </w:r>
      <w:r w:rsidRPr="00C41F47">
        <w:rPr>
          <w:lang w:val="en-IE" w:eastAsia="en-GB"/>
        </w:rPr>
        <w:t>; 44(6):</w:t>
      </w:r>
      <w:r>
        <w:rPr>
          <w:lang w:val="en-IE" w:eastAsia="en-GB"/>
        </w:rPr>
        <w:t xml:space="preserve"> </w:t>
      </w:r>
      <w:r w:rsidRPr="00C41F47">
        <w:rPr>
          <w:lang w:val="en-IE" w:eastAsia="en-GB"/>
        </w:rPr>
        <w:t>1175-80. PubMed PMID: 15364316.</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41F47">
        <w:rPr>
          <w:lang w:eastAsia="en-GB"/>
        </w:rPr>
        <w:t>A4 (iii): Bejan-Angoulvant T, Saadatian-Elahi M, Wright JM, Schron EB, Lindholm LH,</w:t>
      </w:r>
      <w:r>
        <w:rPr>
          <w:lang w:eastAsia="en-GB"/>
        </w:rPr>
        <w:t xml:space="preserve"> Fagard R, </w:t>
      </w:r>
      <w:r w:rsidRPr="00C41F47">
        <w:rPr>
          <w:lang w:eastAsia="en-GB"/>
        </w:rPr>
        <w:t xml:space="preserve">Staessen JA, Gueyffier F. Treatment of hypertension in patients 80years and older: the lower the better? </w:t>
      </w:r>
      <w:proofErr w:type="gramStart"/>
      <w:r w:rsidRPr="00C41F47">
        <w:rPr>
          <w:lang w:eastAsia="en-GB"/>
        </w:rPr>
        <w:t>A meta-analysis of randomized controlled</w:t>
      </w:r>
      <w:r>
        <w:rPr>
          <w:lang w:eastAsia="en-GB"/>
        </w:rPr>
        <w:t xml:space="preserve"> trials.</w:t>
      </w:r>
      <w:proofErr w:type="gramEnd"/>
      <w:r>
        <w:rPr>
          <w:lang w:eastAsia="en-GB"/>
        </w:rPr>
        <w:t xml:space="preserve"> J Hypertens 2010</w:t>
      </w:r>
      <w:r w:rsidRPr="00C41F47">
        <w:rPr>
          <w:lang w:eastAsia="en-GB"/>
        </w:rPr>
        <w:t>;</w:t>
      </w:r>
      <w:r>
        <w:rPr>
          <w:lang w:eastAsia="en-GB"/>
        </w:rPr>
        <w:t xml:space="preserve"> </w:t>
      </w:r>
      <w:r w:rsidRPr="00C41F47">
        <w:rPr>
          <w:lang w:eastAsia="en-GB"/>
        </w:rPr>
        <w:t>28(7):</w:t>
      </w:r>
      <w:r>
        <w:rPr>
          <w:lang w:eastAsia="en-GB"/>
        </w:rPr>
        <w:t xml:space="preserve"> </w:t>
      </w:r>
      <w:r w:rsidRPr="00C41F47">
        <w:rPr>
          <w:lang w:eastAsia="en-GB"/>
        </w:rPr>
        <w:t>1366-72. PubMed PMID: 20574244.</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585249"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585249">
        <w:rPr>
          <w:b/>
          <w:bCs/>
          <w:lang w:eastAsia="en-GB"/>
        </w:rPr>
        <w:t>A5. Statin therapy with a documented history of coronary, cerebral or peripheral vascular disease, unless the patient’s status is end-of-life or age is &gt; 85 years.</w:t>
      </w:r>
    </w:p>
    <w:p w:rsidR="00851DC2" w:rsidRPr="00585249"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585249"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585249">
        <w:rPr>
          <w:lang w:val="en-IE" w:eastAsia="en-GB"/>
        </w:rPr>
        <w:t>A5 (i): Mills EJ, Wu P, Chong G, Ghement I, Singh S, Akl EA, Eyawo O, Guyatt G,Berwanger O, Briel M. Efficacy and safety of statin treatment for cardiovascular disease: a network meta-analysis of 170,255 patients from 76 randomized trials.</w:t>
      </w:r>
      <w:r>
        <w:rPr>
          <w:lang w:val="en-IE" w:eastAsia="en-GB"/>
        </w:rPr>
        <w:t xml:space="preserve"> QJM 2011</w:t>
      </w:r>
      <w:r w:rsidRPr="00585249">
        <w:rPr>
          <w:lang w:val="en-IE" w:eastAsia="en-GB"/>
        </w:rPr>
        <w:t>;</w:t>
      </w:r>
      <w:r>
        <w:rPr>
          <w:lang w:val="en-IE" w:eastAsia="en-GB"/>
        </w:rPr>
        <w:t xml:space="preserve"> </w:t>
      </w:r>
      <w:r w:rsidRPr="00585249">
        <w:rPr>
          <w:lang w:val="en-IE" w:eastAsia="en-GB"/>
        </w:rPr>
        <w:t>104(2):</w:t>
      </w:r>
      <w:r>
        <w:rPr>
          <w:lang w:val="en-IE" w:eastAsia="en-GB"/>
        </w:rPr>
        <w:t xml:space="preserve"> </w:t>
      </w:r>
      <w:r w:rsidRPr="00585249">
        <w:rPr>
          <w:lang w:val="en-IE" w:eastAsia="en-GB"/>
        </w:rPr>
        <w:t xml:space="preserve">109-24. </w:t>
      </w:r>
      <w:proofErr w:type="gramStart"/>
      <w:r w:rsidRPr="00585249">
        <w:rPr>
          <w:lang w:val="en-IE" w:eastAsia="en-GB"/>
        </w:rPr>
        <w:t>Review.</w:t>
      </w:r>
      <w:proofErr w:type="gramEnd"/>
      <w:r w:rsidRPr="00585249">
        <w:rPr>
          <w:lang w:val="en-IE" w:eastAsia="en-GB"/>
        </w:rPr>
        <w:t xml:space="preserve"> PubMed PMID: 20934984.</w:t>
      </w:r>
    </w:p>
    <w:p w:rsidR="00851DC2" w:rsidRPr="00585249"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585249"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585249">
        <w:rPr>
          <w:lang w:val="en-IE" w:eastAsia="en-GB"/>
        </w:rPr>
        <w:lastRenderedPageBreak/>
        <w:t>A5 (ii): Brugts JJ, Yetgin T, Hoeks SE, Gotto AM, Shepherd J, Westendorp RG, de CraenAJ, Knopp RH, Nakamura H, Ridker P, van Domburg R, Deckers JW. The benefits of</w:t>
      </w:r>
      <w:r>
        <w:rPr>
          <w:lang w:val="en-IE" w:eastAsia="en-GB"/>
        </w:rPr>
        <w:t xml:space="preserve"> </w:t>
      </w:r>
      <w:r w:rsidRPr="00585249">
        <w:rPr>
          <w:lang w:val="en-IE" w:eastAsia="en-GB"/>
        </w:rPr>
        <w:t>statins in people without established cardiovascular disease but with</w:t>
      </w:r>
      <w:r>
        <w:rPr>
          <w:lang w:val="en-IE" w:eastAsia="en-GB"/>
        </w:rPr>
        <w:t xml:space="preserve"> </w:t>
      </w:r>
      <w:r w:rsidRPr="00585249">
        <w:rPr>
          <w:lang w:val="en-IE" w:eastAsia="en-GB"/>
        </w:rPr>
        <w:t>cardiovascular risk factors: meta-analysis of randomised co</w:t>
      </w:r>
      <w:r>
        <w:rPr>
          <w:lang w:val="en-IE" w:eastAsia="en-GB"/>
        </w:rPr>
        <w:t>ntrolled trials. BMJ 2009</w:t>
      </w:r>
      <w:r w:rsidRPr="00585249">
        <w:rPr>
          <w:lang w:val="en-IE" w:eastAsia="en-GB"/>
        </w:rPr>
        <w:t>;</w:t>
      </w:r>
      <w:r>
        <w:rPr>
          <w:lang w:val="en-IE" w:eastAsia="en-GB"/>
        </w:rPr>
        <w:t xml:space="preserve"> </w:t>
      </w:r>
      <w:r w:rsidRPr="00585249">
        <w:rPr>
          <w:lang w:val="en-IE" w:eastAsia="en-GB"/>
        </w:rPr>
        <w:t>338:</w:t>
      </w:r>
      <w:r>
        <w:rPr>
          <w:lang w:val="en-IE" w:eastAsia="en-GB"/>
        </w:rPr>
        <w:t xml:space="preserve"> </w:t>
      </w:r>
      <w:r w:rsidRPr="00585249">
        <w:rPr>
          <w:lang w:val="en-IE" w:eastAsia="en-GB"/>
        </w:rPr>
        <w:t xml:space="preserve">b2376. </w:t>
      </w:r>
      <w:proofErr w:type="gramStart"/>
      <w:r w:rsidRPr="00585249">
        <w:rPr>
          <w:lang w:val="en-IE" w:eastAsia="en-GB"/>
        </w:rPr>
        <w:t>Review.</w:t>
      </w:r>
      <w:proofErr w:type="gramEnd"/>
      <w:r w:rsidRPr="00585249">
        <w:rPr>
          <w:lang w:val="en-IE" w:eastAsia="en-GB"/>
        </w:rPr>
        <w:t xml:space="preserve"> PubMed PMID: 19567909.</w:t>
      </w:r>
    </w:p>
    <w:p w:rsidR="00851DC2" w:rsidRPr="00585249"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585249">
        <w:rPr>
          <w:lang w:val="en-IE" w:eastAsia="en-GB"/>
        </w:rPr>
        <w:t>A5 (iii): Amarenco P, Labreuche J. Lipid management in th</w:t>
      </w:r>
      <w:r>
        <w:rPr>
          <w:lang w:val="en-IE" w:eastAsia="en-GB"/>
        </w:rPr>
        <w:t xml:space="preserve">e prevention of stroke: review and </w:t>
      </w:r>
      <w:r w:rsidRPr="00585249">
        <w:rPr>
          <w:lang w:val="en-IE" w:eastAsia="en-GB"/>
        </w:rPr>
        <w:t>updated meta-analysis of statins for s</w:t>
      </w:r>
      <w:r>
        <w:rPr>
          <w:lang w:val="en-IE" w:eastAsia="en-GB"/>
        </w:rPr>
        <w:t>troke prevention. Lancet Neurol 2009</w:t>
      </w:r>
      <w:r w:rsidRPr="00585249">
        <w:rPr>
          <w:lang w:val="en-IE" w:eastAsia="en-GB"/>
        </w:rPr>
        <w:t>;</w:t>
      </w:r>
      <w:r>
        <w:rPr>
          <w:lang w:val="en-IE" w:eastAsia="en-GB"/>
        </w:rPr>
        <w:t xml:space="preserve"> </w:t>
      </w:r>
      <w:r w:rsidRPr="00585249">
        <w:rPr>
          <w:lang w:val="en-IE" w:eastAsia="en-GB"/>
        </w:rPr>
        <w:t>8(5):</w:t>
      </w:r>
      <w:r>
        <w:rPr>
          <w:lang w:val="en-IE" w:eastAsia="en-GB"/>
        </w:rPr>
        <w:t xml:space="preserve"> </w:t>
      </w:r>
      <w:r w:rsidRPr="00585249">
        <w:rPr>
          <w:lang w:val="en-IE" w:eastAsia="en-GB"/>
        </w:rPr>
        <w:t xml:space="preserve">453-63. </w:t>
      </w:r>
      <w:proofErr w:type="gramStart"/>
      <w:r w:rsidRPr="00585249">
        <w:rPr>
          <w:lang w:val="en-IE" w:eastAsia="en-GB"/>
        </w:rPr>
        <w:t>Review.</w:t>
      </w:r>
      <w:proofErr w:type="gramEnd"/>
      <w:r w:rsidRPr="00585249">
        <w:rPr>
          <w:lang w:val="en-IE" w:eastAsia="en-GB"/>
        </w:rPr>
        <w:t xml:space="preserve"> PubMed PMID</w:t>
      </w:r>
      <w:proofErr w:type="gramStart"/>
      <w:r w:rsidRPr="00585249">
        <w:rPr>
          <w:lang w:val="en-IE" w:eastAsia="en-GB"/>
        </w:rPr>
        <w:t>:19375663</w:t>
      </w:r>
      <w:proofErr w:type="gramEnd"/>
      <w:r w:rsidRPr="00585249">
        <w:rPr>
          <w:lang w:val="en-IE" w:eastAsia="en-GB"/>
        </w:rPr>
        <w:t>.</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9C32C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9C32CF">
        <w:rPr>
          <w:b/>
          <w:bCs/>
          <w:lang w:eastAsia="en-GB"/>
        </w:rPr>
        <w:t xml:space="preserve">A6. </w:t>
      </w:r>
      <w:proofErr w:type="gramStart"/>
      <w:r w:rsidRPr="009C32CF">
        <w:rPr>
          <w:b/>
          <w:bCs/>
          <w:lang w:eastAsia="en-GB"/>
        </w:rPr>
        <w:t>Angiotensin Converting Enzyme (ACE) inhibitor with systolic heart failure and/or documented coronary artery disease.</w:t>
      </w:r>
      <w:proofErr w:type="gramEnd"/>
    </w:p>
    <w:p w:rsidR="00851DC2" w:rsidRPr="009C32C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9C32C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9C32CF">
        <w:rPr>
          <w:lang w:val="en-IE" w:eastAsia="en-GB"/>
        </w:rPr>
        <w:t>A6 (i): Fleg JL, Aronow WS, Frishman WH. Cardiovascular drug therapy in the elderly:</w:t>
      </w:r>
      <w:r>
        <w:rPr>
          <w:lang w:val="en-IE" w:eastAsia="en-GB"/>
        </w:rPr>
        <w:t xml:space="preserve"> </w:t>
      </w:r>
      <w:r w:rsidRPr="009C32CF">
        <w:rPr>
          <w:lang w:val="en-IE" w:eastAsia="en-GB"/>
        </w:rPr>
        <w:t xml:space="preserve">benefits and </w:t>
      </w:r>
      <w:r>
        <w:rPr>
          <w:lang w:val="en-IE" w:eastAsia="en-GB"/>
        </w:rPr>
        <w:t>challenges. Nat Rev Cardiol 2011</w:t>
      </w:r>
      <w:r w:rsidRPr="009C32CF">
        <w:rPr>
          <w:lang w:val="en-IE" w:eastAsia="en-GB"/>
        </w:rPr>
        <w:t>;</w:t>
      </w:r>
      <w:r>
        <w:rPr>
          <w:lang w:val="en-IE" w:eastAsia="en-GB"/>
        </w:rPr>
        <w:t xml:space="preserve"> </w:t>
      </w:r>
      <w:r w:rsidRPr="009C32CF">
        <w:rPr>
          <w:lang w:val="en-IE" w:eastAsia="en-GB"/>
        </w:rPr>
        <w:t xml:space="preserve">8(1):13-28. </w:t>
      </w:r>
      <w:proofErr w:type="gramStart"/>
      <w:r w:rsidRPr="009C32CF">
        <w:rPr>
          <w:lang w:val="en-IE" w:eastAsia="en-GB"/>
        </w:rPr>
        <w:t>Review.</w:t>
      </w:r>
      <w:proofErr w:type="gramEnd"/>
      <w:r w:rsidRPr="009C32CF">
        <w:rPr>
          <w:lang w:val="en-IE" w:eastAsia="en-GB"/>
        </w:rPr>
        <w:t xml:space="preserve"> PubMed PMID: 20978470.</w:t>
      </w:r>
    </w:p>
    <w:p w:rsidR="00851DC2" w:rsidRPr="009C32C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9C32C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9C32CF">
        <w:rPr>
          <w:lang w:val="en-IE" w:eastAsia="en-GB"/>
        </w:rPr>
        <w:t>A6 (ii): Arif SA, Mergenhagen KA, Del Carpio RO, Ho C. Treatment of systolic heartfailure in the elderly: an evidence-based r</w:t>
      </w:r>
      <w:r>
        <w:rPr>
          <w:lang w:val="en-IE" w:eastAsia="en-GB"/>
        </w:rPr>
        <w:t>eview. Ann Pharmacother 2010</w:t>
      </w:r>
      <w:r w:rsidRPr="009C32CF">
        <w:rPr>
          <w:lang w:val="en-IE" w:eastAsia="en-GB"/>
        </w:rPr>
        <w:t>;</w:t>
      </w:r>
      <w:r>
        <w:rPr>
          <w:lang w:val="en-IE" w:eastAsia="en-GB"/>
        </w:rPr>
        <w:t xml:space="preserve"> </w:t>
      </w:r>
      <w:r w:rsidRPr="009C32CF">
        <w:rPr>
          <w:lang w:val="en-IE" w:eastAsia="en-GB"/>
        </w:rPr>
        <w:t>44(10):</w:t>
      </w:r>
      <w:r>
        <w:rPr>
          <w:lang w:val="en-IE" w:eastAsia="en-GB"/>
        </w:rPr>
        <w:t xml:space="preserve"> </w:t>
      </w:r>
      <w:r w:rsidRPr="009C32CF">
        <w:rPr>
          <w:lang w:val="en-IE" w:eastAsia="en-GB"/>
        </w:rPr>
        <w:t xml:space="preserve">1604-14. </w:t>
      </w:r>
      <w:proofErr w:type="gramStart"/>
      <w:r w:rsidRPr="009C32CF">
        <w:rPr>
          <w:lang w:val="en-IE" w:eastAsia="en-GB"/>
        </w:rPr>
        <w:t>Review.</w:t>
      </w:r>
      <w:proofErr w:type="gramEnd"/>
      <w:r w:rsidRPr="009C32CF">
        <w:rPr>
          <w:lang w:val="en-IE" w:eastAsia="en-GB"/>
        </w:rPr>
        <w:t xml:space="preserve"> PubMed</w:t>
      </w:r>
      <w:r>
        <w:rPr>
          <w:lang w:val="en-IE" w:eastAsia="en-GB"/>
        </w:rPr>
        <w:t xml:space="preserve"> </w:t>
      </w:r>
      <w:r w:rsidRPr="009C32CF">
        <w:rPr>
          <w:lang w:val="en-IE" w:eastAsia="en-GB"/>
        </w:rPr>
        <w:t>PMID: 20841514.</w:t>
      </w:r>
    </w:p>
    <w:p w:rsidR="00851DC2" w:rsidRPr="009C32C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9C32C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9C32CF">
        <w:rPr>
          <w:lang w:val="en-IE" w:eastAsia="en-GB"/>
        </w:rPr>
        <w:t>A6 (iii): Lahoud R, Howe M, Krishnan SM, Zacharias S, Jackson EA. Effect of use of</w:t>
      </w:r>
      <w:r>
        <w:rPr>
          <w:lang w:val="en-IE" w:eastAsia="en-GB"/>
        </w:rPr>
        <w:t xml:space="preserve"> </w:t>
      </w:r>
      <w:r w:rsidRPr="009C32CF">
        <w:rPr>
          <w:lang w:val="en-IE" w:eastAsia="en-GB"/>
        </w:rPr>
        <w:t>combination evidence-based medical therapy after acute coronary syndromes on</w:t>
      </w:r>
      <w:r>
        <w:rPr>
          <w:lang w:val="en-IE" w:eastAsia="en-GB"/>
        </w:rPr>
        <w:t xml:space="preserve"> </w:t>
      </w:r>
      <w:r w:rsidRPr="009C32CF">
        <w:rPr>
          <w:lang w:val="en-IE" w:eastAsia="en-GB"/>
        </w:rPr>
        <w:t>long-term outcomes.</w:t>
      </w:r>
      <w:r>
        <w:rPr>
          <w:lang w:val="en-IE" w:eastAsia="en-GB"/>
        </w:rPr>
        <w:t xml:space="preserve"> Am J Cardiol 2012</w:t>
      </w:r>
      <w:r w:rsidRPr="009C32CF">
        <w:rPr>
          <w:lang w:val="en-IE" w:eastAsia="en-GB"/>
        </w:rPr>
        <w:t>;</w:t>
      </w:r>
      <w:r>
        <w:rPr>
          <w:lang w:val="en-IE" w:eastAsia="en-GB"/>
        </w:rPr>
        <w:t xml:space="preserve"> </w:t>
      </w:r>
      <w:r w:rsidRPr="009C32CF">
        <w:rPr>
          <w:lang w:val="en-IE" w:eastAsia="en-GB"/>
        </w:rPr>
        <w:t>109(2):</w:t>
      </w:r>
      <w:r>
        <w:rPr>
          <w:lang w:val="en-IE" w:eastAsia="en-GB"/>
        </w:rPr>
        <w:t xml:space="preserve"> </w:t>
      </w:r>
      <w:r w:rsidRPr="009C32CF">
        <w:rPr>
          <w:lang w:val="en-IE" w:eastAsia="en-GB"/>
        </w:rPr>
        <w:t>159-64. PubMed PMID: 22011560.</w:t>
      </w:r>
    </w:p>
    <w:p w:rsidR="00851DC2" w:rsidRPr="009C32C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9C32C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9C32CF">
        <w:rPr>
          <w:lang w:val="en-IE" w:eastAsia="en-GB"/>
        </w:rPr>
        <w:t>A6 (iv): Dagenais GR, Pogue J, Fox K, Simoons ML, Yusuf S.</w:t>
      </w:r>
      <w:r>
        <w:rPr>
          <w:lang w:val="en-IE" w:eastAsia="en-GB"/>
        </w:rPr>
        <w:t xml:space="preserve"> </w:t>
      </w:r>
      <w:r w:rsidRPr="009C32CF">
        <w:rPr>
          <w:lang w:val="en-IE" w:eastAsia="en-GB"/>
        </w:rPr>
        <w:t>Angiotensin-converting-enzyme inhibitors in stable vascular disease without left  ventricular systolic dysfunction or heart failure: a combined a</w:t>
      </w:r>
      <w:r>
        <w:rPr>
          <w:lang w:val="en-IE" w:eastAsia="en-GB"/>
        </w:rPr>
        <w:t>nalysis of three trials. Lancet 2006</w:t>
      </w:r>
      <w:r w:rsidRPr="009C32CF">
        <w:rPr>
          <w:lang w:val="en-IE" w:eastAsia="en-GB"/>
        </w:rPr>
        <w:t>;</w:t>
      </w:r>
      <w:r>
        <w:rPr>
          <w:lang w:val="en-IE" w:eastAsia="en-GB"/>
        </w:rPr>
        <w:t xml:space="preserve"> </w:t>
      </w:r>
      <w:r w:rsidRPr="009C32CF">
        <w:rPr>
          <w:lang w:val="en-IE" w:eastAsia="en-GB"/>
        </w:rPr>
        <w:t>368(9535):</w:t>
      </w:r>
      <w:r>
        <w:rPr>
          <w:lang w:val="en-IE" w:eastAsia="en-GB"/>
        </w:rPr>
        <w:t xml:space="preserve"> </w:t>
      </w:r>
      <w:r w:rsidRPr="009C32CF">
        <w:rPr>
          <w:lang w:val="en-IE" w:eastAsia="en-GB"/>
        </w:rPr>
        <w:t xml:space="preserve">581-8. </w:t>
      </w:r>
      <w:proofErr w:type="gramStart"/>
      <w:r w:rsidRPr="009C32CF">
        <w:rPr>
          <w:lang w:val="en-IE" w:eastAsia="en-GB"/>
        </w:rPr>
        <w:t>Review.</w:t>
      </w:r>
      <w:proofErr w:type="gramEnd"/>
      <w:r w:rsidRPr="009C32CF">
        <w:rPr>
          <w:lang w:val="en-IE" w:eastAsia="en-GB"/>
        </w:rPr>
        <w:t xml:space="preserve"> PubMed PMID: 16905022.</w:t>
      </w:r>
    </w:p>
    <w:p w:rsidR="00851DC2" w:rsidRPr="009C32C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9C32C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9C32CF">
        <w:rPr>
          <w:lang w:val="en-IE" w:eastAsia="en-GB"/>
        </w:rPr>
        <w:t>A6 (v): Danchin N, Cucherat M, Thuillez C, Durand E, Kadri Z, Steg PG.</w:t>
      </w:r>
      <w:r>
        <w:rPr>
          <w:lang w:val="en-IE" w:eastAsia="en-GB"/>
        </w:rPr>
        <w:t xml:space="preserve"> </w:t>
      </w:r>
      <w:r w:rsidRPr="009C32CF">
        <w:rPr>
          <w:lang w:val="en-IE" w:eastAsia="en-GB"/>
        </w:rPr>
        <w:t>Angiotensin-converting enzyme inhibitors in patients with coronary artery disease</w:t>
      </w:r>
      <w:r>
        <w:rPr>
          <w:lang w:val="en-IE" w:eastAsia="en-GB"/>
        </w:rPr>
        <w:t xml:space="preserve"> </w:t>
      </w:r>
      <w:r w:rsidRPr="009C32CF">
        <w:rPr>
          <w:lang w:val="en-IE" w:eastAsia="en-GB"/>
        </w:rPr>
        <w:t>and absence of heart failure or left ventricular systolic dysfunction: an</w:t>
      </w:r>
      <w:r>
        <w:rPr>
          <w:lang w:val="en-IE" w:eastAsia="en-GB"/>
        </w:rPr>
        <w:t xml:space="preserve"> </w:t>
      </w:r>
      <w:r w:rsidRPr="009C32CF">
        <w:rPr>
          <w:lang w:val="en-IE" w:eastAsia="en-GB"/>
        </w:rPr>
        <w:t>overview of long-term randomized con</w:t>
      </w:r>
      <w:r>
        <w:rPr>
          <w:lang w:val="en-IE" w:eastAsia="en-GB"/>
        </w:rPr>
        <w:t>trolled trials. Arch Intern Med 2006</w:t>
      </w:r>
      <w:r w:rsidRPr="009C32CF">
        <w:rPr>
          <w:lang w:val="en-IE" w:eastAsia="en-GB"/>
        </w:rPr>
        <w:t>;</w:t>
      </w:r>
      <w:r>
        <w:rPr>
          <w:lang w:val="en-IE" w:eastAsia="en-GB"/>
        </w:rPr>
        <w:t xml:space="preserve"> </w:t>
      </w:r>
      <w:r w:rsidRPr="009C32CF">
        <w:rPr>
          <w:lang w:val="en-IE" w:eastAsia="en-GB"/>
        </w:rPr>
        <w:t>166(7):</w:t>
      </w:r>
      <w:r>
        <w:rPr>
          <w:lang w:val="en-IE" w:eastAsia="en-GB"/>
        </w:rPr>
        <w:t xml:space="preserve"> </w:t>
      </w:r>
      <w:r w:rsidRPr="009C32CF">
        <w:rPr>
          <w:lang w:val="en-IE" w:eastAsia="en-GB"/>
        </w:rPr>
        <w:t>787-96. PubMed PMID: 16606817.</w:t>
      </w:r>
    </w:p>
    <w:p w:rsidR="00851DC2" w:rsidRPr="009C32C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9C32C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9C32CF">
        <w:rPr>
          <w:lang w:val="en-IE" w:eastAsia="en-GB"/>
        </w:rPr>
        <w:t>A6 (</w:t>
      </w:r>
      <w:proofErr w:type="gramStart"/>
      <w:r w:rsidRPr="009C32CF">
        <w:rPr>
          <w:lang w:val="en-IE" w:eastAsia="en-GB"/>
        </w:rPr>
        <w:t>vi</w:t>
      </w:r>
      <w:proofErr w:type="gramEnd"/>
      <w:r w:rsidRPr="009C32CF">
        <w:rPr>
          <w:lang w:val="en-IE" w:eastAsia="en-GB"/>
        </w:rPr>
        <w:t>): McAlister FA; Renin Angiotension System Modulator Meta-Analysis Investigators.</w:t>
      </w:r>
      <w:r>
        <w:rPr>
          <w:lang w:val="en-IE" w:eastAsia="en-GB"/>
        </w:rPr>
        <w:t xml:space="preserve"> </w:t>
      </w:r>
      <w:r w:rsidRPr="009C32CF">
        <w:rPr>
          <w:lang w:val="en-IE" w:eastAsia="en-GB"/>
        </w:rPr>
        <w:t>Angiotensin-converting enzyme inhibitors or angiotensin receptor blockers are</w:t>
      </w:r>
      <w:r>
        <w:rPr>
          <w:lang w:val="en-IE" w:eastAsia="en-GB"/>
        </w:rPr>
        <w:t xml:space="preserve"> </w:t>
      </w:r>
      <w:r w:rsidRPr="009C32CF">
        <w:rPr>
          <w:lang w:val="en-IE" w:eastAsia="en-GB"/>
        </w:rPr>
        <w:t>beneficial in normotensive atherosclerotic patients: a collaborative</w:t>
      </w:r>
      <w:r>
        <w:rPr>
          <w:lang w:val="en-IE" w:eastAsia="en-GB"/>
        </w:rPr>
        <w:t xml:space="preserve"> </w:t>
      </w:r>
      <w:r w:rsidRPr="009C32CF">
        <w:rPr>
          <w:lang w:val="en-IE" w:eastAsia="en-GB"/>
        </w:rPr>
        <w:t>meta-analysis of</w:t>
      </w:r>
      <w:r>
        <w:rPr>
          <w:lang w:val="en-IE" w:eastAsia="en-GB"/>
        </w:rPr>
        <w:t xml:space="preserve"> randomized trials. Eur Heart J 2012</w:t>
      </w:r>
      <w:r w:rsidRPr="009C32CF">
        <w:rPr>
          <w:lang w:val="en-IE" w:eastAsia="en-GB"/>
        </w:rPr>
        <w:t>;</w:t>
      </w:r>
      <w:r>
        <w:rPr>
          <w:lang w:val="en-IE" w:eastAsia="en-GB"/>
        </w:rPr>
        <w:t xml:space="preserve"> </w:t>
      </w:r>
      <w:r w:rsidRPr="009C32CF">
        <w:rPr>
          <w:lang w:val="en-IE" w:eastAsia="en-GB"/>
        </w:rPr>
        <w:t>33(4):</w:t>
      </w:r>
      <w:r>
        <w:rPr>
          <w:lang w:val="en-IE" w:eastAsia="en-GB"/>
        </w:rPr>
        <w:t xml:space="preserve"> </w:t>
      </w:r>
      <w:r w:rsidRPr="009C32CF">
        <w:rPr>
          <w:lang w:val="en-IE" w:eastAsia="en-GB"/>
        </w:rPr>
        <w:t>505-14. PubMed PMID: 22041554.</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496643">
        <w:rPr>
          <w:b/>
          <w:bCs/>
          <w:lang w:eastAsia="en-GB"/>
        </w:rPr>
        <w:t xml:space="preserve">A7. </w:t>
      </w:r>
      <w:proofErr w:type="gramStart"/>
      <w:r w:rsidRPr="00496643">
        <w:rPr>
          <w:b/>
          <w:bCs/>
          <w:lang w:eastAsia="en-GB"/>
        </w:rPr>
        <w:t>Beta-blocker with ischaemic heart disease.</w:t>
      </w:r>
      <w:proofErr w:type="gramEnd"/>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496643">
        <w:rPr>
          <w:lang w:val="en-IE" w:eastAsia="en-GB"/>
        </w:rPr>
        <w:t>A7 (i): Gibbons RJ, Abrams J, Chatterjee K, Daley J, Deedwania PC, Douglas JS</w:t>
      </w:r>
      <w:proofErr w:type="gramStart"/>
      <w:r w:rsidRPr="00496643">
        <w:rPr>
          <w:lang w:val="en-IE" w:eastAsia="en-GB"/>
        </w:rPr>
        <w:t>,Ferguson</w:t>
      </w:r>
      <w:proofErr w:type="gramEnd"/>
      <w:r w:rsidRPr="00496643">
        <w:rPr>
          <w:lang w:val="en-IE" w:eastAsia="en-GB"/>
        </w:rPr>
        <w:t xml:space="preserve"> TB Jr, Fihn SD, Fraker TD Jr, Gardin JM, O'Rourke RA, Pasternak RC,Williams SV, Gibbons RJ, Alpert JS, Antman EM, Hiratzka LF, Fuster V, Faxon DP,Gregoratos G, Jacobs AK, Smith SC Jr; American College of Cardiology; American</w:t>
      </w:r>
      <w:r>
        <w:rPr>
          <w:lang w:val="en-IE" w:eastAsia="en-GB"/>
        </w:rPr>
        <w:t xml:space="preserve"> </w:t>
      </w:r>
      <w:r w:rsidRPr="00496643">
        <w:rPr>
          <w:lang w:val="en-IE" w:eastAsia="en-GB"/>
        </w:rPr>
        <w:t xml:space="preserve">Heart Association Task Force on Practice Guidelines. Committee on the Management of Patients </w:t>
      </w:r>
      <w:proofErr w:type="gramStart"/>
      <w:r w:rsidRPr="00496643">
        <w:rPr>
          <w:lang w:val="en-IE" w:eastAsia="en-GB"/>
        </w:rPr>
        <w:t>With</w:t>
      </w:r>
      <w:proofErr w:type="gramEnd"/>
      <w:r w:rsidRPr="00496643">
        <w:rPr>
          <w:lang w:val="en-IE" w:eastAsia="en-GB"/>
        </w:rPr>
        <w:t xml:space="preserve"> Chronic Stable Angina. ACC/AHA 2002 guideline update for the</w:t>
      </w:r>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496643">
        <w:rPr>
          <w:lang w:val="en-IE" w:eastAsia="en-GB"/>
        </w:rPr>
        <w:t>management</w:t>
      </w:r>
      <w:proofErr w:type="gramEnd"/>
      <w:r w:rsidRPr="00496643">
        <w:rPr>
          <w:lang w:val="en-IE" w:eastAsia="en-GB"/>
        </w:rPr>
        <w:t xml:space="preserve"> of patie</w:t>
      </w:r>
      <w:r>
        <w:rPr>
          <w:lang w:val="en-IE" w:eastAsia="en-GB"/>
        </w:rPr>
        <w:t xml:space="preserve">nts with chronic stable angina - </w:t>
      </w:r>
      <w:r w:rsidRPr="00496643">
        <w:rPr>
          <w:lang w:val="en-IE" w:eastAsia="en-GB"/>
        </w:rPr>
        <w:t>summary article: a report of</w:t>
      </w:r>
      <w:r>
        <w:rPr>
          <w:lang w:val="en-IE" w:eastAsia="en-GB"/>
        </w:rPr>
        <w:t xml:space="preserve"> </w:t>
      </w:r>
      <w:r w:rsidRPr="00496643">
        <w:rPr>
          <w:lang w:val="en-IE" w:eastAsia="en-GB"/>
        </w:rPr>
        <w:t>the American College of Cardiology/American Heart Association Task Force on</w:t>
      </w:r>
      <w:r>
        <w:rPr>
          <w:lang w:val="en-IE" w:eastAsia="en-GB"/>
        </w:rPr>
        <w:t xml:space="preserve"> </w:t>
      </w:r>
      <w:r w:rsidRPr="00496643">
        <w:rPr>
          <w:lang w:val="en-IE" w:eastAsia="en-GB"/>
        </w:rPr>
        <w:t xml:space="preserve">Practice Guidelines (Committee on the Management of Patients With Chronic Stable </w:t>
      </w:r>
      <w:r>
        <w:rPr>
          <w:lang w:val="en-IE" w:eastAsia="en-GB"/>
        </w:rPr>
        <w:t xml:space="preserve">Angina). Circulation </w:t>
      </w:r>
      <w:proofErr w:type="gramStart"/>
      <w:r>
        <w:rPr>
          <w:lang w:val="en-IE" w:eastAsia="en-GB"/>
        </w:rPr>
        <w:t xml:space="preserve">2003 </w:t>
      </w:r>
      <w:r w:rsidRPr="00496643">
        <w:rPr>
          <w:lang w:val="en-IE" w:eastAsia="en-GB"/>
        </w:rPr>
        <w:t>;</w:t>
      </w:r>
      <w:proofErr w:type="gramEnd"/>
      <w:r>
        <w:rPr>
          <w:lang w:val="en-IE" w:eastAsia="en-GB"/>
        </w:rPr>
        <w:t xml:space="preserve"> </w:t>
      </w:r>
      <w:r w:rsidRPr="00496643">
        <w:rPr>
          <w:lang w:val="en-IE" w:eastAsia="en-GB"/>
        </w:rPr>
        <w:t>107(1):</w:t>
      </w:r>
      <w:r>
        <w:rPr>
          <w:lang w:val="en-IE" w:eastAsia="en-GB"/>
        </w:rPr>
        <w:t xml:space="preserve"> </w:t>
      </w:r>
      <w:r w:rsidRPr="00496643">
        <w:rPr>
          <w:lang w:val="en-IE" w:eastAsia="en-GB"/>
        </w:rPr>
        <w:t>149-58. PubMed PMID: 12515758.</w:t>
      </w:r>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496643">
        <w:rPr>
          <w:lang w:val="en-IE" w:eastAsia="en-GB"/>
        </w:rPr>
        <w:lastRenderedPageBreak/>
        <w:t xml:space="preserve">A7 (ii): Bangalore S, Messerli FH, Kostis JB, </w:t>
      </w:r>
      <w:proofErr w:type="gramStart"/>
      <w:r w:rsidRPr="00496643">
        <w:rPr>
          <w:lang w:val="en-IE" w:eastAsia="en-GB"/>
        </w:rPr>
        <w:t>Pepine</w:t>
      </w:r>
      <w:proofErr w:type="gramEnd"/>
      <w:r w:rsidRPr="00496643">
        <w:rPr>
          <w:lang w:val="en-IE" w:eastAsia="en-GB"/>
        </w:rPr>
        <w:t xml:space="preserve"> CJ. Cardiovascular protection</w:t>
      </w:r>
      <w:r>
        <w:rPr>
          <w:lang w:val="en-IE" w:eastAsia="en-GB"/>
        </w:rPr>
        <w:t xml:space="preserve"> </w:t>
      </w:r>
      <w:r w:rsidRPr="00496643">
        <w:rPr>
          <w:lang w:val="en-IE" w:eastAsia="en-GB"/>
        </w:rPr>
        <w:t xml:space="preserve">using beta-blockers: a critical review of </w:t>
      </w:r>
      <w:r>
        <w:rPr>
          <w:lang w:val="en-IE" w:eastAsia="en-GB"/>
        </w:rPr>
        <w:t>the evidence. J Am Coll Cardiol 2007</w:t>
      </w:r>
      <w:proofErr w:type="gramStart"/>
      <w:r w:rsidRPr="00496643">
        <w:rPr>
          <w:lang w:val="en-IE" w:eastAsia="en-GB"/>
        </w:rPr>
        <w:t>;</w:t>
      </w:r>
      <w:r>
        <w:rPr>
          <w:lang w:val="en-IE" w:eastAsia="en-GB"/>
        </w:rPr>
        <w:t xml:space="preserve">  </w:t>
      </w:r>
      <w:r w:rsidRPr="00496643">
        <w:rPr>
          <w:lang w:val="en-IE" w:eastAsia="en-GB"/>
        </w:rPr>
        <w:t>50</w:t>
      </w:r>
      <w:proofErr w:type="gramEnd"/>
      <w:r w:rsidRPr="00496643">
        <w:rPr>
          <w:lang w:val="en-IE" w:eastAsia="en-GB"/>
        </w:rPr>
        <w:t>(7):</w:t>
      </w:r>
      <w:r>
        <w:rPr>
          <w:lang w:val="en-IE" w:eastAsia="en-GB"/>
        </w:rPr>
        <w:t xml:space="preserve"> </w:t>
      </w:r>
      <w:r w:rsidRPr="00496643">
        <w:rPr>
          <w:lang w:val="en-IE" w:eastAsia="en-GB"/>
        </w:rPr>
        <w:t>563-72</w:t>
      </w:r>
      <w:r>
        <w:rPr>
          <w:lang w:val="en-IE" w:eastAsia="en-GB"/>
        </w:rPr>
        <w:t xml:space="preserve">. </w:t>
      </w:r>
      <w:proofErr w:type="gramStart"/>
      <w:r w:rsidRPr="00496643">
        <w:rPr>
          <w:lang w:val="en-IE" w:eastAsia="en-GB"/>
        </w:rPr>
        <w:t>Review.</w:t>
      </w:r>
      <w:proofErr w:type="gramEnd"/>
      <w:r w:rsidRPr="00496643">
        <w:rPr>
          <w:lang w:val="en-IE" w:eastAsia="en-GB"/>
        </w:rPr>
        <w:t xml:space="preserve"> PubMed PMID: 17692739.</w:t>
      </w:r>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496643">
        <w:rPr>
          <w:lang w:val="en-IE" w:eastAsia="en-GB"/>
        </w:rPr>
        <w:t xml:space="preserve">A7 (iii): Rasmussen JN, Chong A, </w:t>
      </w:r>
      <w:proofErr w:type="gramStart"/>
      <w:r w:rsidRPr="00496643">
        <w:rPr>
          <w:lang w:val="en-IE" w:eastAsia="en-GB"/>
        </w:rPr>
        <w:t>Alter</w:t>
      </w:r>
      <w:proofErr w:type="gramEnd"/>
      <w:r w:rsidRPr="00496643">
        <w:rPr>
          <w:lang w:val="en-IE" w:eastAsia="en-GB"/>
        </w:rPr>
        <w:t xml:space="preserve"> DA. </w:t>
      </w:r>
      <w:proofErr w:type="gramStart"/>
      <w:r w:rsidRPr="00496643">
        <w:rPr>
          <w:lang w:val="en-IE" w:eastAsia="en-GB"/>
        </w:rPr>
        <w:t>Relationship between adherence to</w:t>
      </w:r>
      <w:r>
        <w:rPr>
          <w:lang w:val="en-IE" w:eastAsia="en-GB"/>
        </w:rPr>
        <w:t xml:space="preserve"> </w:t>
      </w:r>
      <w:r w:rsidRPr="00496643">
        <w:rPr>
          <w:lang w:val="en-IE" w:eastAsia="en-GB"/>
        </w:rPr>
        <w:t>evidence-based pharmacotherapy and long-term mortality after acute myocard</w:t>
      </w:r>
      <w:r>
        <w:rPr>
          <w:lang w:val="en-IE" w:eastAsia="en-GB"/>
        </w:rPr>
        <w:t>ial infarction.</w:t>
      </w:r>
      <w:proofErr w:type="gramEnd"/>
      <w:r>
        <w:rPr>
          <w:lang w:val="en-IE" w:eastAsia="en-GB"/>
        </w:rPr>
        <w:t xml:space="preserve"> JAMA </w:t>
      </w:r>
      <w:proofErr w:type="gramStart"/>
      <w:r>
        <w:rPr>
          <w:lang w:val="en-IE" w:eastAsia="en-GB"/>
        </w:rPr>
        <w:t xml:space="preserve">2007 </w:t>
      </w:r>
      <w:r w:rsidRPr="00496643">
        <w:rPr>
          <w:lang w:val="en-IE" w:eastAsia="en-GB"/>
        </w:rPr>
        <w:t>;</w:t>
      </w:r>
      <w:proofErr w:type="gramEnd"/>
      <w:r>
        <w:rPr>
          <w:lang w:val="en-IE" w:eastAsia="en-GB"/>
        </w:rPr>
        <w:t xml:space="preserve"> </w:t>
      </w:r>
      <w:r w:rsidRPr="00496643">
        <w:rPr>
          <w:lang w:val="en-IE" w:eastAsia="en-GB"/>
        </w:rPr>
        <w:t>297(2):</w:t>
      </w:r>
      <w:r>
        <w:rPr>
          <w:lang w:val="en-IE" w:eastAsia="en-GB"/>
        </w:rPr>
        <w:t xml:space="preserve"> </w:t>
      </w:r>
      <w:r w:rsidRPr="00496643">
        <w:rPr>
          <w:lang w:val="en-IE" w:eastAsia="en-GB"/>
        </w:rPr>
        <w:t>177-86. PubMed PMID: 17213401.</w:t>
      </w:r>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496643">
        <w:rPr>
          <w:lang w:val="en-IE" w:eastAsia="en-GB"/>
        </w:rPr>
        <w:t>A7 (iv): Everly MJ, Heaton PC, Cluxton RJ Jr. Beta-blocker underuse in secondary</w:t>
      </w:r>
      <w:r>
        <w:rPr>
          <w:lang w:val="en-IE" w:eastAsia="en-GB"/>
        </w:rPr>
        <w:t xml:space="preserve"> </w:t>
      </w:r>
      <w:r w:rsidRPr="00496643">
        <w:rPr>
          <w:lang w:val="en-IE" w:eastAsia="en-GB"/>
        </w:rPr>
        <w:t>prevention of myocardi</w:t>
      </w:r>
      <w:r>
        <w:rPr>
          <w:lang w:val="en-IE" w:eastAsia="en-GB"/>
        </w:rPr>
        <w:t>al infarction. Ann Pharmacother 2004</w:t>
      </w:r>
      <w:r w:rsidRPr="00496643">
        <w:rPr>
          <w:lang w:val="en-IE" w:eastAsia="en-GB"/>
        </w:rPr>
        <w:t>;</w:t>
      </w:r>
      <w:r>
        <w:rPr>
          <w:lang w:val="en-IE" w:eastAsia="en-GB"/>
        </w:rPr>
        <w:t xml:space="preserve"> </w:t>
      </w:r>
      <w:r w:rsidRPr="00496643">
        <w:rPr>
          <w:lang w:val="en-IE" w:eastAsia="en-GB"/>
        </w:rPr>
        <w:t>38(2):</w:t>
      </w:r>
      <w:r>
        <w:rPr>
          <w:lang w:val="en-IE" w:eastAsia="en-GB"/>
        </w:rPr>
        <w:t xml:space="preserve"> </w:t>
      </w:r>
      <w:r w:rsidRPr="00496643">
        <w:rPr>
          <w:lang w:val="en-IE" w:eastAsia="en-GB"/>
        </w:rPr>
        <w:t>286-93.Review. PubMed PMID: 14742768.</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496643">
        <w:rPr>
          <w:b/>
          <w:bCs/>
          <w:lang w:eastAsia="en-GB"/>
        </w:rPr>
        <w:t xml:space="preserve">A8. </w:t>
      </w:r>
      <w:proofErr w:type="gramStart"/>
      <w:r w:rsidRPr="00496643">
        <w:rPr>
          <w:b/>
          <w:bCs/>
          <w:lang w:eastAsia="en-GB"/>
        </w:rPr>
        <w:t>Appropriate beta-blocker (bisoprolol, nebivolol, metoprolol orcarvedilol) with stable systolic heart failure.</w:t>
      </w:r>
      <w:proofErr w:type="gramEnd"/>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496643">
        <w:rPr>
          <w:lang w:val="en-IE" w:eastAsia="en-GB"/>
        </w:rPr>
        <w:t xml:space="preserve">A8 (i): Ambrosio G, Flather MD, Böhm M, Cohen-Solal A, Murrone A, Mascagni F, Spinucci G, Conti MG, van Veldhuisen DJ, Tavazzi L, Coats AJ. </w:t>
      </w:r>
      <w:proofErr w:type="gramStart"/>
      <w:r w:rsidRPr="00496643">
        <w:rPr>
          <w:lang w:val="en-IE" w:eastAsia="en-GB"/>
        </w:rPr>
        <w:t>β-blockade</w:t>
      </w:r>
      <w:proofErr w:type="gramEnd"/>
      <w:r w:rsidRPr="00496643">
        <w:rPr>
          <w:lang w:val="en-IE" w:eastAsia="en-GB"/>
        </w:rPr>
        <w:t xml:space="preserve"> with nebivolol</w:t>
      </w:r>
      <w:r>
        <w:rPr>
          <w:lang w:val="en-IE" w:eastAsia="en-GB"/>
        </w:rPr>
        <w:t xml:space="preserve"> </w:t>
      </w:r>
      <w:r w:rsidRPr="00496643">
        <w:rPr>
          <w:lang w:val="en-IE" w:eastAsia="en-GB"/>
        </w:rPr>
        <w:t xml:space="preserve">for prevention of acute ischaemic events in elderly patients with heart failure. </w:t>
      </w:r>
      <w:r>
        <w:rPr>
          <w:lang w:val="en-IE" w:eastAsia="en-GB"/>
        </w:rPr>
        <w:t>Heart 2011</w:t>
      </w:r>
      <w:r w:rsidRPr="00496643">
        <w:rPr>
          <w:lang w:val="en-IE" w:eastAsia="en-GB"/>
        </w:rPr>
        <w:t>;</w:t>
      </w:r>
      <w:r>
        <w:rPr>
          <w:lang w:val="en-IE" w:eastAsia="en-GB"/>
        </w:rPr>
        <w:t xml:space="preserve"> </w:t>
      </w:r>
      <w:r w:rsidRPr="00496643">
        <w:rPr>
          <w:lang w:val="en-IE" w:eastAsia="en-GB"/>
        </w:rPr>
        <w:t>97(3):</w:t>
      </w:r>
      <w:r>
        <w:rPr>
          <w:lang w:val="en-IE" w:eastAsia="en-GB"/>
        </w:rPr>
        <w:t xml:space="preserve"> </w:t>
      </w:r>
      <w:r w:rsidRPr="00496643">
        <w:rPr>
          <w:lang w:val="en-IE" w:eastAsia="en-GB"/>
        </w:rPr>
        <w:t>209-14. PubMed PMID: 21138861.</w:t>
      </w:r>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496643">
        <w:rPr>
          <w:lang w:val="en-IE" w:eastAsia="en-GB"/>
        </w:rPr>
        <w:t>A8 (ii): Lipsic E, van Veldhuisen DJ. Nebivolol in chronic heart failure: current</w:t>
      </w:r>
      <w:r>
        <w:rPr>
          <w:lang w:val="en-IE" w:eastAsia="en-GB"/>
        </w:rPr>
        <w:t xml:space="preserve"> </w:t>
      </w:r>
      <w:r w:rsidRPr="00496643">
        <w:rPr>
          <w:lang w:val="en-IE" w:eastAsia="en-GB"/>
        </w:rPr>
        <w:t>evidence and future perspec</w:t>
      </w:r>
      <w:r>
        <w:rPr>
          <w:lang w:val="en-IE" w:eastAsia="en-GB"/>
        </w:rPr>
        <w:t>tives. Expert Opin Pharmacother 2010</w:t>
      </w:r>
      <w:r w:rsidRPr="00496643">
        <w:rPr>
          <w:lang w:val="en-IE" w:eastAsia="en-GB"/>
        </w:rPr>
        <w:t>;</w:t>
      </w:r>
      <w:r>
        <w:rPr>
          <w:lang w:val="en-IE" w:eastAsia="en-GB"/>
        </w:rPr>
        <w:t xml:space="preserve"> </w:t>
      </w:r>
      <w:r w:rsidRPr="00496643">
        <w:rPr>
          <w:lang w:val="en-IE" w:eastAsia="en-GB"/>
        </w:rPr>
        <w:t>11(6):</w:t>
      </w:r>
      <w:r>
        <w:rPr>
          <w:lang w:val="en-IE" w:eastAsia="en-GB"/>
        </w:rPr>
        <w:t xml:space="preserve"> </w:t>
      </w:r>
      <w:r w:rsidRPr="00496643">
        <w:rPr>
          <w:lang w:val="en-IE" w:eastAsia="en-GB"/>
        </w:rPr>
        <w:t xml:space="preserve">983-92. </w:t>
      </w:r>
      <w:proofErr w:type="gramStart"/>
      <w:r w:rsidRPr="00496643">
        <w:rPr>
          <w:lang w:val="en-IE" w:eastAsia="en-GB"/>
        </w:rPr>
        <w:t>Review.</w:t>
      </w:r>
      <w:proofErr w:type="gramEnd"/>
      <w:r w:rsidRPr="00496643">
        <w:rPr>
          <w:lang w:val="en-IE" w:eastAsia="en-GB"/>
        </w:rPr>
        <w:t xml:space="preserve"> PubMed PMID: 20307222.</w:t>
      </w:r>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496643">
        <w:rPr>
          <w:lang w:val="en-IE" w:eastAsia="en-GB"/>
        </w:rPr>
        <w:t xml:space="preserve">A8 (iii): Tangeman HJ, Patterson JH. </w:t>
      </w:r>
      <w:proofErr w:type="gramStart"/>
      <w:r w:rsidRPr="00496643">
        <w:rPr>
          <w:lang w:val="en-IE" w:eastAsia="en-GB"/>
        </w:rPr>
        <w:t>Extended-release metoprolol succinate in chronic</w:t>
      </w:r>
      <w:r>
        <w:rPr>
          <w:lang w:val="en-IE" w:eastAsia="en-GB"/>
        </w:rPr>
        <w:t xml:space="preserve"> </w:t>
      </w:r>
      <w:r w:rsidRPr="00496643">
        <w:rPr>
          <w:lang w:val="en-IE" w:eastAsia="en-GB"/>
        </w:rPr>
        <w:t>heart failure.</w:t>
      </w:r>
      <w:proofErr w:type="gramEnd"/>
      <w:r w:rsidRPr="00496643">
        <w:rPr>
          <w:lang w:val="en-IE" w:eastAsia="en-GB"/>
        </w:rPr>
        <w:t xml:space="preserve"> Ann Pharmaco</w:t>
      </w:r>
      <w:r>
        <w:rPr>
          <w:lang w:val="en-IE" w:eastAsia="en-GB"/>
        </w:rPr>
        <w:t>ther 2003</w:t>
      </w:r>
      <w:r w:rsidRPr="00496643">
        <w:rPr>
          <w:lang w:val="en-IE" w:eastAsia="en-GB"/>
        </w:rPr>
        <w:t>;</w:t>
      </w:r>
      <w:r>
        <w:rPr>
          <w:lang w:val="en-IE" w:eastAsia="en-GB"/>
        </w:rPr>
        <w:t xml:space="preserve"> </w:t>
      </w:r>
      <w:r w:rsidRPr="00496643">
        <w:rPr>
          <w:lang w:val="en-IE" w:eastAsia="en-GB"/>
        </w:rPr>
        <w:t>37(5):</w:t>
      </w:r>
      <w:r>
        <w:rPr>
          <w:lang w:val="en-IE" w:eastAsia="en-GB"/>
        </w:rPr>
        <w:t xml:space="preserve"> </w:t>
      </w:r>
      <w:r w:rsidRPr="00496643">
        <w:rPr>
          <w:lang w:val="en-IE" w:eastAsia="en-GB"/>
        </w:rPr>
        <w:t xml:space="preserve">701-10. </w:t>
      </w:r>
      <w:proofErr w:type="gramStart"/>
      <w:r w:rsidRPr="00496643">
        <w:rPr>
          <w:lang w:val="en-IE" w:eastAsia="en-GB"/>
        </w:rPr>
        <w:t>Review.</w:t>
      </w:r>
      <w:proofErr w:type="gramEnd"/>
      <w:r w:rsidRPr="00496643">
        <w:rPr>
          <w:lang w:val="en-IE" w:eastAsia="en-GB"/>
        </w:rPr>
        <w:t xml:space="preserve"> PubMed PMID</w:t>
      </w:r>
      <w:proofErr w:type="gramStart"/>
      <w:r w:rsidRPr="00496643">
        <w:rPr>
          <w:lang w:val="en-IE" w:eastAsia="en-GB"/>
        </w:rPr>
        <w:t>:12708950</w:t>
      </w:r>
      <w:proofErr w:type="gramEnd"/>
      <w:r w:rsidRPr="00496643">
        <w:rPr>
          <w:lang w:val="en-IE" w:eastAsia="en-GB"/>
        </w:rPr>
        <w:t>.</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246CC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val="en-IE" w:eastAsia="en-GB"/>
        </w:rPr>
      </w:pPr>
      <w:r w:rsidRPr="00246CC3">
        <w:rPr>
          <w:b/>
          <w:bCs/>
          <w:sz w:val="28"/>
          <w:szCs w:val="28"/>
          <w:lang w:val="en-IE" w:eastAsia="en-GB"/>
        </w:rPr>
        <w:t>Section B: Respiratory System criteria</w:t>
      </w:r>
      <w:r>
        <w:rPr>
          <w:b/>
          <w:bCs/>
          <w:sz w:val="28"/>
          <w:szCs w:val="28"/>
          <w:lang w:val="en-IE" w:eastAsia="en-GB"/>
        </w:rPr>
        <w:t>.</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4D4AF4">
        <w:rPr>
          <w:b/>
          <w:bCs/>
          <w:lang w:eastAsia="en-GB"/>
        </w:rPr>
        <w:t xml:space="preserve">B1. </w:t>
      </w:r>
      <w:proofErr w:type="gramStart"/>
      <w:r w:rsidRPr="004D4AF4">
        <w:rPr>
          <w:b/>
          <w:bCs/>
          <w:lang w:eastAsia="en-GB"/>
        </w:rPr>
        <w:t>Regular inhaled beta 2 agonist or antimuscarinic bronchodilator (e.g. ipratropium, tiotropium) for mild to moderate asthma or COPD.</w:t>
      </w:r>
      <w:proofErr w:type="gramEnd"/>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4D4AF4">
        <w:rPr>
          <w:lang w:val="en-IE" w:eastAsia="en-GB"/>
        </w:rPr>
        <w:tab/>
      </w: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4D4AF4">
        <w:rPr>
          <w:lang w:val="en-IE" w:eastAsia="en-GB"/>
        </w:rPr>
        <w:t>B1(</w:t>
      </w:r>
      <w:proofErr w:type="gramEnd"/>
      <w:r w:rsidRPr="004D4AF4">
        <w:rPr>
          <w:lang w:val="en-IE" w:eastAsia="en-GB"/>
        </w:rPr>
        <w:t>i): Pauwels RA, Buist AS, Ma P, Jenkins CR, Hurd SS; GOLD Scientific Committee.</w:t>
      </w:r>
      <w:r>
        <w:rPr>
          <w:lang w:val="en-IE" w:eastAsia="en-GB"/>
        </w:rPr>
        <w:t xml:space="preserve"> </w:t>
      </w:r>
      <w:r w:rsidRPr="004D4AF4">
        <w:rPr>
          <w:lang w:val="en-IE" w:eastAsia="en-GB"/>
        </w:rPr>
        <w:t>Global strategy for the diagnosis, management, and prevention of chronic</w:t>
      </w:r>
      <w:r>
        <w:rPr>
          <w:lang w:val="en-IE" w:eastAsia="en-GB"/>
        </w:rPr>
        <w:t xml:space="preserve"> </w:t>
      </w:r>
      <w:r w:rsidRPr="004D4AF4">
        <w:rPr>
          <w:lang w:val="en-IE" w:eastAsia="en-GB"/>
        </w:rPr>
        <w:t>obstructive pulmonary disease: National Heart, Lung, and Blood Institute and</w:t>
      </w:r>
      <w:r>
        <w:rPr>
          <w:lang w:val="en-IE" w:eastAsia="en-GB"/>
        </w:rPr>
        <w:t xml:space="preserve"> </w:t>
      </w:r>
      <w:r w:rsidRPr="004D4AF4">
        <w:rPr>
          <w:lang w:val="en-IE" w:eastAsia="en-GB"/>
        </w:rPr>
        <w:t>World Health Organization Global Initiative for Chronic Obstructive Lung Disease (GOLD):</w:t>
      </w:r>
      <w:r>
        <w:rPr>
          <w:lang w:val="en-IE" w:eastAsia="en-GB"/>
        </w:rPr>
        <w:t xml:space="preserve"> executive summary. Respir Care 2001</w:t>
      </w:r>
      <w:r w:rsidRPr="004D4AF4">
        <w:rPr>
          <w:lang w:val="en-IE" w:eastAsia="en-GB"/>
        </w:rPr>
        <w:t>;</w:t>
      </w:r>
      <w:r>
        <w:rPr>
          <w:lang w:val="en-IE" w:eastAsia="en-GB"/>
        </w:rPr>
        <w:t xml:space="preserve"> </w:t>
      </w:r>
      <w:r w:rsidRPr="004D4AF4">
        <w:rPr>
          <w:lang w:val="en-IE" w:eastAsia="en-GB"/>
        </w:rPr>
        <w:t>46(8):</w:t>
      </w:r>
      <w:r>
        <w:rPr>
          <w:lang w:val="en-IE" w:eastAsia="en-GB"/>
        </w:rPr>
        <w:t xml:space="preserve"> </w:t>
      </w:r>
      <w:r w:rsidRPr="004D4AF4">
        <w:rPr>
          <w:lang w:val="en-IE" w:eastAsia="en-GB"/>
        </w:rPr>
        <w:t xml:space="preserve">798-825. </w:t>
      </w:r>
      <w:proofErr w:type="gramStart"/>
      <w:r w:rsidRPr="004D4AF4">
        <w:rPr>
          <w:lang w:val="en-IE" w:eastAsia="en-GB"/>
        </w:rPr>
        <w:t>Review.</w:t>
      </w:r>
      <w:proofErr w:type="gramEnd"/>
      <w:r w:rsidRPr="004D4AF4">
        <w:rPr>
          <w:lang w:val="en-IE" w:eastAsia="en-GB"/>
        </w:rPr>
        <w:t xml:space="preserve"> PubMed</w:t>
      </w:r>
      <w:r>
        <w:rPr>
          <w:lang w:val="en-IE" w:eastAsia="en-GB"/>
        </w:rPr>
        <w:t xml:space="preserve"> </w:t>
      </w:r>
      <w:r w:rsidRPr="004D4AF4">
        <w:rPr>
          <w:lang w:val="en-IE" w:eastAsia="en-GB"/>
        </w:rPr>
        <w:t>PMID: 11463370.</w:t>
      </w: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4D4AF4">
        <w:rPr>
          <w:lang w:val="en-IE" w:eastAsia="en-GB"/>
        </w:rPr>
        <w:t>B1(</w:t>
      </w:r>
      <w:proofErr w:type="gramEnd"/>
      <w:r w:rsidRPr="004D4AF4">
        <w:rPr>
          <w:lang w:val="en-IE" w:eastAsia="en-GB"/>
        </w:rPr>
        <w:t>ii): Keating GM. Tiotropium bromide inhalation powder: a review of its use in the</w:t>
      </w:r>
      <w:r>
        <w:rPr>
          <w:lang w:val="en-IE" w:eastAsia="en-GB"/>
        </w:rPr>
        <w:t xml:space="preserve"> </w:t>
      </w:r>
      <w:r w:rsidRPr="004D4AF4">
        <w:rPr>
          <w:lang w:val="en-IE" w:eastAsia="en-GB"/>
        </w:rPr>
        <w:t>management of chronic obstructive pulmonary dise</w:t>
      </w:r>
      <w:r>
        <w:rPr>
          <w:lang w:val="en-IE" w:eastAsia="en-GB"/>
        </w:rPr>
        <w:t>ase. Drugs 2012</w:t>
      </w:r>
      <w:r w:rsidRPr="004D4AF4">
        <w:rPr>
          <w:lang w:val="en-IE" w:eastAsia="en-GB"/>
        </w:rPr>
        <w:t>;</w:t>
      </w:r>
      <w:r>
        <w:rPr>
          <w:lang w:val="en-IE" w:eastAsia="en-GB"/>
        </w:rPr>
        <w:t xml:space="preserve"> </w:t>
      </w:r>
      <w:r w:rsidRPr="004D4AF4">
        <w:rPr>
          <w:lang w:val="en-IE" w:eastAsia="en-GB"/>
        </w:rPr>
        <w:t xml:space="preserve">72(2):273-300. </w:t>
      </w:r>
      <w:proofErr w:type="gramStart"/>
      <w:r w:rsidRPr="004D4AF4">
        <w:rPr>
          <w:lang w:val="en-IE" w:eastAsia="en-GB"/>
        </w:rPr>
        <w:t>Review.</w:t>
      </w:r>
      <w:proofErr w:type="gramEnd"/>
      <w:r w:rsidRPr="004D4AF4">
        <w:rPr>
          <w:lang w:val="en-IE" w:eastAsia="en-GB"/>
        </w:rPr>
        <w:t xml:space="preserve"> PubMed PMID:</w:t>
      </w: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4D4AF4">
        <w:rPr>
          <w:lang w:val="en-IE" w:eastAsia="en-GB"/>
        </w:rPr>
        <w:t>22217233.</w:t>
      </w: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4D4AF4">
        <w:rPr>
          <w:lang w:val="en-IE" w:eastAsia="en-GB"/>
        </w:rPr>
        <w:t>B1(</w:t>
      </w:r>
      <w:proofErr w:type="gramEnd"/>
      <w:r w:rsidRPr="004D4AF4">
        <w:rPr>
          <w:lang w:val="en-IE" w:eastAsia="en-GB"/>
        </w:rPr>
        <w:t>iii): Yohannes AM, Hardy CC. Treatment of chronic obstructive pulmonary disease in</w:t>
      </w:r>
      <w:r>
        <w:rPr>
          <w:lang w:val="en-IE" w:eastAsia="en-GB"/>
        </w:rPr>
        <w:t xml:space="preserve"> </w:t>
      </w:r>
      <w:r w:rsidRPr="004D4AF4">
        <w:rPr>
          <w:lang w:val="en-IE" w:eastAsia="en-GB"/>
        </w:rPr>
        <w:t>older patients: a practical guide. Drugs Aging 2003;</w:t>
      </w:r>
      <w:r>
        <w:rPr>
          <w:lang w:val="en-IE" w:eastAsia="en-GB"/>
        </w:rPr>
        <w:t xml:space="preserve"> </w:t>
      </w:r>
      <w:r w:rsidRPr="004D4AF4">
        <w:rPr>
          <w:lang w:val="en-IE" w:eastAsia="en-GB"/>
        </w:rPr>
        <w:t>20(3):</w:t>
      </w:r>
      <w:r>
        <w:rPr>
          <w:lang w:val="en-IE" w:eastAsia="en-GB"/>
        </w:rPr>
        <w:t xml:space="preserve"> </w:t>
      </w:r>
      <w:r w:rsidRPr="004D4AF4">
        <w:rPr>
          <w:lang w:val="en-IE" w:eastAsia="en-GB"/>
        </w:rPr>
        <w:t xml:space="preserve">209-28. </w:t>
      </w:r>
      <w:proofErr w:type="gramStart"/>
      <w:r w:rsidRPr="004D4AF4">
        <w:rPr>
          <w:lang w:val="en-IE" w:eastAsia="en-GB"/>
        </w:rPr>
        <w:t>Review.</w:t>
      </w:r>
      <w:proofErr w:type="gramEnd"/>
      <w:r w:rsidRPr="004D4AF4">
        <w:rPr>
          <w:lang w:val="en-IE" w:eastAsia="en-GB"/>
        </w:rPr>
        <w:t xml:space="preserve"> PubMed</w:t>
      </w:r>
      <w:r>
        <w:rPr>
          <w:lang w:val="en-IE" w:eastAsia="en-GB"/>
        </w:rPr>
        <w:t xml:space="preserve"> </w:t>
      </w:r>
      <w:r w:rsidRPr="004D4AF4">
        <w:rPr>
          <w:lang w:val="en-IE" w:eastAsia="en-GB"/>
        </w:rPr>
        <w:t>PMID: 12578401.</w:t>
      </w: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4D4AF4">
        <w:rPr>
          <w:lang w:val="en-IE" w:eastAsia="en-GB"/>
        </w:rPr>
        <w:t>B1(</w:t>
      </w:r>
      <w:proofErr w:type="gramEnd"/>
      <w:r w:rsidRPr="004D4AF4">
        <w:rPr>
          <w:lang w:val="en-IE" w:eastAsia="en-GB"/>
        </w:rPr>
        <w:t>iv): McCrory DC, Brown CD. Anticholinergic bronchodilators versus beta2-sympathomimetic agents for acute exacerbations of chronic obstructive pulmonary disease</w:t>
      </w:r>
      <w:r>
        <w:rPr>
          <w:lang w:val="en-IE" w:eastAsia="en-GB"/>
        </w:rPr>
        <w:t xml:space="preserve"> </w:t>
      </w:r>
      <w:r w:rsidRPr="004D4AF4">
        <w:rPr>
          <w:lang w:val="en-IE" w:eastAsia="en-GB"/>
        </w:rPr>
        <w:t>Editorial Group: Cochrane Airways Group</w:t>
      </w:r>
      <w:r>
        <w:rPr>
          <w:lang w:val="en-IE" w:eastAsia="en-GB"/>
        </w:rPr>
        <w:t xml:space="preserve"> </w:t>
      </w:r>
      <w:r w:rsidRPr="004D4AF4">
        <w:rPr>
          <w:lang w:val="en-IE" w:eastAsia="en-GB"/>
        </w:rPr>
        <w:t>Published Online: 8 OCT 2008</w:t>
      </w:r>
      <w:r>
        <w:rPr>
          <w:lang w:val="en-IE" w:eastAsia="en-GB"/>
        </w:rPr>
        <w:t xml:space="preserve">. </w:t>
      </w:r>
      <w:r w:rsidRPr="004D4AF4">
        <w:rPr>
          <w:lang w:val="en-IE" w:eastAsia="en-GB"/>
        </w:rPr>
        <w:t>Assessed as up-to-date: 3 OCT 2005</w:t>
      </w:r>
      <w:r>
        <w:rPr>
          <w:lang w:val="en-IE" w:eastAsia="en-GB"/>
        </w:rPr>
        <w:t xml:space="preserve"> DOI: </w:t>
      </w:r>
      <w:r w:rsidRPr="004D4AF4">
        <w:rPr>
          <w:lang w:val="en-IE" w:eastAsia="en-GB"/>
        </w:rPr>
        <w:t>10.1002/14651858.CD003900</w:t>
      </w: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4D4AF4">
        <w:rPr>
          <w:b/>
          <w:bCs/>
          <w:lang w:eastAsia="en-GB"/>
        </w:rPr>
        <w:t xml:space="preserve">B2. </w:t>
      </w:r>
      <w:proofErr w:type="gramStart"/>
      <w:r w:rsidRPr="004D4AF4">
        <w:rPr>
          <w:b/>
          <w:bCs/>
          <w:lang w:eastAsia="en-GB"/>
        </w:rPr>
        <w:t>Regular inhaled corticosteroid for moderate-severe asthma or COPD, where FEV1 &lt;50% of predicted value and repeated exacerbations requiring treatment with oral corticosteroids.</w:t>
      </w:r>
      <w:proofErr w:type="gramEnd"/>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4D4AF4">
        <w:rPr>
          <w:lang w:val="en-IE" w:eastAsia="en-GB"/>
        </w:rPr>
        <w:t>B2(i): Spencer S, Evans DJ, Karner C, Cates CJ.</w:t>
      </w:r>
      <w:r>
        <w:rPr>
          <w:lang w:val="en-IE" w:eastAsia="en-GB"/>
        </w:rPr>
        <w:t>Inhaled corticosteroids versus long-acting beta 2</w:t>
      </w:r>
      <w:r w:rsidRPr="004D4AF4">
        <w:rPr>
          <w:lang w:val="en-IE" w:eastAsia="en-GB"/>
        </w:rPr>
        <w:t>-agonists for chronic obstructive pulmonary disease. Co</w:t>
      </w:r>
      <w:r>
        <w:rPr>
          <w:lang w:val="en-IE" w:eastAsia="en-GB"/>
        </w:rPr>
        <w:t xml:space="preserve">chrane </w:t>
      </w:r>
      <w:r w:rsidRPr="004D4AF4">
        <w:rPr>
          <w:lang w:val="en-IE" w:eastAsia="en-GB"/>
        </w:rPr>
        <w:t xml:space="preserve">Database Syst Rev. 2011 Oct </w:t>
      </w:r>
      <w:proofErr w:type="gramStart"/>
      <w:r w:rsidRPr="004D4AF4">
        <w:rPr>
          <w:lang w:val="en-IE" w:eastAsia="en-GB"/>
        </w:rPr>
        <w:t>5;</w:t>
      </w:r>
      <w:proofErr w:type="gramEnd"/>
      <w:r w:rsidRPr="004D4AF4">
        <w:rPr>
          <w:lang w:val="en-IE" w:eastAsia="en-GB"/>
        </w:rPr>
        <w:t xml:space="preserve">(10):CD007033. </w:t>
      </w:r>
      <w:proofErr w:type="gramStart"/>
      <w:r w:rsidRPr="004D4AF4">
        <w:rPr>
          <w:lang w:val="en-IE" w:eastAsia="en-GB"/>
        </w:rPr>
        <w:t>doi</w:t>
      </w:r>
      <w:proofErr w:type="gramEnd"/>
      <w:r w:rsidRPr="004D4AF4">
        <w:rPr>
          <w:lang w:val="en-IE" w:eastAsia="en-GB"/>
        </w:rPr>
        <w:t xml:space="preserve">: </w:t>
      </w:r>
      <w:r>
        <w:rPr>
          <w:lang w:val="en-IE" w:eastAsia="en-GB"/>
        </w:rPr>
        <w:t xml:space="preserve">10.1002/14651858.CD007033.pub2. </w:t>
      </w:r>
      <w:proofErr w:type="gramStart"/>
      <w:r w:rsidRPr="004D4AF4">
        <w:rPr>
          <w:lang w:val="en-IE" w:eastAsia="en-GB"/>
        </w:rPr>
        <w:t>Review.</w:t>
      </w:r>
      <w:proofErr w:type="gramEnd"/>
      <w:r w:rsidRPr="004D4AF4">
        <w:rPr>
          <w:lang w:val="en-IE" w:eastAsia="en-GB"/>
        </w:rPr>
        <w:t xml:space="preserve"> Update</w:t>
      </w:r>
      <w:r>
        <w:rPr>
          <w:lang w:val="en-IE" w:eastAsia="en-GB"/>
        </w:rPr>
        <w:t xml:space="preserve"> in: Cochrane Database Syst Rev </w:t>
      </w:r>
      <w:r w:rsidRPr="004D4AF4">
        <w:rPr>
          <w:lang w:val="en-IE" w:eastAsia="en-GB"/>
        </w:rPr>
        <w:t>2</w:t>
      </w:r>
      <w:r>
        <w:rPr>
          <w:lang w:val="en-IE" w:eastAsia="en-GB"/>
        </w:rPr>
        <w:t xml:space="preserve">011; (12):CD007033. PubMed PMID: </w:t>
      </w:r>
      <w:r w:rsidRPr="004D4AF4">
        <w:rPr>
          <w:lang w:val="en-IE" w:eastAsia="en-GB"/>
        </w:rPr>
        <w:t>21975759.</w:t>
      </w: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4D4AF4">
        <w:rPr>
          <w:lang w:val="en-IE" w:eastAsia="en-GB"/>
        </w:rPr>
        <w:t xml:space="preserve">B2(ii): Gaebel K, McIvor RA, Xie F, Blackhouse G, Robertson D, Assasi N, Hernandez P, </w:t>
      </w: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4D4AF4">
        <w:rPr>
          <w:lang w:val="en-IE" w:eastAsia="en-GB"/>
        </w:rPr>
        <w:t>Goeree R. Triple therapy for the man</w:t>
      </w:r>
      <w:r>
        <w:rPr>
          <w:lang w:val="en-IE" w:eastAsia="en-GB"/>
        </w:rPr>
        <w:t>agement of COPD: a review. COPD 2011</w:t>
      </w:r>
      <w:r w:rsidRPr="004D4AF4">
        <w:rPr>
          <w:lang w:val="en-IE" w:eastAsia="en-GB"/>
        </w:rPr>
        <w:t>;</w:t>
      </w:r>
      <w:r>
        <w:rPr>
          <w:lang w:val="en-IE" w:eastAsia="en-GB"/>
        </w:rPr>
        <w:t xml:space="preserve"> </w:t>
      </w:r>
      <w:r w:rsidRPr="004D4AF4">
        <w:rPr>
          <w:lang w:val="en-IE" w:eastAsia="en-GB"/>
        </w:rPr>
        <w:t>8(3):</w:t>
      </w:r>
      <w:r>
        <w:rPr>
          <w:lang w:val="en-IE" w:eastAsia="en-GB"/>
        </w:rPr>
        <w:t xml:space="preserve"> </w:t>
      </w:r>
      <w:r w:rsidRPr="004D4AF4">
        <w:rPr>
          <w:lang w:val="en-IE" w:eastAsia="en-GB"/>
        </w:rPr>
        <w:t xml:space="preserve">206-43. </w:t>
      </w:r>
      <w:proofErr w:type="gramStart"/>
      <w:r>
        <w:rPr>
          <w:lang w:val="en-IE" w:eastAsia="en-GB"/>
        </w:rPr>
        <w:t>Review.</w:t>
      </w:r>
      <w:proofErr w:type="gramEnd"/>
      <w:r>
        <w:rPr>
          <w:lang w:val="en-IE" w:eastAsia="en-GB"/>
        </w:rPr>
        <w:t xml:space="preserve"> </w:t>
      </w:r>
      <w:r w:rsidRPr="004D4AF4">
        <w:rPr>
          <w:lang w:val="en-IE" w:eastAsia="en-GB"/>
        </w:rPr>
        <w:t>PubMed PMID: 21513437.</w:t>
      </w: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706CB5">
        <w:rPr>
          <w:lang w:val="de-DE" w:eastAsia="en-GB"/>
        </w:rPr>
        <w:t xml:space="preserve">B2(iii): Sutherland ER, Allmers H, Ayas NT, Venn AJ, Martin RJ. </w:t>
      </w:r>
      <w:r w:rsidRPr="004D4AF4">
        <w:rPr>
          <w:lang w:val="en-IE" w:eastAsia="en-GB"/>
        </w:rPr>
        <w:t>Inha</w:t>
      </w:r>
      <w:r>
        <w:rPr>
          <w:lang w:val="en-IE" w:eastAsia="en-GB"/>
        </w:rPr>
        <w:t xml:space="preserve">led corticosteroids </w:t>
      </w:r>
      <w:r w:rsidRPr="004D4AF4">
        <w:rPr>
          <w:lang w:val="en-IE" w:eastAsia="en-GB"/>
        </w:rPr>
        <w:t>reduce the progression of airflow limitation i</w:t>
      </w:r>
      <w:r>
        <w:rPr>
          <w:lang w:val="en-IE" w:eastAsia="en-GB"/>
        </w:rPr>
        <w:t xml:space="preserve">n chronic obstructive pulmonary </w:t>
      </w:r>
      <w:r w:rsidRPr="004D4AF4">
        <w:rPr>
          <w:lang w:val="en-IE" w:eastAsia="en-GB"/>
        </w:rPr>
        <w:t>d</w:t>
      </w:r>
      <w:r>
        <w:rPr>
          <w:lang w:val="en-IE" w:eastAsia="en-GB"/>
        </w:rPr>
        <w:t>isease: a meta-analysis. Thorax 2003</w:t>
      </w:r>
      <w:r w:rsidRPr="004D4AF4">
        <w:rPr>
          <w:lang w:val="en-IE" w:eastAsia="en-GB"/>
        </w:rPr>
        <w:t>;</w:t>
      </w:r>
      <w:r>
        <w:rPr>
          <w:lang w:val="en-IE" w:eastAsia="en-GB"/>
        </w:rPr>
        <w:t xml:space="preserve"> </w:t>
      </w:r>
      <w:r w:rsidRPr="004D4AF4">
        <w:rPr>
          <w:lang w:val="en-IE" w:eastAsia="en-GB"/>
        </w:rPr>
        <w:t>58(11):</w:t>
      </w:r>
      <w:r>
        <w:rPr>
          <w:lang w:val="en-IE" w:eastAsia="en-GB"/>
        </w:rPr>
        <w:t xml:space="preserve"> 937-41. PubMed PMID: 14586043.</w:t>
      </w: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4D4AF4">
        <w:rPr>
          <w:b/>
          <w:bCs/>
          <w:lang w:eastAsia="en-GB"/>
        </w:rPr>
        <w:t xml:space="preserve">B3. </w:t>
      </w:r>
      <w:proofErr w:type="gramStart"/>
      <w:r w:rsidRPr="004D4AF4">
        <w:rPr>
          <w:b/>
          <w:bCs/>
          <w:lang w:eastAsia="en-GB"/>
        </w:rPr>
        <w:t>Home continuous ox</w:t>
      </w:r>
      <w:bookmarkStart w:id="0" w:name="_GoBack"/>
      <w:bookmarkEnd w:id="0"/>
      <w:r w:rsidRPr="004D4AF4">
        <w:rPr>
          <w:b/>
          <w:bCs/>
          <w:lang w:eastAsia="en-GB"/>
        </w:rPr>
        <w:t>ygen with documented chronic hypoxaemia (i.e. pO2 &lt; 8.0 kPa or 60 mmHg or SaO2 &lt; 89%).</w:t>
      </w:r>
      <w:proofErr w:type="gramEnd"/>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4D4AF4">
        <w:rPr>
          <w:lang w:val="en-IE" w:eastAsia="en-GB"/>
        </w:rPr>
        <w:t>B3(</w:t>
      </w:r>
      <w:proofErr w:type="gramEnd"/>
      <w:r w:rsidRPr="004D4AF4">
        <w:rPr>
          <w:lang w:val="en-IE" w:eastAsia="en-GB"/>
        </w:rPr>
        <w:t>i): Cranston JM, Crockett AJ, Moss JR, Alpers JH.</w:t>
      </w:r>
      <w:r>
        <w:rPr>
          <w:lang w:val="en-IE" w:eastAsia="en-GB"/>
        </w:rPr>
        <w:t xml:space="preserve"> </w:t>
      </w:r>
      <w:proofErr w:type="gramStart"/>
      <w:r>
        <w:rPr>
          <w:lang w:val="en-IE" w:eastAsia="en-GB"/>
        </w:rPr>
        <w:t xml:space="preserve">Domiciliary oxygen for chronic </w:t>
      </w:r>
      <w:r w:rsidRPr="004D4AF4">
        <w:rPr>
          <w:lang w:val="en-IE" w:eastAsia="en-GB"/>
        </w:rPr>
        <w:t>obstructive pulmonary disease.</w:t>
      </w:r>
      <w:proofErr w:type="gramEnd"/>
      <w:r w:rsidRPr="004D4AF4">
        <w:rPr>
          <w:lang w:val="en-IE" w:eastAsia="en-GB"/>
        </w:rPr>
        <w:t xml:space="preserve"> Cochr</w:t>
      </w:r>
      <w:r>
        <w:rPr>
          <w:lang w:val="en-IE" w:eastAsia="en-GB"/>
        </w:rPr>
        <w:t xml:space="preserve">ane Database Syst Rev 2005 Oct </w:t>
      </w:r>
      <w:r w:rsidRPr="004D4AF4">
        <w:rPr>
          <w:lang w:val="en-IE" w:eastAsia="en-GB"/>
        </w:rPr>
        <w:t>19;</w:t>
      </w:r>
      <w:r>
        <w:rPr>
          <w:lang w:val="en-IE" w:eastAsia="en-GB"/>
        </w:rPr>
        <w:t xml:space="preserve"> </w:t>
      </w:r>
      <w:r w:rsidRPr="004D4AF4">
        <w:rPr>
          <w:lang w:val="en-IE" w:eastAsia="en-GB"/>
        </w:rPr>
        <w:t xml:space="preserve">(4):CD001744. </w:t>
      </w:r>
      <w:proofErr w:type="gramStart"/>
      <w:r w:rsidRPr="004D4AF4">
        <w:rPr>
          <w:lang w:val="en-IE" w:eastAsia="en-GB"/>
        </w:rPr>
        <w:t>Review.</w:t>
      </w:r>
      <w:proofErr w:type="gramEnd"/>
      <w:r w:rsidRPr="004D4AF4">
        <w:rPr>
          <w:lang w:val="en-IE" w:eastAsia="en-GB"/>
        </w:rPr>
        <w:t xml:space="preserve"> PubMed PMID: 16235285.</w:t>
      </w: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D4AF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4D4AF4">
        <w:rPr>
          <w:lang w:val="en-IE" w:eastAsia="en-GB"/>
        </w:rPr>
        <w:t>B3(</w:t>
      </w:r>
      <w:proofErr w:type="gramEnd"/>
      <w:r w:rsidRPr="004D4AF4">
        <w:rPr>
          <w:lang w:val="en-IE" w:eastAsia="en-GB"/>
        </w:rPr>
        <w:t>ii): Weitzenblum E, Chaouat A, Kessler R. [Long-</w:t>
      </w:r>
      <w:r>
        <w:rPr>
          <w:lang w:val="en-IE" w:eastAsia="en-GB"/>
        </w:rPr>
        <w:t xml:space="preserve">term oxygen therapy for chronic </w:t>
      </w:r>
      <w:r w:rsidRPr="004D4AF4">
        <w:rPr>
          <w:lang w:val="en-IE" w:eastAsia="en-GB"/>
        </w:rPr>
        <w:t xml:space="preserve">respiratory failure. </w:t>
      </w:r>
      <w:proofErr w:type="gramStart"/>
      <w:r w:rsidRPr="004D4AF4">
        <w:rPr>
          <w:lang w:val="en-IE" w:eastAsia="en-GB"/>
        </w:rPr>
        <w:t>Rationale, indications, modal</w:t>
      </w:r>
      <w:r>
        <w:rPr>
          <w:lang w:val="en-IE" w:eastAsia="en-GB"/>
        </w:rPr>
        <w:t>ities].</w:t>
      </w:r>
      <w:proofErr w:type="gramEnd"/>
      <w:r>
        <w:rPr>
          <w:lang w:val="en-IE" w:eastAsia="en-GB"/>
        </w:rPr>
        <w:t xml:space="preserve"> Rev Pneumol Clin 2002</w:t>
      </w:r>
      <w:r w:rsidRPr="004D4AF4">
        <w:rPr>
          <w:lang w:val="en-IE" w:eastAsia="en-GB"/>
        </w:rPr>
        <w:t>;</w:t>
      </w:r>
      <w:r>
        <w:rPr>
          <w:lang w:val="en-IE" w:eastAsia="en-GB"/>
        </w:rPr>
        <w:t xml:space="preserve"> </w:t>
      </w:r>
      <w:r w:rsidRPr="004D4AF4">
        <w:rPr>
          <w:lang w:val="en-IE" w:eastAsia="en-GB"/>
        </w:rPr>
        <w:t>58(4 Pt 1):</w:t>
      </w:r>
      <w:r>
        <w:rPr>
          <w:lang w:val="en-IE" w:eastAsia="en-GB"/>
        </w:rPr>
        <w:t xml:space="preserve"> </w:t>
      </w:r>
      <w:r w:rsidRPr="004D4AF4">
        <w:rPr>
          <w:lang w:val="en-IE" w:eastAsia="en-GB"/>
        </w:rPr>
        <w:t xml:space="preserve">195-212. </w:t>
      </w:r>
      <w:proofErr w:type="gramStart"/>
      <w:r w:rsidRPr="004D4AF4">
        <w:rPr>
          <w:lang w:val="en-IE" w:eastAsia="en-GB"/>
        </w:rPr>
        <w:t>Review.</w:t>
      </w:r>
      <w:proofErr w:type="gramEnd"/>
      <w:r>
        <w:rPr>
          <w:lang w:val="en-IE" w:eastAsia="en-GB"/>
        </w:rPr>
        <w:t xml:space="preserve"> </w:t>
      </w:r>
      <w:proofErr w:type="gramStart"/>
      <w:r w:rsidRPr="004D4AF4">
        <w:rPr>
          <w:lang w:val="en-IE" w:eastAsia="en-GB"/>
        </w:rPr>
        <w:t>French.</w:t>
      </w:r>
      <w:proofErr w:type="gramEnd"/>
      <w:r w:rsidRPr="004D4AF4">
        <w:rPr>
          <w:lang w:val="en-IE" w:eastAsia="en-GB"/>
        </w:rPr>
        <w:t xml:space="preserve"> PubMed PMID: 12407284.</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49664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6F1CA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val="en-IE" w:eastAsia="en-GB"/>
        </w:rPr>
      </w:pPr>
      <w:r w:rsidRPr="006F1CA1">
        <w:rPr>
          <w:b/>
          <w:bCs/>
          <w:sz w:val="28"/>
          <w:szCs w:val="28"/>
          <w:lang w:val="en-IE" w:eastAsia="en-GB"/>
        </w:rPr>
        <w:t>Section C: Central Nervous System &amp; Ophthalmic Criteria.</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3215CE">
        <w:rPr>
          <w:b/>
          <w:bCs/>
          <w:lang w:eastAsia="en-GB"/>
        </w:rPr>
        <w:t xml:space="preserve">C1. </w:t>
      </w:r>
      <w:proofErr w:type="gramStart"/>
      <w:r w:rsidRPr="003215CE">
        <w:rPr>
          <w:b/>
          <w:bCs/>
          <w:lang w:eastAsia="en-GB"/>
        </w:rPr>
        <w:t>L-DOPA or a dopamine agonist in idiopathic Parkinson’s disease with functional impairment and resultant disability.</w:t>
      </w:r>
      <w:proofErr w:type="gramEnd"/>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706CB5">
        <w:rPr>
          <w:lang w:val="sv-SE" w:eastAsia="en-GB"/>
        </w:rPr>
        <w:t xml:space="preserve">C1(i): Marjama-Lyons JM, Koller WC. </w:t>
      </w:r>
      <w:proofErr w:type="gramStart"/>
      <w:r w:rsidRPr="003215CE">
        <w:rPr>
          <w:lang w:val="en-IE" w:eastAsia="en-GB"/>
        </w:rPr>
        <w:t>Parkinson's disease.</w:t>
      </w:r>
      <w:proofErr w:type="gramEnd"/>
      <w:r w:rsidRPr="003215CE">
        <w:rPr>
          <w:lang w:val="en-IE" w:eastAsia="en-GB"/>
        </w:rPr>
        <w:t xml:space="preserve"> Update in diagnosis and</w:t>
      </w:r>
      <w:r>
        <w:rPr>
          <w:lang w:val="en-IE" w:eastAsia="en-GB"/>
        </w:rPr>
        <w:t xml:space="preserve"> symptom management. Geriatrics 2001</w:t>
      </w:r>
      <w:r w:rsidRPr="003215CE">
        <w:rPr>
          <w:lang w:val="en-IE" w:eastAsia="en-GB"/>
        </w:rPr>
        <w:t>;</w:t>
      </w:r>
      <w:r>
        <w:rPr>
          <w:lang w:val="en-IE" w:eastAsia="en-GB"/>
        </w:rPr>
        <w:t xml:space="preserve"> </w:t>
      </w:r>
      <w:r w:rsidRPr="003215CE">
        <w:rPr>
          <w:lang w:val="en-IE" w:eastAsia="en-GB"/>
        </w:rPr>
        <w:t>56(8):</w:t>
      </w:r>
      <w:r>
        <w:rPr>
          <w:lang w:val="en-IE" w:eastAsia="en-GB"/>
        </w:rPr>
        <w:t xml:space="preserve"> </w:t>
      </w:r>
      <w:r w:rsidRPr="003215CE">
        <w:rPr>
          <w:lang w:val="en-IE" w:eastAsia="en-GB"/>
        </w:rPr>
        <w:t xml:space="preserve">24-5, 29-30, 33-5. </w:t>
      </w:r>
      <w:proofErr w:type="gramStart"/>
      <w:r w:rsidRPr="003215CE">
        <w:rPr>
          <w:lang w:val="en-IE" w:eastAsia="en-GB"/>
        </w:rPr>
        <w:t>Review.</w:t>
      </w:r>
      <w:proofErr w:type="gramEnd"/>
      <w:r w:rsidRPr="003215CE">
        <w:rPr>
          <w:lang w:val="en-IE" w:eastAsia="en-GB"/>
        </w:rPr>
        <w:t xml:space="preserve"> PubMed PMID: 11505857.</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3215CE">
        <w:rPr>
          <w:lang w:val="en-IE" w:eastAsia="en-GB"/>
        </w:rPr>
        <w:t>C1(</w:t>
      </w:r>
      <w:proofErr w:type="gramEnd"/>
      <w:r w:rsidRPr="003215CE">
        <w:rPr>
          <w:lang w:val="en-IE" w:eastAsia="en-GB"/>
        </w:rPr>
        <w:t xml:space="preserve">ii): Danisi F. Parkinson's disease. </w:t>
      </w:r>
      <w:proofErr w:type="gramStart"/>
      <w:r w:rsidRPr="003215CE">
        <w:rPr>
          <w:lang w:val="en-IE" w:eastAsia="en-GB"/>
        </w:rPr>
        <w:t>Therapeutic strategies to improve patient</w:t>
      </w:r>
      <w:r>
        <w:rPr>
          <w:lang w:val="en-IE" w:eastAsia="en-GB"/>
        </w:rPr>
        <w:t xml:space="preserve"> </w:t>
      </w:r>
      <w:r w:rsidRPr="003215CE">
        <w:rPr>
          <w:lang w:val="en-IE" w:eastAsia="en-GB"/>
        </w:rPr>
        <w:t>function and qual</w:t>
      </w:r>
      <w:r>
        <w:rPr>
          <w:lang w:val="en-IE" w:eastAsia="en-GB"/>
        </w:rPr>
        <w:t>ity of life.</w:t>
      </w:r>
      <w:proofErr w:type="gramEnd"/>
      <w:r>
        <w:rPr>
          <w:lang w:val="en-IE" w:eastAsia="en-GB"/>
        </w:rPr>
        <w:t xml:space="preserve"> Geriatrics 2002</w:t>
      </w:r>
      <w:r w:rsidRPr="003215CE">
        <w:rPr>
          <w:lang w:val="en-IE" w:eastAsia="en-GB"/>
        </w:rPr>
        <w:t>;</w:t>
      </w:r>
      <w:r>
        <w:rPr>
          <w:lang w:val="en-IE" w:eastAsia="en-GB"/>
        </w:rPr>
        <w:t xml:space="preserve"> </w:t>
      </w:r>
      <w:r w:rsidRPr="003215CE">
        <w:rPr>
          <w:lang w:val="en-IE" w:eastAsia="en-GB"/>
        </w:rPr>
        <w:t>57(3):</w:t>
      </w:r>
      <w:r>
        <w:rPr>
          <w:lang w:val="en-IE" w:eastAsia="en-GB"/>
        </w:rPr>
        <w:t xml:space="preserve"> </w:t>
      </w:r>
      <w:r w:rsidRPr="003215CE">
        <w:rPr>
          <w:lang w:val="en-IE" w:eastAsia="en-GB"/>
        </w:rPr>
        <w:t xml:space="preserve">46-50; quiz 52. </w:t>
      </w:r>
      <w:proofErr w:type="gramStart"/>
      <w:r w:rsidRPr="003215CE">
        <w:rPr>
          <w:lang w:val="en-IE" w:eastAsia="en-GB"/>
        </w:rPr>
        <w:t>Review.</w:t>
      </w:r>
      <w:proofErr w:type="gramEnd"/>
      <w:r w:rsidRPr="003215CE">
        <w:rPr>
          <w:lang w:val="en-IE" w:eastAsia="en-GB"/>
        </w:rPr>
        <w:t xml:space="preserve"> PubMed PMID: 11899548.</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3215CE">
        <w:rPr>
          <w:b/>
          <w:bCs/>
          <w:lang w:eastAsia="en-GB"/>
        </w:rPr>
        <w:t xml:space="preserve">C2. </w:t>
      </w:r>
      <w:proofErr w:type="gramStart"/>
      <w:r w:rsidRPr="003215CE">
        <w:rPr>
          <w:b/>
          <w:bCs/>
          <w:lang w:eastAsia="en-GB"/>
        </w:rPr>
        <w:t>Non-TCA antidepressant drug in the presence of persistent major depressive symptoms.</w:t>
      </w:r>
      <w:proofErr w:type="gramEnd"/>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3215CE">
        <w:rPr>
          <w:lang w:val="en-IE" w:eastAsia="en-GB"/>
        </w:rPr>
        <w:t xml:space="preserve">C2(i): Lebowitz BD, Pearson JL, Schneider LS, Reynolds CF 3rd, Alexopoulos GS, Bruce ML, Conwell Y, Katz IR, Meyers BS, Morrison MF, Mossey J, Niederehe G, ParmeleeP. </w:t>
      </w:r>
      <w:proofErr w:type="gramStart"/>
      <w:r w:rsidRPr="003215CE">
        <w:rPr>
          <w:lang w:val="en-IE" w:eastAsia="en-GB"/>
        </w:rPr>
        <w:t xml:space="preserve">Diagnosis and treatment of depression in late life.Consensus </w:t>
      </w:r>
      <w:r>
        <w:rPr>
          <w:lang w:val="en-IE" w:eastAsia="en-GB"/>
        </w:rPr>
        <w:t>statementupdate.</w:t>
      </w:r>
      <w:proofErr w:type="gramEnd"/>
      <w:r>
        <w:rPr>
          <w:lang w:val="en-IE" w:eastAsia="en-GB"/>
        </w:rPr>
        <w:t xml:space="preserve"> JAMA 1997</w:t>
      </w:r>
      <w:r w:rsidRPr="003215CE">
        <w:rPr>
          <w:lang w:val="en-IE" w:eastAsia="en-GB"/>
        </w:rPr>
        <w:t>;</w:t>
      </w:r>
      <w:r>
        <w:rPr>
          <w:lang w:val="en-IE" w:eastAsia="en-GB"/>
        </w:rPr>
        <w:t xml:space="preserve"> </w:t>
      </w:r>
      <w:r w:rsidRPr="003215CE">
        <w:rPr>
          <w:lang w:val="en-IE" w:eastAsia="en-GB"/>
        </w:rPr>
        <w:t>278(14):</w:t>
      </w:r>
      <w:r>
        <w:rPr>
          <w:lang w:val="en-IE" w:eastAsia="en-GB"/>
        </w:rPr>
        <w:t xml:space="preserve"> </w:t>
      </w:r>
      <w:r w:rsidRPr="003215CE">
        <w:rPr>
          <w:lang w:val="en-IE" w:eastAsia="en-GB"/>
        </w:rPr>
        <w:t xml:space="preserve">1186-90. </w:t>
      </w:r>
      <w:proofErr w:type="gramStart"/>
      <w:r w:rsidRPr="003215CE">
        <w:rPr>
          <w:lang w:val="en-IE" w:eastAsia="en-GB"/>
        </w:rPr>
        <w:t>Review.</w:t>
      </w:r>
      <w:proofErr w:type="gramEnd"/>
      <w:r w:rsidRPr="003215CE">
        <w:rPr>
          <w:lang w:val="en-IE" w:eastAsia="en-GB"/>
        </w:rPr>
        <w:t xml:space="preserve"> PubMed PMID: 9326481.</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3215CE">
        <w:rPr>
          <w:lang w:val="en-IE" w:eastAsia="en-GB"/>
        </w:rPr>
        <w:t>C2(</w:t>
      </w:r>
      <w:proofErr w:type="gramEnd"/>
      <w:r w:rsidRPr="003215CE">
        <w:rPr>
          <w:lang w:val="en-IE" w:eastAsia="en-GB"/>
        </w:rPr>
        <w:t>ii): Mottram P, Wilson K, Strobl J. Antidepressants for depressed elderly. Cochrane</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3215CE">
        <w:rPr>
          <w:lang w:val="en-IE" w:eastAsia="en-GB"/>
        </w:rPr>
        <w:t xml:space="preserve">Database Syst Rev. 2006 Jan </w:t>
      </w:r>
      <w:proofErr w:type="gramStart"/>
      <w:r w:rsidRPr="003215CE">
        <w:rPr>
          <w:lang w:val="en-IE" w:eastAsia="en-GB"/>
        </w:rPr>
        <w:t>25;</w:t>
      </w:r>
      <w:proofErr w:type="gramEnd"/>
      <w:r w:rsidRPr="003215CE">
        <w:rPr>
          <w:lang w:val="en-IE" w:eastAsia="en-GB"/>
        </w:rPr>
        <w:t xml:space="preserve">(1):CD003491. </w:t>
      </w:r>
      <w:proofErr w:type="gramStart"/>
      <w:r w:rsidRPr="003215CE">
        <w:rPr>
          <w:lang w:val="en-IE" w:eastAsia="en-GB"/>
        </w:rPr>
        <w:t>Review.</w:t>
      </w:r>
      <w:proofErr w:type="gramEnd"/>
      <w:r w:rsidRPr="003215CE">
        <w:rPr>
          <w:lang w:val="en-IE" w:eastAsia="en-GB"/>
        </w:rPr>
        <w:t xml:space="preserve"> PubMed PMID: 16437456.</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IE" w:eastAsia="en-GB"/>
        </w:rPr>
      </w:pPr>
      <w:r w:rsidRPr="003215CE">
        <w:rPr>
          <w:b/>
          <w:bCs/>
          <w:lang w:val="en-IE" w:eastAsia="en-GB"/>
        </w:rPr>
        <w:t xml:space="preserve">C3. </w:t>
      </w:r>
      <w:proofErr w:type="gramStart"/>
      <w:r>
        <w:rPr>
          <w:b/>
          <w:bCs/>
          <w:lang w:val="en-IE" w:eastAsia="en-GB"/>
        </w:rPr>
        <w:t>Acetylcholinesterase inhibitor (e.g. donepezil, rivastigmine, galantamine) for mild or moderate Alzheimer’s dementia or Lewy Body dementia (rivastigmine).</w:t>
      </w:r>
      <w:proofErr w:type="gramEnd"/>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IE" w:eastAsia="en-GB"/>
        </w:rPr>
      </w:pPr>
    </w:p>
    <w:p w:rsidR="00851DC2" w:rsidRPr="00EF620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3215CE">
        <w:rPr>
          <w:lang w:val="en-IE" w:eastAsia="en-GB"/>
        </w:rPr>
        <w:t xml:space="preserve">C3(i): Raina P, Santaguida P, Ismaila A, Patterson </w:t>
      </w:r>
      <w:r>
        <w:rPr>
          <w:lang w:val="en-IE" w:eastAsia="en-GB"/>
        </w:rPr>
        <w:t xml:space="preserve">C, Cowan D, Levine M, Booker L, </w:t>
      </w:r>
      <w:r w:rsidRPr="003215CE">
        <w:rPr>
          <w:lang w:val="en-IE" w:eastAsia="en-GB"/>
        </w:rPr>
        <w:t>Oremus M. Effectiveness of cholinesterase inhibi</w:t>
      </w:r>
      <w:r>
        <w:rPr>
          <w:lang w:val="en-IE" w:eastAsia="en-GB"/>
        </w:rPr>
        <w:t xml:space="preserve">tors and memantine for treating </w:t>
      </w:r>
      <w:r w:rsidRPr="003215CE">
        <w:rPr>
          <w:lang w:val="en-IE" w:eastAsia="en-GB"/>
        </w:rPr>
        <w:t xml:space="preserve">dementia: evidence review for a clinical practice guideline. </w:t>
      </w:r>
      <w:r>
        <w:rPr>
          <w:lang w:val="sv-SE" w:eastAsia="en-GB"/>
        </w:rPr>
        <w:t>Ann Intern Med</w:t>
      </w:r>
      <w:r w:rsidRPr="00EF6203">
        <w:rPr>
          <w:lang w:val="sv-SE" w:eastAsia="en-GB"/>
        </w:rPr>
        <w:t xml:space="preserve"> 2008;</w:t>
      </w:r>
      <w:r>
        <w:rPr>
          <w:lang w:val="sv-SE" w:eastAsia="en-GB"/>
        </w:rPr>
        <w:t xml:space="preserve"> </w:t>
      </w:r>
      <w:r w:rsidRPr="00EF6203">
        <w:rPr>
          <w:lang w:val="sv-SE" w:eastAsia="en-GB"/>
        </w:rPr>
        <w:t>148(5):</w:t>
      </w:r>
      <w:r>
        <w:rPr>
          <w:lang w:val="sv-SE" w:eastAsia="en-GB"/>
        </w:rPr>
        <w:t xml:space="preserve"> </w:t>
      </w:r>
      <w:r w:rsidRPr="00EF6203">
        <w:rPr>
          <w:lang w:val="sv-SE" w:eastAsia="en-GB"/>
        </w:rPr>
        <w:t xml:space="preserve">379-97. Review. </w:t>
      </w:r>
      <w:r w:rsidRPr="003215CE">
        <w:rPr>
          <w:lang w:val="en-IE" w:eastAsia="en-GB"/>
        </w:rPr>
        <w:t>PubMed PMID: 18316756.</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3215CE">
        <w:rPr>
          <w:lang w:val="en-IE" w:eastAsia="en-GB"/>
        </w:rPr>
        <w:t>C3(</w:t>
      </w:r>
      <w:proofErr w:type="gramEnd"/>
      <w:r w:rsidRPr="003215CE">
        <w:rPr>
          <w:lang w:val="en-IE" w:eastAsia="en-GB"/>
        </w:rPr>
        <w:t>ii): Birks J. Cholinesterase inhibitors for Alzheime</w:t>
      </w:r>
      <w:r>
        <w:rPr>
          <w:lang w:val="en-IE" w:eastAsia="en-GB"/>
        </w:rPr>
        <w:t>r's disease. Cochrane Database Syst Rev</w:t>
      </w:r>
      <w:r w:rsidRPr="003215CE">
        <w:rPr>
          <w:lang w:val="en-IE" w:eastAsia="en-GB"/>
        </w:rPr>
        <w:t xml:space="preserve"> 2006 Jan </w:t>
      </w:r>
      <w:proofErr w:type="gramStart"/>
      <w:r w:rsidRPr="003215CE">
        <w:rPr>
          <w:lang w:val="en-IE" w:eastAsia="en-GB"/>
        </w:rPr>
        <w:t>25;</w:t>
      </w:r>
      <w:proofErr w:type="gramEnd"/>
      <w:r w:rsidRPr="003215CE">
        <w:rPr>
          <w:lang w:val="en-IE" w:eastAsia="en-GB"/>
        </w:rPr>
        <w:t xml:space="preserve">(1):CD005593. </w:t>
      </w:r>
      <w:proofErr w:type="gramStart"/>
      <w:r w:rsidRPr="003215CE">
        <w:rPr>
          <w:lang w:val="en-IE" w:eastAsia="en-GB"/>
        </w:rPr>
        <w:t>Review.</w:t>
      </w:r>
      <w:proofErr w:type="gramEnd"/>
      <w:r w:rsidRPr="003215CE">
        <w:rPr>
          <w:lang w:val="en-IE" w:eastAsia="en-GB"/>
        </w:rPr>
        <w:t xml:space="preserve"> PubMed PMID: 16437532.</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3215CE">
        <w:rPr>
          <w:lang w:val="en-IE" w:eastAsia="en-GB"/>
        </w:rPr>
        <w:t>C3(iii): Rolinski M, Fox C, Maidment I, McShane R. Cholinest</w:t>
      </w:r>
      <w:r>
        <w:rPr>
          <w:lang w:val="en-IE" w:eastAsia="en-GB"/>
        </w:rPr>
        <w:t xml:space="preserve">erase inhibitors for </w:t>
      </w:r>
      <w:r w:rsidRPr="003215CE">
        <w:rPr>
          <w:lang w:val="en-IE" w:eastAsia="en-GB"/>
        </w:rPr>
        <w:t>dementia with Lewy bodies, Parkinson's disease dem</w:t>
      </w:r>
      <w:r>
        <w:rPr>
          <w:lang w:val="en-IE" w:eastAsia="en-GB"/>
        </w:rPr>
        <w:t xml:space="preserve">entia and cognitive impairment  </w:t>
      </w:r>
      <w:r w:rsidRPr="003215CE">
        <w:rPr>
          <w:lang w:val="en-IE" w:eastAsia="en-GB"/>
        </w:rPr>
        <w:t>in Parkinson's disease. Cochrane Database Syst Rev</w:t>
      </w:r>
      <w:r>
        <w:rPr>
          <w:lang w:val="en-IE" w:eastAsia="en-GB"/>
        </w:rPr>
        <w:t xml:space="preserve"> 2012 Mar 14</w:t>
      </w:r>
      <w:proofErr w:type="gramStart"/>
      <w:r>
        <w:rPr>
          <w:lang w:val="en-IE" w:eastAsia="en-GB"/>
        </w:rPr>
        <w:t>;3:CD006504</w:t>
      </w:r>
      <w:proofErr w:type="gramEnd"/>
      <w:r>
        <w:rPr>
          <w:lang w:val="en-IE" w:eastAsia="en-GB"/>
        </w:rPr>
        <w:t xml:space="preserve">. </w:t>
      </w:r>
      <w:proofErr w:type="gramStart"/>
      <w:r>
        <w:rPr>
          <w:lang w:val="en-IE" w:eastAsia="en-GB"/>
        </w:rPr>
        <w:t>doi</w:t>
      </w:r>
      <w:proofErr w:type="gramEnd"/>
      <w:r>
        <w:rPr>
          <w:lang w:val="en-IE" w:eastAsia="en-GB"/>
        </w:rPr>
        <w:t xml:space="preserve">: </w:t>
      </w:r>
      <w:r w:rsidRPr="003215CE">
        <w:rPr>
          <w:lang w:val="en-IE" w:eastAsia="en-GB"/>
        </w:rPr>
        <w:t xml:space="preserve">10.1002/14651858.CD006504.pub2. </w:t>
      </w:r>
      <w:proofErr w:type="gramStart"/>
      <w:r w:rsidRPr="003215CE">
        <w:rPr>
          <w:lang w:val="en-IE" w:eastAsia="en-GB"/>
        </w:rPr>
        <w:t>Review.</w:t>
      </w:r>
      <w:proofErr w:type="gramEnd"/>
      <w:r w:rsidRPr="003215CE">
        <w:rPr>
          <w:lang w:val="en-IE" w:eastAsia="en-GB"/>
        </w:rPr>
        <w:t xml:space="preserve"> PubMed PMID: 22419314.</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Pr>
          <w:b/>
          <w:bCs/>
          <w:lang w:eastAsia="en-GB"/>
        </w:rPr>
        <w:t>C4</w:t>
      </w:r>
      <w:r w:rsidRPr="003215CE">
        <w:rPr>
          <w:b/>
          <w:bCs/>
          <w:lang w:eastAsia="en-GB"/>
        </w:rPr>
        <w:t xml:space="preserve">. </w:t>
      </w:r>
      <w:proofErr w:type="gramStart"/>
      <w:r w:rsidRPr="003215CE">
        <w:rPr>
          <w:b/>
          <w:bCs/>
          <w:lang w:eastAsia="en-GB"/>
        </w:rPr>
        <w:t>Topical prostaglandin, prostamide or beta-blocker for primary open-angle glaucoma.</w:t>
      </w:r>
      <w:proofErr w:type="gramEnd"/>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Pr>
          <w:lang w:val="en-IE" w:eastAsia="en-GB"/>
        </w:rPr>
        <w:t>C4 (i</w:t>
      </w:r>
      <w:r w:rsidRPr="003215CE">
        <w:rPr>
          <w:lang w:val="en-IE" w:eastAsia="en-GB"/>
        </w:rPr>
        <w:t>): Cheng JW, Li Y, Wei RL. Systematic review of intraocular pressure-loweringeffects of adjunctive medications added to latanoprost. Ophthalmic Res 2009;</w:t>
      </w:r>
      <w:r>
        <w:rPr>
          <w:lang w:val="en-IE" w:eastAsia="en-GB"/>
        </w:rPr>
        <w:t xml:space="preserve"> </w:t>
      </w:r>
      <w:r w:rsidRPr="003215CE">
        <w:rPr>
          <w:lang w:val="en-IE" w:eastAsia="en-GB"/>
        </w:rPr>
        <w:t>42(2):</w:t>
      </w:r>
      <w:r>
        <w:rPr>
          <w:lang w:val="en-IE" w:eastAsia="en-GB"/>
        </w:rPr>
        <w:t xml:space="preserve"> </w:t>
      </w:r>
      <w:r w:rsidRPr="003215CE">
        <w:rPr>
          <w:lang w:val="en-IE" w:eastAsia="en-GB"/>
        </w:rPr>
        <w:t xml:space="preserve">99-105. </w:t>
      </w:r>
      <w:proofErr w:type="gramStart"/>
      <w:r w:rsidRPr="003215CE">
        <w:rPr>
          <w:lang w:val="en-IE" w:eastAsia="en-GB"/>
        </w:rPr>
        <w:t>Review.</w:t>
      </w:r>
      <w:proofErr w:type="gramEnd"/>
      <w:r w:rsidRPr="003215CE">
        <w:rPr>
          <w:lang w:val="en-IE" w:eastAsia="en-GB"/>
        </w:rPr>
        <w:t xml:space="preserve"> PubMed PMID</w:t>
      </w:r>
      <w:proofErr w:type="gramStart"/>
      <w:r w:rsidRPr="003215CE">
        <w:rPr>
          <w:lang w:val="en-IE" w:eastAsia="en-GB"/>
        </w:rPr>
        <w:t>:19546601</w:t>
      </w:r>
      <w:proofErr w:type="gramEnd"/>
      <w:r w:rsidRPr="003215CE">
        <w:rPr>
          <w:lang w:val="en-IE" w:eastAsia="en-GB"/>
        </w:rPr>
        <w:t>.</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Pr>
          <w:lang w:val="en-IE" w:eastAsia="en-GB"/>
        </w:rPr>
        <w:t>C4 (i</w:t>
      </w:r>
      <w:r w:rsidRPr="003215CE">
        <w:rPr>
          <w:lang w:val="en-IE" w:eastAsia="en-GB"/>
        </w:rPr>
        <w:t>i): Aptel F, Cucherat M, Denis P. Efficacy and tolerability of prostaglandin</w:t>
      </w:r>
      <w:r>
        <w:rPr>
          <w:lang w:val="en-IE" w:eastAsia="en-GB"/>
        </w:rPr>
        <w:t xml:space="preserve"> </w:t>
      </w:r>
      <w:r w:rsidRPr="003215CE">
        <w:rPr>
          <w:lang w:val="en-IE" w:eastAsia="en-GB"/>
        </w:rPr>
        <w:t>analogs: a meta-analysis of randomized control</w:t>
      </w:r>
      <w:r>
        <w:rPr>
          <w:lang w:val="en-IE" w:eastAsia="en-GB"/>
        </w:rPr>
        <w:t>led clinical trials. J Glaucom 2008</w:t>
      </w:r>
      <w:r w:rsidRPr="003215CE">
        <w:rPr>
          <w:lang w:val="en-IE" w:eastAsia="en-GB"/>
        </w:rPr>
        <w:t>;</w:t>
      </w:r>
      <w:r>
        <w:rPr>
          <w:lang w:val="en-IE" w:eastAsia="en-GB"/>
        </w:rPr>
        <w:t xml:space="preserve"> </w:t>
      </w:r>
      <w:r w:rsidRPr="003215CE">
        <w:rPr>
          <w:lang w:val="en-IE" w:eastAsia="en-GB"/>
        </w:rPr>
        <w:t>17(8):</w:t>
      </w:r>
      <w:r>
        <w:rPr>
          <w:lang w:val="en-IE" w:eastAsia="en-GB"/>
        </w:rPr>
        <w:t xml:space="preserve"> </w:t>
      </w:r>
      <w:r w:rsidRPr="003215CE">
        <w:rPr>
          <w:lang w:val="en-IE" w:eastAsia="en-GB"/>
        </w:rPr>
        <w:t>667-73. PubMed PMID: 19092464.</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Pr>
          <w:lang w:val="en-IE" w:eastAsia="en-GB"/>
        </w:rPr>
        <w:t>C5 (iii</w:t>
      </w:r>
      <w:r w:rsidRPr="003215CE">
        <w:rPr>
          <w:lang w:val="en-IE" w:eastAsia="en-GB"/>
        </w:rPr>
        <w:t>): Cheng JW, Cheng SW, Gao LD, Lu GC, Wei RL. Intraocul</w:t>
      </w:r>
      <w:r>
        <w:rPr>
          <w:lang w:val="en-IE" w:eastAsia="en-GB"/>
        </w:rPr>
        <w:t xml:space="preserve">ar pressure-lowering effects of </w:t>
      </w:r>
      <w:r w:rsidRPr="003215CE">
        <w:rPr>
          <w:lang w:val="en-IE" w:eastAsia="en-GB"/>
        </w:rPr>
        <w:t>commonly used fixed-combination drugs with timolol:</w:t>
      </w:r>
      <w:r>
        <w:rPr>
          <w:lang w:val="en-IE" w:eastAsia="en-GB"/>
        </w:rPr>
        <w:t xml:space="preserve"> a systematic review and meta-</w:t>
      </w:r>
      <w:r w:rsidRPr="003215CE">
        <w:rPr>
          <w:lang w:val="en-IE" w:eastAsia="en-GB"/>
        </w:rPr>
        <w:t>analysis. PLoS One 2012;</w:t>
      </w:r>
      <w:r>
        <w:rPr>
          <w:lang w:val="en-IE" w:eastAsia="en-GB"/>
        </w:rPr>
        <w:t xml:space="preserve"> </w:t>
      </w:r>
      <w:r w:rsidRPr="003215CE">
        <w:rPr>
          <w:lang w:val="en-IE" w:eastAsia="en-GB"/>
        </w:rPr>
        <w:t>7(9):</w:t>
      </w:r>
      <w:r>
        <w:rPr>
          <w:lang w:val="en-IE" w:eastAsia="en-GB"/>
        </w:rPr>
        <w:t xml:space="preserve"> </w:t>
      </w:r>
      <w:r w:rsidRPr="003215CE">
        <w:rPr>
          <w:lang w:val="en-IE" w:eastAsia="en-GB"/>
        </w:rPr>
        <w:t xml:space="preserve">e45079. </w:t>
      </w:r>
      <w:proofErr w:type="gramStart"/>
      <w:r w:rsidRPr="003215CE">
        <w:rPr>
          <w:lang w:val="en-IE" w:eastAsia="en-GB"/>
        </w:rPr>
        <w:t>Review.</w:t>
      </w:r>
      <w:proofErr w:type="gramEnd"/>
      <w:r w:rsidRPr="003215CE">
        <w:rPr>
          <w:lang w:val="en-IE" w:eastAsia="en-GB"/>
        </w:rPr>
        <w:t xml:space="preserve"> PubMed PMID: 23028770.</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Pr>
          <w:b/>
          <w:bCs/>
          <w:lang w:eastAsia="en-GB"/>
        </w:rPr>
        <w:t>C5</w:t>
      </w:r>
      <w:r w:rsidRPr="003215CE">
        <w:rPr>
          <w:b/>
          <w:bCs/>
          <w:lang w:eastAsia="en-GB"/>
        </w:rPr>
        <w:t xml:space="preserve">. </w:t>
      </w:r>
      <w:proofErr w:type="gramStart"/>
      <w:r w:rsidRPr="003215CE">
        <w:rPr>
          <w:b/>
          <w:bCs/>
          <w:lang w:eastAsia="en-GB"/>
        </w:rPr>
        <w:t>Selective serotonin reuptake inhibitor (or SNRI or pregabalin if SSRI contraindicated) for persistent severe anxiety that interferes with independent functioning.</w:t>
      </w:r>
      <w:proofErr w:type="gramEnd"/>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Pr>
          <w:lang w:val="en-IE" w:eastAsia="en-GB"/>
        </w:rPr>
        <w:t xml:space="preserve">C5 </w:t>
      </w:r>
      <w:r w:rsidRPr="003215CE">
        <w:rPr>
          <w:lang w:val="en-IE" w:eastAsia="en-GB"/>
        </w:rPr>
        <w:t>(i): Ballenger JC. Remission rates in patients with anxiety disorders treated with par</w:t>
      </w:r>
      <w:r>
        <w:rPr>
          <w:lang w:val="en-IE" w:eastAsia="en-GB"/>
        </w:rPr>
        <w:t>oxetine. J Clin Psychiatry</w:t>
      </w:r>
      <w:r w:rsidRPr="003215CE">
        <w:rPr>
          <w:lang w:val="en-IE" w:eastAsia="en-GB"/>
        </w:rPr>
        <w:t xml:space="preserve"> 2004;</w:t>
      </w:r>
      <w:r>
        <w:rPr>
          <w:lang w:val="en-IE" w:eastAsia="en-GB"/>
        </w:rPr>
        <w:t xml:space="preserve"> </w:t>
      </w:r>
      <w:r w:rsidRPr="003215CE">
        <w:rPr>
          <w:lang w:val="en-IE" w:eastAsia="en-GB"/>
        </w:rPr>
        <w:t>65(12):1696-707. PubMed PMID: 15641876.</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Pr>
          <w:lang w:val="en-IE" w:eastAsia="en-GB"/>
        </w:rPr>
        <w:t xml:space="preserve">C5 </w:t>
      </w:r>
      <w:r w:rsidRPr="003215CE">
        <w:rPr>
          <w:lang w:val="en-IE" w:eastAsia="en-GB"/>
        </w:rPr>
        <w:t>(ii): Allgulander C, Hartford J, Russell J, Ball S, Erickson J, Raskin J, Rynn M.Pharmacotherapy of generalized anxiety disorder: results of duloxetine treatment  from a pooled analysis of three cli</w:t>
      </w:r>
      <w:r>
        <w:rPr>
          <w:lang w:val="en-IE" w:eastAsia="en-GB"/>
        </w:rPr>
        <w:t>nical trials. Curr Med Res Opin 2007</w:t>
      </w:r>
      <w:r w:rsidRPr="003215CE">
        <w:rPr>
          <w:lang w:val="en-IE" w:eastAsia="en-GB"/>
        </w:rPr>
        <w:t>;</w:t>
      </w:r>
      <w:r>
        <w:rPr>
          <w:lang w:val="en-IE" w:eastAsia="en-GB"/>
        </w:rPr>
        <w:t xml:space="preserve"> </w:t>
      </w:r>
      <w:r w:rsidRPr="003215CE">
        <w:rPr>
          <w:lang w:val="en-IE" w:eastAsia="en-GB"/>
        </w:rPr>
        <w:t>23(6):</w:t>
      </w:r>
      <w:r>
        <w:rPr>
          <w:lang w:val="en-IE" w:eastAsia="en-GB"/>
        </w:rPr>
        <w:t xml:space="preserve"> </w:t>
      </w:r>
      <w:r w:rsidRPr="003215CE">
        <w:rPr>
          <w:lang w:val="en-IE" w:eastAsia="en-GB"/>
        </w:rPr>
        <w:t>1245-52. PubMed PMID: 17559726.</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Pr>
          <w:lang w:val="en-IE" w:eastAsia="en-GB"/>
        </w:rPr>
        <w:t xml:space="preserve">C5 </w:t>
      </w:r>
      <w:r w:rsidRPr="003215CE">
        <w:rPr>
          <w:lang w:val="en-IE" w:eastAsia="en-GB"/>
        </w:rPr>
        <w:t xml:space="preserve">(iii): Rickels K, Rynn M, Iyengar M, </w:t>
      </w:r>
      <w:proofErr w:type="gramStart"/>
      <w:r w:rsidRPr="003215CE">
        <w:rPr>
          <w:lang w:val="en-IE" w:eastAsia="en-GB"/>
        </w:rPr>
        <w:t>Duff</w:t>
      </w:r>
      <w:proofErr w:type="gramEnd"/>
      <w:r w:rsidRPr="003215CE">
        <w:rPr>
          <w:lang w:val="en-IE" w:eastAsia="en-GB"/>
        </w:rPr>
        <w:t xml:space="preserve"> D. Remission of generalized anxiety</w:t>
      </w:r>
      <w:r>
        <w:rPr>
          <w:lang w:val="en-IE" w:eastAsia="en-GB"/>
        </w:rPr>
        <w:t xml:space="preserve"> </w:t>
      </w:r>
      <w:r w:rsidRPr="003215CE">
        <w:rPr>
          <w:lang w:val="en-IE" w:eastAsia="en-GB"/>
        </w:rPr>
        <w:t>disorder: a review of the paroxetine clinical tri</w:t>
      </w:r>
      <w:r>
        <w:rPr>
          <w:lang w:val="en-IE" w:eastAsia="en-GB"/>
        </w:rPr>
        <w:t>als database. J Clin Psychiatry 2006</w:t>
      </w:r>
      <w:r w:rsidRPr="003215CE">
        <w:rPr>
          <w:lang w:val="en-IE" w:eastAsia="en-GB"/>
        </w:rPr>
        <w:t>;</w:t>
      </w:r>
      <w:r>
        <w:rPr>
          <w:lang w:val="en-IE" w:eastAsia="en-GB"/>
        </w:rPr>
        <w:t xml:space="preserve"> </w:t>
      </w:r>
      <w:r w:rsidRPr="003215CE">
        <w:rPr>
          <w:lang w:val="en-IE" w:eastAsia="en-GB"/>
        </w:rPr>
        <w:t>67(1):</w:t>
      </w:r>
      <w:r>
        <w:rPr>
          <w:lang w:val="en-IE" w:eastAsia="en-GB"/>
        </w:rPr>
        <w:t xml:space="preserve"> </w:t>
      </w:r>
      <w:r w:rsidRPr="003215CE">
        <w:rPr>
          <w:lang w:val="en-IE" w:eastAsia="en-GB"/>
        </w:rPr>
        <w:t>41-7. PubMed PMID: 16426087.</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Pr>
          <w:lang w:val="en-IE" w:eastAsia="en-GB"/>
        </w:rPr>
        <w:t xml:space="preserve">C5 </w:t>
      </w:r>
      <w:r w:rsidRPr="003215CE">
        <w:rPr>
          <w:lang w:val="en-IE" w:eastAsia="en-GB"/>
        </w:rPr>
        <w:t>(</w:t>
      </w:r>
      <w:proofErr w:type="gramStart"/>
      <w:r w:rsidRPr="003215CE">
        <w:rPr>
          <w:lang w:val="en-IE" w:eastAsia="en-GB"/>
        </w:rPr>
        <w:t>iv</w:t>
      </w:r>
      <w:proofErr w:type="gramEnd"/>
      <w:r w:rsidRPr="003215CE">
        <w:rPr>
          <w:lang w:val="en-IE" w:eastAsia="en-GB"/>
        </w:rPr>
        <w:t xml:space="preserve">): National Institute for Health and Clinical Excellence. </w:t>
      </w:r>
      <w:proofErr w:type="gramStart"/>
      <w:r w:rsidRPr="003215CE">
        <w:rPr>
          <w:lang w:val="en-IE" w:eastAsia="en-GB"/>
        </w:rPr>
        <w:t>Generalized anxiety disorder and panic disorder (with or without agoraphobia) in adults</w:t>
      </w:r>
      <w:r>
        <w:rPr>
          <w:lang w:val="en-IE" w:eastAsia="en-GB"/>
        </w:rPr>
        <w:t>.</w:t>
      </w:r>
      <w:proofErr w:type="gramEnd"/>
      <w:r>
        <w:rPr>
          <w:lang w:val="en-IE" w:eastAsia="en-GB"/>
        </w:rPr>
        <w:t xml:space="preserve"> </w:t>
      </w:r>
      <w:proofErr w:type="gramStart"/>
      <w:r>
        <w:rPr>
          <w:lang w:val="en-IE" w:eastAsia="en-GB"/>
        </w:rPr>
        <w:t>Clinical Guideline 113.</w:t>
      </w:r>
      <w:proofErr w:type="gramEnd"/>
      <w:r>
        <w:rPr>
          <w:lang w:val="en-IE" w:eastAsia="en-GB"/>
        </w:rPr>
        <w:t xml:space="preserve"> 2011. </w:t>
      </w:r>
      <w:hyperlink r:id="rId33" w:history="1">
        <w:r w:rsidRPr="003215CE">
          <w:rPr>
            <w:rStyle w:val="Hyperlink"/>
            <w:rFonts w:cs="Calibri"/>
            <w:lang w:eastAsia="en-GB"/>
          </w:rPr>
          <w:t>http://guidance.nice.org.uk/CG113</w:t>
        </w:r>
      </w:hyperlink>
      <w:r>
        <w:rPr>
          <w:lang w:eastAsia="en-GB"/>
        </w:rPr>
        <w:t xml:space="preserve"> (accessed 22 September, 2012)</w:t>
      </w:r>
      <w:r w:rsidRPr="003215CE">
        <w:rPr>
          <w:lang w:val="en-IE" w:eastAsia="en-GB"/>
        </w:rPr>
        <w:t>.</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Pr>
          <w:b/>
          <w:bCs/>
          <w:lang w:eastAsia="en-GB"/>
        </w:rPr>
        <w:t>C6</w:t>
      </w:r>
      <w:r w:rsidRPr="003215CE">
        <w:rPr>
          <w:b/>
          <w:bCs/>
          <w:lang w:eastAsia="en-GB"/>
        </w:rPr>
        <w:t xml:space="preserve">. </w:t>
      </w:r>
      <w:proofErr w:type="gramStart"/>
      <w:r w:rsidRPr="003215CE">
        <w:rPr>
          <w:b/>
          <w:bCs/>
          <w:lang w:eastAsia="en-GB"/>
        </w:rPr>
        <w:t>Dopamine agonist (ropinirole or pramipexole or rotigotine) for Restless Legs Syndrome, once iron deficiency and severe renal failure have been excluded.</w:t>
      </w:r>
      <w:proofErr w:type="gramEnd"/>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Pr>
          <w:lang w:val="en-IE" w:eastAsia="en-GB"/>
        </w:rPr>
        <w:t xml:space="preserve">C6 </w:t>
      </w:r>
      <w:r w:rsidRPr="003215CE">
        <w:rPr>
          <w:lang w:val="en-IE" w:eastAsia="en-GB"/>
        </w:rPr>
        <w:t>(i): Zintzaras E, Kitsios GD, Papathanasiou</w:t>
      </w:r>
      <w:r>
        <w:rPr>
          <w:lang w:val="en-IE" w:eastAsia="en-GB"/>
        </w:rPr>
        <w:t xml:space="preserve"> AA, Konitsiotis S, Miligkos M, </w:t>
      </w:r>
      <w:r w:rsidRPr="003215CE">
        <w:rPr>
          <w:lang w:val="en-IE" w:eastAsia="en-GB"/>
        </w:rPr>
        <w:t>Rodopoulou P, Hadjigeorgiou GM. Randomized trials of dopamine agonists in restless legs syndrome: a systematic review, quality assessmen</w:t>
      </w:r>
      <w:r>
        <w:rPr>
          <w:lang w:val="en-IE" w:eastAsia="en-GB"/>
        </w:rPr>
        <w:t>t, and meta-analysis. Clin Ther 2010</w:t>
      </w:r>
      <w:r w:rsidRPr="003215CE">
        <w:rPr>
          <w:lang w:val="en-IE" w:eastAsia="en-GB"/>
        </w:rPr>
        <w:t>;</w:t>
      </w:r>
      <w:r>
        <w:rPr>
          <w:lang w:val="en-IE" w:eastAsia="en-GB"/>
        </w:rPr>
        <w:t xml:space="preserve"> </w:t>
      </w:r>
      <w:r w:rsidRPr="003215CE">
        <w:rPr>
          <w:lang w:val="en-IE" w:eastAsia="en-GB"/>
        </w:rPr>
        <w:t>32(2):</w:t>
      </w:r>
      <w:r>
        <w:rPr>
          <w:lang w:val="en-IE" w:eastAsia="en-GB"/>
        </w:rPr>
        <w:t xml:space="preserve"> </w:t>
      </w:r>
      <w:r w:rsidRPr="003215CE">
        <w:rPr>
          <w:lang w:val="en-IE" w:eastAsia="en-GB"/>
        </w:rPr>
        <w:t xml:space="preserve">221-37. </w:t>
      </w:r>
      <w:proofErr w:type="gramStart"/>
      <w:r w:rsidRPr="003215CE">
        <w:rPr>
          <w:lang w:val="en-IE" w:eastAsia="en-GB"/>
        </w:rPr>
        <w:t>Review.</w:t>
      </w:r>
      <w:proofErr w:type="gramEnd"/>
      <w:r w:rsidRPr="003215CE">
        <w:rPr>
          <w:lang w:val="en-IE" w:eastAsia="en-GB"/>
        </w:rPr>
        <w:t xml:space="preserve"> PubMed PMID: 20206780.</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Pr>
          <w:lang w:val="en-IE" w:eastAsia="en-GB"/>
        </w:rPr>
        <w:t xml:space="preserve">C6 </w:t>
      </w:r>
      <w:r w:rsidRPr="003215CE">
        <w:rPr>
          <w:lang w:val="en-IE" w:eastAsia="en-GB"/>
        </w:rPr>
        <w:t xml:space="preserve">(ii): Hansen RA, Song L, Moore CG, Gilsenan AW, </w:t>
      </w:r>
      <w:r>
        <w:rPr>
          <w:lang w:val="en-IE" w:eastAsia="en-GB"/>
        </w:rPr>
        <w:t xml:space="preserve">Kim MM, Calloway MO, Murray MD. </w:t>
      </w:r>
      <w:r w:rsidRPr="003215CE">
        <w:rPr>
          <w:lang w:val="en-IE" w:eastAsia="en-GB"/>
        </w:rPr>
        <w:t>Effect of ropinirole on sleep outcomes in patien</w:t>
      </w:r>
      <w:r>
        <w:rPr>
          <w:lang w:val="en-IE" w:eastAsia="en-GB"/>
        </w:rPr>
        <w:t xml:space="preserve">ts with restless legs syndrome: </w:t>
      </w:r>
      <w:r w:rsidRPr="003215CE">
        <w:rPr>
          <w:lang w:val="en-IE" w:eastAsia="en-GB"/>
        </w:rPr>
        <w:t xml:space="preserve">meta-analysis of pooled individual patient </w:t>
      </w:r>
      <w:r>
        <w:rPr>
          <w:lang w:val="en-IE" w:eastAsia="en-GB"/>
        </w:rPr>
        <w:t>data from randomized controlled trials. Pharmacotherapy 2009</w:t>
      </w:r>
      <w:r w:rsidRPr="003215CE">
        <w:rPr>
          <w:lang w:val="en-IE" w:eastAsia="en-GB"/>
        </w:rPr>
        <w:t>;</w:t>
      </w:r>
      <w:r>
        <w:rPr>
          <w:lang w:val="en-IE" w:eastAsia="en-GB"/>
        </w:rPr>
        <w:t xml:space="preserve"> </w:t>
      </w:r>
      <w:r w:rsidRPr="003215CE">
        <w:rPr>
          <w:lang w:val="en-IE" w:eastAsia="en-GB"/>
        </w:rPr>
        <w:t>29(3):</w:t>
      </w:r>
      <w:r>
        <w:rPr>
          <w:lang w:val="en-IE" w:eastAsia="en-GB"/>
        </w:rPr>
        <w:t xml:space="preserve"> </w:t>
      </w:r>
      <w:r w:rsidRPr="003215CE">
        <w:rPr>
          <w:lang w:val="en-IE" w:eastAsia="en-GB"/>
        </w:rPr>
        <w:t xml:space="preserve">255-62. </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3215CE">
        <w:rPr>
          <w:lang w:val="en-IE" w:eastAsia="en-GB"/>
        </w:rPr>
        <w:t>PubMed PMID: 19249945.</w:t>
      </w: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3215CE"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Pr>
          <w:lang w:val="en-IE" w:eastAsia="en-GB"/>
        </w:rPr>
        <w:t xml:space="preserve">C6 </w:t>
      </w:r>
      <w:r w:rsidRPr="003215CE">
        <w:rPr>
          <w:lang w:val="en-IE" w:eastAsia="en-GB"/>
        </w:rPr>
        <w:t>(iii): Scholz H, Trenkwalder C, Kohnen R, Riemann D, Kriston L, Hornyak M. Dopamine agonists for restless legs syndrome. Cochr</w:t>
      </w:r>
      <w:r>
        <w:rPr>
          <w:lang w:val="en-IE" w:eastAsia="en-GB"/>
        </w:rPr>
        <w:t xml:space="preserve">ane Database Syst Rev. 2011 Mar </w:t>
      </w:r>
      <w:proofErr w:type="gramStart"/>
      <w:r w:rsidRPr="003215CE">
        <w:rPr>
          <w:lang w:val="en-IE" w:eastAsia="en-GB"/>
        </w:rPr>
        <w:t>16;</w:t>
      </w:r>
      <w:proofErr w:type="gramEnd"/>
      <w:r w:rsidRPr="003215CE">
        <w:rPr>
          <w:lang w:val="en-IE" w:eastAsia="en-GB"/>
        </w:rPr>
        <w:t xml:space="preserve">(3):CD006009. </w:t>
      </w:r>
      <w:proofErr w:type="gramStart"/>
      <w:r w:rsidRPr="003215CE">
        <w:rPr>
          <w:lang w:val="en-IE" w:eastAsia="en-GB"/>
        </w:rPr>
        <w:t>doi</w:t>
      </w:r>
      <w:proofErr w:type="gramEnd"/>
      <w:r w:rsidRPr="003215CE">
        <w:rPr>
          <w:lang w:val="en-IE" w:eastAsia="en-GB"/>
        </w:rPr>
        <w:t>: 10.1002/14651858.CD00</w:t>
      </w:r>
      <w:r>
        <w:rPr>
          <w:lang w:val="en-IE" w:eastAsia="en-GB"/>
        </w:rPr>
        <w:t xml:space="preserve">6009.pub2. </w:t>
      </w:r>
      <w:proofErr w:type="gramStart"/>
      <w:r>
        <w:rPr>
          <w:lang w:val="en-IE" w:eastAsia="en-GB"/>
        </w:rPr>
        <w:t>Review.</w:t>
      </w:r>
      <w:proofErr w:type="gramEnd"/>
      <w:r>
        <w:rPr>
          <w:lang w:val="en-IE" w:eastAsia="en-GB"/>
        </w:rPr>
        <w:t xml:space="preserve"> PubMed PMID: </w:t>
      </w:r>
      <w:r w:rsidRPr="003215CE">
        <w:rPr>
          <w:lang w:val="en-IE" w:eastAsia="en-GB"/>
        </w:rPr>
        <w:t>21412893.</w:t>
      </w:r>
    </w:p>
    <w:p w:rsidR="00851DC2" w:rsidRPr="00C41F47"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B73AE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D6AB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r w:rsidRPr="00CD6ABB">
        <w:rPr>
          <w:b/>
          <w:bCs/>
          <w:sz w:val="28"/>
          <w:szCs w:val="28"/>
          <w:lang w:eastAsia="en-GB"/>
        </w:rPr>
        <w:t>Sect</w:t>
      </w:r>
      <w:r>
        <w:rPr>
          <w:b/>
          <w:bCs/>
          <w:sz w:val="28"/>
          <w:szCs w:val="28"/>
          <w:lang w:eastAsia="en-GB"/>
        </w:rPr>
        <w:t>ion D: Gastrointestinal System c</w:t>
      </w:r>
      <w:r w:rsidRPr="00CD6ABB">
        <w:rPr>
          <w:b/>
          <w:bCs/>
          <w:sz w:val="28"/>
          <w:szCs w:val="28"/>
          <w:lang w:eastAsia="en-GB"/>
        </w:rPr>
        <w:t>riteria.</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1A666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1A6668">
        <w:rPr>
          <w:b/>
          <w:bCs/>
          <w:lang w:eastAsia="en-GB"/>
        </w:rPr>
        <w:t>D1. Proton Pump Inhibitor with severe gastro-oesophageal reflux disease or peptic stricture requiring dilatation.</w:t>
      </w:r>
    </w:p>
    <w:p w:rsidR="00851DC2" w:rsidRPr="001A666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1A666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sidRPr="001A6668">
        <w:rPr>
          <w:lang w:val="en-IE" w:eastAsia="en-GB"/>
        </w:rPr>
        <w:t>D1</w:t>
      </w:r>
      <w:r>
        <w:rPr>
          <w:lang w:val="en-IE" w:eastAsia="en-GB"/>
        </w:rPr>
        <w:t xml:space="preserve"> </w:t>
      </w:r>
      <w:r w:rsidRPr="001A6668">
        <w:rPr>
          <w:lang w:val="en-IE" w:eastAsia="en-GB"/>
        </w:rPr>
        <w:t>(i): Hungin AP, Raghunath A. Managing gastro-oe</w:t>
      </w:r>
      <w:r>
        <w:rPr>
          <w:lang w:val="en-IE" w:eastAsia="en-GB"/>
        </w:rPr>
        <w:t>sophageal reflux disease in the older patient. Digestion</w:t>
      </w:r>
      <w:r w:rsidRPr="001A6668">
        <w:rPr>
          <w:lang w:val="en-IE" w:eastAsia="en-GB"/>
        </w:rPr>
        <w:t xml:space="preserve"> 2004;</w:t>
      </w:r>
      <w:r>
        <w:rPr>
          <w:lang w:val="en-IE" w:eastAsia="en-GB"/>
        </w:rPr>
        <w:t xml:space="preserve"> </w:t>
      </w:r>
      <w:r w:rsidRPr="001A6668">
        <w:rPr>
          <w:lang w:val="en-IE" w:eastAsia="en-GB"/>
        </w:rPr>
        <w:t>69 Suppl 1:</w:t>
      </w:r>
      <w:r>
        <w:rPr>
          <w:lang w:val="en-IE" w:eastAsia="en-GB"/>
        </w:rPr>
        <w:t xml:space="preserve"> </w:t>
      </w:r>
      <w:r w:rsidRPr="001A6668">
        <w:rPr>
          <w:lang w:val="en-IE" w:eastAsia="en-GB"/>
        </w:rPr>
        <w:t xml:space="preserve">17-24. </w:t>
      </w:r>
      <w:proofErr w:type="gramStart"/>
      <w:r w:rsidRPr="001A6668">
        <w:rPr>
          <w:lang w:val="en-IE" w:eastAsia="en-GB"/>
        </w:rPr>
        <w:t>Review.</w:t>
      </w:r>
      <w:proofErr w:type="gramEnd"/>
      <w:r w:rsidRPr="001A6668">
        <w:rPr>
          <w:lang w:val="en-IE" w:eastAsia="en-GB"/>
        </w:rPr>
        <w:t xml:space="preserve"> PubMed PMID: 15001831.</w:t>
      </w:r>
    </w:p>
    <w:p w:rsidR="00851DC2" w:rsidRPr="001A666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sidRPr="001A6668">
        <w:rPr>
          <w:lang w:val="en-IE" w:eastAsia="en-GB"/>
        </w:rPr>
        <w:t>D1</w:t>
      </w:r>
      <w:r>
        <w:rPr>
          <w:lang w:val="en-IE" w:eastAsia="en-GB"/>
        </w:rPr>
        <w:t xml:space="preserve"> </w:t>
      </w:r>
      <w:r w:rsidRPr="001A6668">
        <w:rPr>
          <w:lang w:val="en-IE" w:eastAsia="en-GB"/>
        </w:rPr>
        <w:t xml:space="preserve">(ii): </w:t>
      </w:r>
      <w:r w:rsidRPr="00F64A55">
        <w:rPr>
          <w:lang w:val="en-IE" w:eastAsia="en-GB"/>
        </w:rPr>
        <w:t>Pilotto A, Franceschi M, Paris F. Recent advanc</w:t>
      </w:r>
      <w:r>
        <w:rPr>
          <w:lang w:val="en-IE" w:eastAsia="en-GB"/>
        </w:rPr>
        <w:t xml:space="preserve">es in the treatment of GERD in </w:t>
      </w:r>
      <w:r w:rsidRPr="00F64A55">
        <w:rPr>
          <w:lang w:val="en-IE" w:eastAsia="en-GB"/>
        </w:rPr>
        <w:t>the elderly: focus on proton pu</w:t>
      </w:r>
      <w:r>
        <w:rPr>
          <w:lang w:val="en-IE" w:eastAsia="en-GB"/>
        </w:rPr>
        <w:t>mp inhibitors. Int J Clin Pract 2005</w:t>
      </w:r>
      <w:r w:rsidRPr="00F64A55">
        <w:rPr>
          <w:lang w:val="en-IE" w:eastAsia="en-GB"/>
        </w:rPr>
        <w:t>;</w:t>
      </w:r>
      <w:r>
        <w:rPr>
          <w:lang w:val="en-IE" w:eastAsia="en-GB"/>
        </w:rPr>
        <w:t xml:space="preserve"> </w:t>
      </w:r>
      <w:r w:rsidRPr="00F64A55">
        <w:rPr>
          <w:lang w:val="en-IE" w:eastAsia="en-GB"/>
        </w:rPr>
        <w:t>59(10):</w:t>
      </w:r>
      <w:r>
        <w:rPr>
          <w:lang w:val="en-IE" w:eastAsia="en-GB"/>
        </w:rPr>
        <w:t xml:space="preserve"> </w:t>
      </w:r>
      <w:r w:rsidRPr="00F64A55">
        <w:rPr>
          <w:lang w:val="en-IE" w:eastAsia="en-GB"/>
        </w:rPr>
        <w:t>1204-9</w:t>
      </w:r>
      <w:r>
        <w:rPr>
          <w:lang w:val="en-IE" w:eastAsia="en-GB"/>
        </w:rPr>
        <w:t xml:space="preserve">. </w:t>
      </w:r>
      <w:proofErr w:type="gramStart"/>
      <w:r>
        <w:rPr>
          <w:lang w:val="en-IE" w:eastAsia="en-GB"/>
        </w:rPr>
        <w:t>Review.</w:t>
      </w:r>
      <w:proofErr w:type="gramEnd"/>
      <w:r>
        <w:rPr>
          <w:lang w:val="en-IE" w:eastAsia="en-GB"/>
        </w:rPr>
        <w:t xml:space="preserve"> PubMed PMID: 16178989</w:t>
      </w:r>
      <w:r w:rsidRPr="001A6668">
        <w:rPr>
          <w:lang w:val="en-IE" w:eastAsia="en-GB"/>
        </w:rPr>
        <w:t xml:space="preserve">. </w:t>
      </w:r>
    </w:p>
    <w:p w:rsidR="00851DC2" w:rsidRPr="001A666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sidRPr="001A6668">
        <w:rPr>
          <w:lang w:val="en-IE" w:eastAsia="en-GB"/>
        </w:rPr>
        <w:t>D1</w:t>
      </w:r>
      <w:r>
        <w:rPr>
          <w:lang w:val="en-IE" w:eastAsia="en-GB"/>
        </w:rPr>
        <w:t xml:space="preserve"> </w:t>
      </w:r>
      <w:r w:rsidRPr="001A6668">
        <w:rPr>
          <w:lang w:val="en-IE" w:eastAsia="en-GB"/>
        </w:rPr>
        <w:t xml:space="preserve">(iii): Metz DC. Managing gastroesophageal reflux disease for the lifetime of the patient: evaluating the long-term options. Am J Med 2004; 117, Suppl </w:t>
      </w:r>
      <w:proofErr w:type="gramStart"/>
      <w:r w:rsidRPr="001A6668">
        <w:rPr>
          <w:lang w:val="en-IE" w:eastAsia="en-GB"/>
        </w:rPr>
        <w:t>5A :</w:t>
      </w:r>
      <w:proofErr w:type="gramEnd"/>
      <w:r w:rsidRPr="001A6668">
        <w:rPr>
          <w:lang w:val="en-IE" w:eastAsia="en-GB"/>
        </w:rPr>
        <w:t xml:space="preserve">49S-55S. </w:t>
      </w:r>
      <w:r w:rsidRPr="0072401A">
        <w:rPr>
          <w:lang w:val="en-IE" w:eastAsia="en-GB"/>
        </w:rPr>
        <w:t>PubMed PMID</w:t>
      </w:r>
      <w:r>
        <w:rPr>
          <w:lang w:val="en-IE" w:eastAsia="en-GB"/>
        </w:rPr>
        <w:t>: 15478853.</w:t>
      </w:r>
    </w:p>
    <w:p w:rsidR="00851DC2" w:rsidRPr="001A666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1A666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1A6668">
        <w:rPr>
          <w:b/>
          <w:bCs/>
          <w:lang w:eastAsia="en-GB"/>
        </w:rPr>
        <w:t xml:space="preserve">D2. </w:t>
      </w:r>
      <w:proofErr w:type="gramStart"/>
      <w:r w:rsidRPr="001A6668">
        <w:rPr>
          <w:b/>
          <w:bCs/>
          <w:lang w:eastAsia="en-GB"/>
        </w:rPr>
        <w:t>Fibre supplement</w:t>
      </w:r>
      <w:proofErr w:type="gramEnd"/>
      <w:r w:rsidRPr="001A6668">
        <w:rPr>
          <w:b/>
          <w:bCs/>
          <w:lang w:eastAsia="en-GB"/>
        </w:rPr>
        <w:t xml:space="preserve"> (e.g. bran, ispaghula, methylcellulose, sterculia) for diverticulosis with a history of constipation.</w:t>
      </w:r>
    </w:p>
    <w:p w:rsidR="00851DC2" w:rsidRPr="001A666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1A666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1A6668">
        <w:rPr>
          <w:lang w:val="en-IE" w:eastAsia="en-GB"/>
        </w:rPr>
        <w:t>D2(</w:t>
      </w:r>
      <w:proofErr w:type="gramEnd"/>
      <w:r w:rsidRPr="001A6668">
        <w:rPr>
          <w:lang w:val="en-IE" w:eastAsia="en-GB"/>
        </w:rPr>
        <w:t xml:space="preserve">i): Aldoori WH, Giovannucci EL, Rimm EB, Wing AL, Trichopoulos DV, Willett WC. </w:t>
      </w:r>
      <w:proofErr w:type="gramStart"/>
      <w:r w:rsidRPr="001A6668">
        <w:rPr>
          <w:lang w:val="en-IE" w:eastAsia="en-GB"/>
        </w:rPr>
        <w:t>A prospective study of diet and the risk of symptomatic diverticular disease in men.</w:t>
      </w:r>
      <w:proofErr w:type="gramEnd"/>
      <w:r>
        <w:rPr>
          <w:lang w:val="en-IE" w:eastAsia="en-GB"/>
        </w:rPr>
        <w:t xml:space="preserve"> Am J Clin Nutr 1994</w:t>
      </w:r>
      <w:r w:rsidRPr="001A6668">
        <w:rPr>
          <w:lang w:val="en-IE" w:eastAsia="en-GB"/>
        </w:rPr>
        <w:t>;</w:t>
      </w:r>
      <w:r>
        <w:rPr>
          <w:lang w:val="en-IE" w:eastAsia="en-GB"/>
        </w:rPr>
        <w:t xml:space="preserve"> </w:t>
      </w:r>
      <w:r w:rsidRPr="001A6668">
        <w:rPr>
          <w:lang w:val="en-IE" w:eastAsia="en-GB"/>
        </w:rPr>
        <w:t>60(5):</w:t>
      </w:r>
      <w:r>
        <w:rPr>
          <w:lang w:val="en-IE" w:eastAsia="en-GB"/>
        </w:rPr>
        <w:t xml:space="preserve"> </w:t>
      </w:r>
      <w:r w:rsidRPr="001A6668">
        <w:rPr>
          <w:lang w:val="en-IE" w:eastAsia="en-GB"/>
        </w:rPr>
        <w:t>757-64. PubMed PMID: 7942584.</w:t>
      </w:r>
    </w:p>
    <w:p w:rsidR="00851DC2" w:rsidRPr="001A666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1A666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1A6668">
        <w:rPr>
          <w:lang w:val="en-IE" w:eastAsia="en-GB"/>
        </w:rPr>
        <w:t>D2(</w:t>
      </w:r>
      <w:proofErr w:type="gramEnd"/>
      <w:r w:rsidRPr="001A6668">
        <w:rPr>
          <w:lang w:val="en-IE" w:eastAsia="en-GB"/>
        </w:rPr>
        <w:t>ii</w:t>
      </w:r>
      <w:r w:rsidRPr="001A6668">
        <w:rPr>
          <w:lang w:eastAsia="en-GB"/>
        </w:rPr>
        <w:t xml:space="preserve">): </w:t>
      </w:r>
      <w:r w:rsidRPr="001A6668">
        <w:rPr>
          <w:lang w:val="en-IE" w:eastAsia="en-GB"/>
        </w:rPr>
        <w:t xml:space="preserve">Ünlü C, Daniels L, Vrouenraets BC, Boermeester MA. </w:t>
      </w:r>
      <w:proofErr w:type="gramStart"/>
      <w:r w:rsidRPr="001A6668">
        <w:rPr>
          <w:lang w:val="en-IE" w:eastAsia="en-GB"/>
        </w:rPr>
        <w:t>A systematic review of high-fibre dietary therapy in diverticular disea</w:t>
      </w:r>
      <w:r>
        <w:rPr>
          <w:lang w:val="en-IE" w:eastAsia="en-GB"/>
        </w:rPr>
        <w:t>se.</w:t>
      </w:r>
      <w:proofErr w:type="gramEnd"/>
      <w:r>
        <w:rPr>
          <w:lang w:val="en-IE" w:eastAsia="en-GB"/>
        </w:rPr>
        <w:t xml:space="preserve"> Int J Colorectal Dis 2012</w:t>
      </w:r>
      <w:r w:rsidRPr="001A6668">
        <w:rPr>
          <w:lang w:val="en-IE" w:eastAsia="en-GB"/>
        </w:rPr>
        <w:t>;</w:t>
      </w:r>
      <w:r>
        <w:rPr>
          <w:lang w:val="en-IE" w:eastAsia="en-GB"/>
        </w:rPr>
        <w:t xml:space="preserve"> </w:t>
      </w:r>
      <w:r w:rsidRPr="001A6668">
        <w:rPr>
          <w:lang w:val="en-IE" w:eastAsia="en-GB"/>
        </w:rPr>
        <w:t>27(4):</w:t>
      </w:r>
      <w:r>
        <w:rPr>
          <w:lang w:val="en-IE" w:eastAsia="en-GB"/>
        </w:rPr>
        <w:t xml:space="preserve"> </w:t>
      </w:r>
      <w:r w:rsidRPr="001A6668">
        <w:rPr>
          <w:lang w:val="en-IE" w:eastAsia="en-GB"/>
        </w:rPr>
        <w:t xml:space="preserve">419-27. </w:t>
      </w:r>
      <w:proofErr w:type="gramStart"/>
      <w:r w:rsidRPr="001A6668">
        <w:rPr>
          <w:lang w:val="en-IE" w:eastAsia="en-GB"/>
        </w:rPr>
        <w:t>Review.</w:t>
      </w:r>
      <w:proofErr w:type="gramEnd"/>
      <w:r>
        <w:rPr>
          <w:lang w:val="en-IE" w:eastAsia="en-GB"/>
        </w:rPr>
        <w:t xml:space="preserve"> </w:t>
      </w:r>
      <w:r w:rsidRPr="001A6668">
        <w:rPr>
          <w:lang w:val="en-IE" w:eastAsia="en-GB"/>
        </w:rPr>
        <w:t>PubMed PMID: 21922199.</w:t>
      </w:r>
    </w:p>
    <w:p w:rsidR="00851DC2" w:rsidRPr="001A666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1A6668"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1A6668">
        <w:rPr>
          <w:lang w:val="en-IE" w:eastAsia="en-GB"/>
        </w:rPr>
        <w:t xml:space="preserve">D2(iii): Rocco A, Compare D, Caruso F, Nardone G. Treatment options for uncomplicated diverticular disease of </w:t>
      </w:r>
      <w:r>
        <w:rPr>
          <w:lang w:val="en-IE" w:eastAsia="en-GB"/>
        </w:rPr>
        <w:t>the colon. J Clin Gastroenterol 2009</w:t>
      </w:r>
      <w:r w:rsidRPr="001A6668">
        <w:rPr>
          <w:lang w:val="en-IE" w:eastAsia="en-GB"/>
        </w:rPr>
        <w:t>;</w:t>
      </w:r>
      <w:r>
        <w:rPr>
          <w:lang w:val="en-IE" w:eastAsia="en-GB"/>
        </w:rPr>
        <w:t xml:space="preserve"> </w:t>
      </w:r>
      <w:r w:rsidRPr="001A6668">
        <w:rPr>
          <w:lang w:val="en-IE" w:eastAsia="en-GB"/>
        </w:rPr>
        <w:t>43(9):</w:t>
      </w:r>
      <w:r>
        <w:rPr>
          <w:lang w:val="en-IE" w:eastAsia="en-GB"/>
        </w:rPr>
        <w:t xml:space="preserve"> </w:t>
      </w:r>
      <w:r w:rsidRPr="001A6668">
        <w:rPr>
          <w:lang w:val="en-IE" w:eastAsia="en-GB"/>
        </w:rPr>
        <w:t xml:space="preserve">803-8. </w:t>
      </w:r>
      <w:proofErr w:type="gramStart"/>
      <w:r w:rsidRPr="001A6668">
        <w:rPr>
          <w:lang w:val="en-IE" w:eastAsia="en-GB"/>
        </w:rPr>
        <w:t>Review.</w:t>
      </w:r>
      <w:proofErr w:type="gramEnd"/>
      <w:r w:rsidRPr="001A6668">
        <w:rPr>
          <w:lang w:val="en-IE" w:eastAsia="en-GB"/>
        </w:rPr>
        <w:t xml:space="preserve"> PubMed PMID: 19652620.</w:t>
      </w:r>
    </w:p>
    <w:p w:rsidR="00851DC2" w:rsidRPr="00311BD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87D1C"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r w:rsidRPr="00C87D1C">
        <w:rPr>
          <w:b/>
          <w:bCs/>
          <w:sz w:val="28"/>
          <w:szCs w:val="28"/>
          <w:lang w:eastAsia="en-GB"/>
        </w:rPr>
        <w:t>Sec</w:t>
      </w:r>
      <w:r>
        <w:rPr>
          <w:b/>
          <w:bCs/>
          <w:sz w:val="28"/>
          <w:szCs w:val="28"/>
          <w:lang w:eastAsia="en-GB"/>
        </w:rPr>
        <w:t>tion E: Musculoskeletal System c</w:t>
      </w:r>
      <w:r w:rsidRPr="00C87D1C">
        <w:rPr>
          <w:b/>
          <w:bCs/>
          <w:sz w:val="28"/>
          <w:szCs w:val="28"/>
          <w:lang w:eastAsia="en-GB"/>
        </w:rPr>
        <w:t>riteria.</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F74411">
        <w:rPr>
          <w:b/>
          <w:bCs/>
          <w:lang w:eastAsia="en-GB"/>
        </w:rPr>
        <w:t xml:space="preserve">E1. </w:t>
      </w:r>
      <w:proofErr w:type="gramStart"/>
      <w:r w:rsidRPr="00F74411">
        <w:rPr>
          <w:b/>
          <w:bCs/>
          <w:lang w:eastAsia="en-GB"/>
        </w:rPr>
        <w:t>Disease-modifying anti-rheumatic drug (DMARD) with active, disabling rheumatoid disease.</w:t>
      </w:r>
      <w:proofErr w:type="gramEnd"/>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F74411">
        <w:rPr>
          <w:lang w:val="en-IE" w:eastAsia="en-GB"/>
        </w:rPr>
        <w:t xml:space="preserve">E1(i): Saag KG, Teng GG, Patkar NM, Anuntiyo J, Finney C, Curtis JR, Paulus HE,Mudano A, Pisu M, Elkins-Melton M, Outman R, Allison JJ, Suarez Almazor M,Bridges SL Jr, Chatham WW, Hochberg M, MacLean C, Mikuls T, Moreland LW, O'DellJ, Turkiewicz AM, Furst DE; American College of Rheumatology. </w:t>
      </w:r>
      <w:proofErr w:type="gramStart"/>
      <w:r w:rsidRPr="00F74411">
        <w:rPr>
          <w:lang w:val="en-IE" w:eastAsia="en-GB"/>
        </w:rPr>
        <w:t>American College of Rheumatology 2008</w:t>
      </w:r>
      <w:r>
        <w:rPr>
          <w:lang w:val="en-IE" w:eastAsia="en-GB"/>
        </w:rPr>
        <w:t xml:space="preserve"> recommendations for the use of </w:t>
      </w:r>
      <w:r w:rsidRPr="00F74411">
        <w:rPr>
          <w:lang w:val="en-IE" w:eastAsia="en-GB"/>
        </w:rPr>
        <w:t>nonbiologic and biologic disease-modifying antirheumatic drugs in rheuma</w:t>
      </w:r>
      <w:r>
        <w:rPr>
          <w:lang w:val="en-IE" w:eastAsia="en-GB"/>
        </w:rPr>
        <w:t>toid arthritis.</w:t>
      </w:r>
      <w:proofErr w:type="gramEnd"/>
      <w:r>
        <w:rPr>
          <w:lang w:val="en-IE" w:eastAsia="en-GB"/>
        </w:rPr>
        <w:t xml:space="preserve"> Arthritis Rheum 2008</w:t>
      </w:r>
      <w:r w:rsidRPr="00F74411">
        <w:rPr>
          <w:lang w:val="en-IE" w:eastAsia="en-GB"/>
        </w:rPr>
        <w:t>;</w:t>
      </w:r>
      <w:r>
        <w:rPr>
          <w:lang w:val="en-IE" w:eastAsia="en-GB"/>
        </w:rPr>
        <w:t xml:space="preserve"> </w:t>
      </w:r>
      <w:r w:rsidRPr="00F74411">
        <w:rPr>
          <w:lang w:val="en-IE" w:eastAsia="en-GB"/>
        </w:rPr>
        <w:t>59(6):</w:t>
      </w:r>
      <w:r>
        <w:rPr>
          <w:lang w:val="en-IE" w:eastAsia="en-GB"/>
        </w:rPr>
        <w:t xml:space="preserve"> </w:t>
      </w:r>
      <w:r w:rsidRPr="00F74411">
        <w:rPr>
          <w:lang w:val="en-IE" w:eastAsia="en-GB"/>
        </w:rPr>
        <w:t>762-84. PubMed PMID: 18512708.</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F74411">
        <w:rPr>
          <w:lang w:val="en-IE" w:eastAsia="en-GB"/>
        </w:rPr>
        <w:t xml:space="preserve">E1(ii): Köller MD, Aletaha D, Funovits J, Pangan A, Baker D, Smolen JS. Response of elderly patients with rheumatoid arthritis to methotrexate or TNF inhibitors compared with younger </w:t>
      </w:r>
      <w:r>
        <w:rPr>
          <w:lang w:val="en-IE" w:eastAsia="en-GB"/>
        </w:rPr>
        <w:t>patients. Rheumatology (Oxford) 2009</w:t>
      </w:r>
      <w:r w:rsidRPr="00F74411">
        <w:rPr>
          <w:lang w:val="en-IE" w:eastAsia="en-GB"/>
        </w:rPr>
        <w:t>;</w:t>
      </w:r>
      <w:r>
        <w:rPr>
          <w:lang w:val="en-IE" w:eastAsia="en-GB"/>
        </w:rPr>
        <w:t xml:space="preserve"> </w:t>
      </w:r>
      <w:r w:rsidRPr="00F74411">
        <w:rPr>
          <w:lang w:val="en-IE" w:eastAsia="en-GB"/>
        </w:rPr>
        <w:t>48(12):</w:t>
      </w:r>
      <w:r>
        <w:rPr>
          <w:lang w:val="en-IE" w:eastAsia="en-GB"/>
        </w:rPr>
        <w:t xml:space="preserve"> </w:t>
      </w:r>
      <w:r w:rsidRPr="00F74411">
        <w:rPr>
          <w:lang w:val="en-IE" w:eastAsia="en-GB"/>
        </w:rPr>
        <w:t>1575-80.PubMed PMID: 19812228.</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F74411">
        <w:rPr>
          <w:lang w:val="en-IE" w:eastAsia="en-GB"/>
        </w:rPr>
        <w:t>E1(iii): Fleischmann R, Baumgartner SW, Weisman MH, Liu T, White B, Peloso P. Long term safety of etanercept in elderly subjects with rhe</w:t>
      </w:r>
      <w:r>
        <w:rPr>
          <w:lang w:val="en-IE" w:eastAsia="en-GB"/>
        </w:rPr>
        <w:t>umatic diseases. Ann Rheum Dis 2006</w:t>
      </w:r>
      <w:r w:rsidRPr="00F74411">
        <w:rPr>
          <w:lang w:val="en-IE" w:eastAsia="en-GB"/>
        </w:rPr>
        <w:t>;</w:t>
      </w:r>
      <w:r>
        <w:rPr>
          <w:lang w:val="en-IE" w:eastAsia="en-GB"/>
        </w:rPr>
        <w:t xml:space="preserve"> </w:t>
      </w:r>
      <w:r w:rsidRPr="00F74411">
        <w:rPr>
          <w:lang w:val="en-IE" w:eastAsia="en-GB"/>
        </w:rPr>
        <w:t>65(3):</w:t>
      </w:r>
      <w:r>
        <w:rPr>
          <w:lang w:val="en-IE" w:eastAsia="en-GB"/>
        </w:rPr>
        <w:t xml:space="preserve"> </w:t>
      </w:r>
      <w:r w:rsidRPr="00F74411">
        <w:rPr>
          <w:lang w:val="en-IE" w:eastAsia="en-GB"/>
        </w:rPr>
        <w:t>379-84. PubMed PMID: 16150792</w:t>
      </w:r>
      <w:r>
        <w:rPr>
          <w:lang w:val="en-IE" w:eastAsia="en-GB"/>
        </w:rPr>
        <w:t>.</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F74411">
        <w:rPr>
          <w:b/>
          <w:bCs/>
          <w:lang w:eastAsia="en-GB"/>
        </w:rPr>
        <w:t xml:space="preserve">E2. </w:t>
      </w:r>
      <w:proofErr w:type="gramStart"/>
      <w:r w:rsidRPr="00F74411">
        <w:rPr>
          <w:b/>
          <w:bCs/>
          <w:lang w:eastAsia="en-GB"/>
        </w:rPr>
        <w:t>Bisphosphonates and vitamin D and calcium in patients taking long-term systemic corticosteroid therapy.</w:t>
      </w:r>
      <w:proofErr w:type="gramEnd"/>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F74411">
        <w:rPr>
          <w:lang w:val="en-IE" w:eastAsia="en-GB"/>
        </w:rPr>
        <w:t>E2(i): Homik J, Suarez-Almazor ME, Shea B, Cranney A, Wells G, Tugwell P. Calcium and vitamin D for corticosteroid-induced osteoporo</w:t>
      </w:r>
      <w:r>
        <w:rPr>
          <w:lang w:val="en-IE" w:eastAsia="en-GB"/>
        </w:rPr>
        <w:t xml:space="preserve">sis. Cochrane Database Syst Rev </w:t>
      </w:r>
      <w:r w:rsidRPr="00F74411">
        <w:rPr>
          <w:lang w:val="en-IE" w:eastAsia="en-GB"/>
        </w:rPr>
        <w:t>2000;</w:t>
      </w:r>
      <w:r>
        <w:rPr>
          <w:lang w:val="en-IE" w:eastAsia="en-GB"/>
        </w:rPr>
        <w:t xml:space="preserve"> </w:t>
      </w:r>
      <w:r w:rsidRPr="00F74411">
        <w:rPr>
          <w:lang w:val="en-IE" w:eastAsia="en-GB"/>
        </w:rPr>
        <w:t>(2):</w:t>
      </w:r>
      <w:r>
        <w:rPr>
          <w:lang w:val="en-IE" w:eastAsia="en-GB"/>
        </w:rPr>
        <w:t xml:space="preserve"> </w:t>
      </w:r>
      <w:r w:rsidRPr="00F74411">
        <w:rPr>
          <w:lang w:val="en-IE" w:eastAsia="en-GB"/>
        </w:rPr>
        <w:t xml:space="preserve">CD000952. </w:t>
      </w:r>
      <w:proofErr w:type="gramStart"/>
      <w:r w:rsidRPr="00F74411">
        <w:rPr>
          <w:lang w:val="en-IE" w:eastAsia="en-GB"/>
        </w:rPr>
        <w:t>Review.</w:t>
      </w:r>
      <w:proofErr w:type="gramEnd"/>
      <w:r w:rsidRPr="00F74411">
        <w:rPr>
          <w:lang w:val="en-IE" w:eastAsia="en-GB"/>
        </w:rPr>
        <w:t xml:space="preserve"> PubMed PMID: 10796394.</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F74411">
        <w:rPr>
          <w:lang w:val="en-IE" w:eastAsia="en-GB"/>
        </w:rPr>
        <w:t>E2(ii): Homik J, Cranney A, Shea B, Tugwell P, Wells G, Adachi R, Suarez-Almazor M.</w:t>
      </w:r>
      <w:r>
        <w:rPr>
          <w:lang w:val="en-IE" w:eastAsia="en-GB"/>
        </w:rPr>
        <w:t xml:space="preserve"> </w:t>
      </w:r>
      <w:r w:rsidRPr="00F74411">
        <w:rPr>
          <w:lang w:val="en-IE" w:eastAsia="en-GB"/>
        </w:rPr>
        <w:t>Bisphosphonates for steroid induced osteoporo</w:t>
      </w:r>
      <w:r>
        <w:rPr>
          <w:lang w:val="en-IE" w:eastAsia="en-GB"/>
        </w:rPr>
        <w:t xml:space="preserve">sis. Cochrane Database Syst Rev </w:t>
      </w:r>
      <w:r w:rsidRPr="00F74411">
        <w:rPr>
          <w:lang w:val="en-IE" w:eastAsia="en-GB"/>
        </w:rPr>
        <w:t>2000;</w:t>
      </w:r>
      <w:r>
        <w:rPr>
          <w:lang w:val="en-IE" w:eastAsia="en-GB"/>
        </w:rPr>
        <w:t xml:space="preserve"> </w:t>
      </w:r>
      <w:r w:rsidRPr="00F74411">
        <w:rPr>
          <w:lang w:val="en-IE" w:eastAsia="en-GB"/>
        </w:rPr>
        <w:t xml:space="preserve">(2):CD001347. </w:t>
      </w:r>
      <w:proofErr w:type="gramStart"/>
      <w:r w:rsidRPr="00F74411">
        <w:rPr>
          <w:lang w:val="en-IE" w:eastAsia="en-GB"/>
        </w:rPr>
        <w:t>Review.</w:t>
      </w:r>
      <w:proofErr w:type="gramEnd"/>
      <w:r w:rsidRPr="00F74411">
        <w:rPr>
          <w:lang w:val="en-IE" w:eastAsia="en-GB"/>
        </w:rPr>
        <w:t xml:space="preserve"> PubMed PMID: 10796432.</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F74411">
        <w:rPr>
          <w:lang w:eastAsia="en-GB"/>
        </w:rPr>
        <w:t>E2(</w:t>
      </w:r>
      <w:proofErr w:type="gramEnd"/>
      <w:r w:rsidRPr="00F74411">
        <w:rPr>
          <w:lang w:eastAsia="en-GB"/>
        </w:rPr>
        <w:t xml:space="preserve">iii): Iwamoto J, Takeda T, Sato Y. Effects of antifracture drugs in postmenopausal, </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F74411">
        <w:rPr>
          <w:lang w:eastAsia="en-GB"/>
        </w:rPr>
        <w:t>male</w:t>
      </w:r>
      <w:proofErr w:type="gramEnd"/>
      <w:r w:rsidRPr="00F74411">
        <w:rPr>
          <w:lang w:eastAsia="en-GB"/>
        </w:rPr>
        <w:t xml:space="preserve"> and glucocorticoid-induced osteoporosis--usefulness of alendronate and</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gramStart"/>
      <w:r w:rsidRPr="00F74411">
        <w:rPr>
          <w:lang w:eastAsia="en-GB"/>
        </w:rPr>
        <w:t>risedr</w:t>
      </w:r>
      <w:r>
        <w:rPr>
          <w:lang w:eastAsia="en-GB"/>
        </w:rPr>
        <w:t>onate</w:t>
      </w:r>
      <w:proofErr w:type="gramEnd"/>
      <w:r>
        <w:rPr>
          <w:lang w:eastAsia="en-GB"/>
        </w:rPr>
        <w:t>. Expert Opin Pharmacother 2007</w:t>
      </w:r>
      <w:r w:rsidRPr="00F74411">
        <w:rPr>
          <w:lang w:eastAsia="en-GB"/>
        </w:rPr>
        <w:t>;</w:t>
      </w:r>
      <w:r>
        <w:rPr>
          <w:lang w:eastAsia="en-GB"/>
        </w:rPr>
        <w:t xml:space="preserve"> </w:t>
      </w:r>
      <w:r w:rsidRPr="00F74411">
        <w:rPr>
          <w:lang w:eastAsia="en-GB"/>
        </w:rPr>
        <w:t>8(16):</w:t>
      </w:r>
      <w:r>
        <w:rPr>
          <w:lang w:eastAsia="en-GB"/>
        </w:rPr>
        <w:t xml:space="preserve"> </w:t>
      </w:r>
      <w:r w:rsidRPr="00F74411">
        <w:rPr>
          <w:lang w:eastAsia="en-GB"/>
        </w:rPr>
        <w:t xml:space="preserve">2743-56. </w:t>
      </w:r>
      <w:proofErr w:type="gramStart"/>
      <w:r w:rsidRPr="00F74411">
        <w:rPr>
          <w:lang w:eastAsia="en-GB"/>
        </w:rPr>
        <w:t>Review.</w:t>
      </w:r>
      <w:proofErr w:type="gramEnd"/>
      <w:r w:rsidRPr="00F74411">
        <w:rPr>
          <w:lang w:eastAsia="en-GB"/>
        </w:rPr>
        <w:t xml:space="preserve"> PubMedPMID: 17956196.</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F74411">
        <w:rPr>
          <w:b/>
          <w:bCs/>
          <w:lang w:eastAsia="en-GB"/>
        </w:rPr>
        <w:t>E3. Vitamin D supplement in patients with known osteoporosis and previous fragility fracture(s) and/or (Bone Mineral Density T-scores more than -2.0 in multiple sites).</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F74411">
        <w:rPr>
          <w:lang w:val="en-IE" w:eastAsia="en-GB"/>
        </w:rPr>
        <w:t>E3(i): Avenell A, Gillespie WJ, Gillespie LD, O'Connell D. Vitamin D and vitamin D analogues for preventing fractures associated with involutional and post-menopausal osteoporo</w:t>
      </w:r>
      <w:r>
        <w:rPr>
          <w:lang w:val="en-IE" w:eastAsia="en-GB"/>
        </w:rPr>
        <w:t>sis. Cochrane Database Syst Rev</w:t>
      </w:r>
      <w:r w:rsidRPr="00F74411">
        <w:rPr>
          <w:lang w:val="en-IE" w:eastAsia="en-GB"/>
        </w:rPr>
        <w:t xml:space="preserve"> 2009 Apr15;</w:t>
      </w:r>
      <w:r>
        <w:rPr>
          <w:lang w:val="en-IE" w:eastAsia="en-GB"/>
        </w:rPr>
        <w:t xml:space="preserve"> </w:t>
      </w:r>
      <w:r w:rsidRPr="00F74411">
        <w:rPr>
          <w:lang w:val="en-IE" w:eastAsia="en-GB"/>
        </w:rPr>
        <w:t xml:space="preserve">(2):CD000227. </w:t>
      </w:r>
      <w:proofErr w:type="gramStart"/>
      <w:r w:rsidRPr="00F74411">
        <w:rPr>
          <w:lang w:val="en-IE" w:eastAsia="en-GB"/>
        </w:rPr>
        <w:t>doi</w:t>
      </w:r>
      <w:proofErr w:type="gramEnd"/>
      <w:r w:rsidRPr="00F74411">
        <w:rPr>
          <w:lang w:val="en-IE" w:eastAsia="en-GB"/>
        </w:rPr>
        <w:t xml:space="preserve">: 10.1002/14651858.CD000227.pub3. </w:t>
      </w:r>
      <w:proofErr w:type="gramStart"/>
      <w:r w:rsidRPr="00F74411">
        <w:rPr>
          <w:lang w:val="en-IE" w:eastAsia="en-GB"/>
        </w:rPr>
        <w:t>Review.</w:t>
      </w:r>
      <w:proofErr w:type="gramEnd"/>
      <w:r w:rsidRPr="00F74411">
        <w:rPr>
          <w:lang w:val="en-IE" w:eastAsia="en-GB"/>
        </w:rPr>
        <w:t xml:space="preserve"> PubMed PMID</w:t>
      </w:r>
      <w:proofErr w:type="gramStart"/>
      <w:r w:rsidRPr="00F74411">
        <w:rPr>
          <w:lang w:val="en-IE" w:eastAsia="en-GB"/>
        </w:rPr>
        <w:t>:19370554</w:t>
      </w:r>
      <w:proofErr w:type="gramEnd"/>
      <w:r w:rsidRPr="00F74411">
        <w:rPr>
          <w:lang w:val="en-IE" w:eastAsia="en-GB"/>
        </w:rPr>
        <w:t>.</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sidRPr="00F74411">
        <w:rPr>
          <w:lang w:val="en-IE" w:eastAsia="en-GB"/>
        </w:rPr>
        <w:t xml:space="preserve">E3(ii): </w:t>
      </w:r>
      <w:r w:rsidRPr="00B2377A">
        <w:rPr>
          <w:lang w:val="en-IE" w:eastAsia="en-GB"/>
        </w:rPr>
        <w:t xml:space="preserve">Bischoff-Ferrari HA, Willett WC, Orav EJ, Lips P, Meunier PJ, Lyons RA,Flicker L, Wark J, Jackson RD, Cauley JA, Meyer HE, Pfeifer M, Sanders KM,Stähelin HB, Theiler R, Dawson-Hughes B. </w:t>
      </w:r>
      <w:proofErr w:type="gramStart"/>
      <w:r w:rsidRPr="00B2377A">
        <w:rPr>
          <w:lang w:val="en-IE" w:eastAsia="en-GB"/>
        </w:rPr>
        <w:t>A pooled analysis of vitamin D dose</w:t>
      </w:r>
      <w:r>
        <w:rPr>
          <w:lang w:val="en-IE" w:eastAsia="en-GB"/>
        </w:rPr>
        <w:t xml:space="preserve"> </w:t>
      </w:r>
      <w:r w:rsidRPr="00B2377A">
        <w:rPr>
          <w:lang w:val="en-IE" w:eastAsia="en-GB"/>
        </w:rPr>
        <w:t>requirements for fracture prevention.</w:t>
      </w:r>
      <w:proofErr w:type="gramEnd"/>
      <w:r w:rsidRPr="00B2377A">
        <w:rPr>
          <w:lang w:val="en-IE" w:eastAsia="en-GB"/>
        </w:rPr>
        <w:t xml:space="preserve"> </w:t>
      </w:r>
      <w:r>
        <w:rPr>
          <w:lang w:val="sv-SE" w:eastAsia="en-GB"/>
        </w:rPr>
        <w:t>N Engl J Med 2012</w:t>
      </w:r>
      <w:r w:rsidRPr="00641440">
        <w:rPr>
          <w:lang w:val="sv-SE" w:eastAsia="en-GB"/>
        </w:rPr>
        <w:t>;</w:t>
      </w:r>
      <w:r>
        <w:rPr>
          <w:lang w:val="sv-SE" w:eastAsia="en-GB"/>
        </w:rPr>
        <w:t xml:space="preserve"> </w:t>
      </w:r>
      <w:r w:rsidRPr="00641440">
        <w:rPr>
          <w:lang w:val="sv-SE" w:eastAsia="en-GB"/>
        </w:rPr>
        <w:t xml:space="preserve">367(1):40-9. Erratum in: N Engl J Med. 2012 Aug 2;367(5):481. </w:t>
      </w:r>
      <w:r w:rsidRPr="00B2377A">
        <w:rPr>
          <w:lang w:val="en-IE" w:eastAsia="en-GB"/>
        </w:rPr>
        <w:t>Oray,</w:t>
      </w:r>
      <w:r>
        <w:rPr>
          <w:lang w:val="en-IE" w:eastAsia="en-GB"/>
        </w:rPr>
        <w:t xml:space="preserve"> </w:t>
      </w:r>
      <w:r w:rsidRPr="00B2377A">
        <w:rPr>
          <w:lang w:val="en-IE" w:eastAsia="en-GB"/>
        </w:rPr>
        <w:t>Endel J [corrected to Orav, Endel J]. PubMed PMID: 22762317.</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F74411">
        <w:rPr>
          <w:b/>
          <w:bCs/>
          <w:lang w:eastAsia="en-GB"/>
        </w:rPr>
        <w:t>E4. Bone anti-resorptive or anabolic therapy (e.g. bisp</w:t>
      </w:r>
      <w:r>
        <w:rPr>
          <w:b/>
          <w:bCs/>
          <w:lang w:eastAsia="en-GB"/>
        </w:rPr>
        <w:t xml:space="preserve">hosphonate, strontium ranelate, </w:t>
      </w:r>
      <w:r w:rsidRPr="00F74411">
        <w:rPr>
          <w:b/>
          <w:bCs/>
          <w:lang w:eastAsia="en-GB"/>
        </w:rPr>
        <w:t>teriparatide, denosumab) in patients with documented osteoporosis, where no pharmacological or clinical status contraindication exists (Bone Mineral Density T-scores -&gt; 2.5 in multiple sites) and/or previous history of fragility fracture(s).</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F74411">
        <w:rPr>
          <w:lang w:val="en-IE" w:eastAsia="en-GB"/>
        </w:rPr>
        <w:t>E4(i): Wells GA, Cranney A, Peterson J, Boucher M, Shea B, Robinson V, Coyle D,Tugwell P. Alendronate for the primary and secondary prevention of osteoporotic fractures in postmenopausal wo</w:t>
      </w:r>
      <w:r>
        <w:rPr>
          <w:lang w:val="en-IE" w:eastAsia="en-GB"/>
        </w:rPr>
        <w:t>men. Cochrane Database Syst Rev</w:t>
      </w:r>
      <w:r w:rsidRPr="00F74411">
        <w:rPr>
          <w:lang w:val="en-IE" w:eastAsia="en-GB"/>
        </w:rPr>
        <w:t xml:space="preserve"> 2008 Jan23;</w:t>
      </w:r>
      <w:r>
        <w:rPr>
          <w:lang w:val="en-IE" w:eastAsia="en-GB"/>
        </w:rPr>
        <w:t xml:space="preserve"> (1): CD001155. </w:t>
      </w:r>
      <w:proofErr w:type="gramStart"/>
      <w:r>
        <w:rPr>
          <w:lang w:val="en-IE" w:eastAsia="en-GB"/>
        </w:rPr>
        <w:t>doi</w:t>
      </w:r>
      <w:proofErr w:type="gramEnd"/>
      <w:r>
        <w:rPr>
          <w:lang w:val="en-IE" w:eastAsia="en-GB"/>
        </w:rPr>
        <w:t xml:space="preserve">: </w:t>
      </w:r>
      <w:r w:rsidRPr="00F74411">
        <w:rPr>
          <w:lang w:val="en-IE" w:eastAsia="en-GB"/>
        </w:rPr>
        <w:t xml:space="preserve">10.1002/14651858.CD001155.pub2. </w:t>
      </w:r>
      <w:proofErr w:type="gramStart"/>
      <w:r w:rsidRPr="00F74411">
        <w:rPr>
          <w:lang w:val="en-IE" w:eastAsia="en-GB"/>
        </w:rPr>
        <w:t>Review.</w:t>
      </w:r>
      <w:proofErr w:type="gramEnd"/>
      <w:r w:rsidRPr="00F74411">
        <w:rPr>
          <w:lang w:val="en-IE" w:eastAsia="en-GB"/>
        </w:rPr>
        <w:t xml:space="preserve"> PubMed PMID:</w:t>
      </w:r>
      <w:r>
        <w:rPr>
          <w:lang w:val="en-IE" w:eastAsia="en-GB"/>
        </w:rPr>
        <w:t xml:space="preserve"> </w:t>
      </w:r>
      <w:r w:rsidRPr="00F74411">
        <w:rPr>
          <w:lang w:val="en-IE" w:eastAsia="en-GB"/>
        </w:rPr>
        <w:t>18253985.</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F74411">
        <w:rPr>
          <w:lang w:val="en-IE" w:eastAsia="en-GB"/>
        </w:rPr>
        <w:t>E4(</w:t>
      </w:r>
      <w:proofErr w:type="gramEnd"/>
      <w:r w:rsidRPr="00F74411">
        <w:rPr>
          <w:lang w:val="en-IE" w:eastAsia="en-GB"/>
        </w:rPr>
        <w:t xml:space="preserve">ii): O'Donnell S, Cranney A, Wells GA, Adachi JD, Reginster JY. </w:t>
      </w:r>
      <w:proofErr w:type="gramStart"/>
      <w:r w:rsidRPr="00F74411">
        <w:rPr>
          <w:lang w:val="en-IE" w:eastAsia="en-GB"/>
        </w:rPr>
        <w:t>Strontium ranelate for preventing and treating postmenopausal osteoporosis.</w:t>
      </w:r>
      <w:proofErr w:type="gramEnd"/>
      <w:r w:rsidRPr="00F74411">
        <w:rPr>
          <w:lang w:val="en-IE" w:eastAsia="en-GB"/>
        </w:rPr>
        <w:t xml:space="preserve"> Cochrane Database Syst</w:t>
      </w:r>
      <w:r>
        <w:rPr>
          <w:lang w:val="en-IE" w:eastAsia="en-GB"/>
        </w:rPr>
        <w:t xml:space="preserve"> Rev</w:t>
      </w:r>
      <w:r w:rsidRPr="00F74411">
        <w:rPr>
          <w:lang w:val="en-IE" w:eastAsia="en-GB"/>
        </w:rPr>
        <w:t xml:space="preserve"> 2006 Oct </w:t>
      </w:r>
      <w:proofErr w:type="gramStart"/>
      <w:r w:rsidRPr="00F74411">
        <w:rPr>
          <w:lang w:val="en-IE" w:eastAsia="en-GB"/>
        </w:rPr>
        <w:t>18;</w:t>
      </w:r>
      <w:proofErr w:type="gramEnd"/>
      <w:r w:rsidRPr="00F74411">
        <w:rPr>
          <w:lang w:val="en-IE" w:eastAsia="en-GB"/>
        </w:rPr>
        <w:t xml:space="preserve">(4):CD005326. </w:t>
      </w:r>
      <w:proofErr w:type="gramStart"/>
      <w:r w:rsidRPr="00F74411">
        <w:rPr>
          <w:lang w:val="en-IE" w:eastAsia="en-GB"/>
        </w:rPr>
        <w:t>Review.</w:t>
      </w:r>
      <w:proofErr w:type="gramEnd"/>
      <w:r w:rsidRPr="00F74411">
        <w:rPr>
          <w:lang w:val="en-IE" w:eastAsia="en-GB"/>
        </w:rPr>
        <w:t xml:space="preserve"> PubMed PMID: 17054253.</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Pr>
          <w:lang w:val="en-IE" w:eastAsia="en-GB"/>
        </w:rPr>
        <w:t xml:space="preserve">E4 (iii): </w:t>
      </w:r>
      <w:r w:rsidRPr="000D6213">
        <w:rPr>
          <w:lang w:val="en-IE" w:eastAsia="en-GB"/>
        </w:rPr>
        <w:t>Nakamura T, Tsujimoto M, Hamaya E, Sowa H, Chen P. Cons</w:t>
      </w:r>
      <w:r>
        <w:rPr>
          <w:lang w:val="en-IE" w:eastAsia="en-GB"/>
        </w:rPr>
        <w:t xml:space="preserve">istency of fracture </w:t>
      </w:r>
      <w:r w:rsidRPr="000D6213">
        <w:rPr>
          <w:lang w:val="en-IE" w:eastAsia="en-GB"/>
        </w:rPr>
        <w:t>risk reduction in Japanese and Caucasian osteoporosis patients treated with</w:t>
      </w:r>
      <w:r>
        <w:rPr>
          <w:lang w:val="en-IE" w:eastAsia="en-GB"/>
        </w:rPr>
        <w:t xml:space="preserve"> </w:t>
      </w:r>
      <w:r w:rsidRPr="000D6213">
        <w:rPr>
          <w:lang w:val="en-IE" w:eastAsia="en-GB"/>
        </w:rPr>
        <w:t>teriparatide: a meta-analys</w:t>
      </w:r>
      <w:r>
        <w:rPr>
          <w:lang w:val="en-IE" w:eastAsia="en-GB"/>
        </w:rPr>
        <w:t>is. J Bone Miner Metab 2012</w:t>
      </w:r>
      <w:r w:rsidRPr="000D6213">
        <w:rPr>
          <w:lang w:val="en-IE" w:eastAsia="en-GB"/>
        </w:rPr>
        <w:t>;</w:t>
      </w:r>
      <w:r>
        <w:rPr>
          <w:lang w:val="en-IE" w:eastAsia="en-GB"/>
        </w:rPr>
        <w:t xml:space="preserve"> </w:t>
      </w:r>
      <w:r w:rsidRPr="000D6213">
        <w:rPr>
          <w:lang w:val="en-IE" w:eastAsia="en-GB"/>
        </w:rPr>
        <w:t>30(3):</w:t>
      </w:r>
      <w:r>
        <w:rPr>
          <w:lang w:val="en-IE" w:eastAsia="en-GB"/>
        </w:rPr>
        <w:t xml:space="preserve"> </w:t>
      </w:r>
      <w:r w:rsidRPr="000D6213">
        <w:rPr>
          <w:lang w:val="en-IE" w:eastAsia="en-GB"/>
        </w:rPr>
        <w:t>321-5. PubMed PMID: 21938382.</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Pr>
          <w:lang w:val="en-IE" w:eastAsia="en-GB"/>
        </w:rPr>
        <w:t>E4(iv</w:t>
      </w:r>
      <w:r w:rsidRPr="00F74411">
        <w:rPr>
          <w:lang w:val="en-IE" w:eastAsia="en-GB"/>
        </w:rPr>
        <w:t>): von Keyserlingk C, Hopkins R, Anastasilakis A, Toulis K, Goeree R, Tarride JE,Xie F. Clinical efficacy and safety of denosumab in postmenopausal women with low</w:t>
      </w:r>
      <w:r>
        <w:rPr>
          <w:lang w:val="en-IE" w:eastAsia="en-GB"/>
        </w:rPr>
        <w:t xml:space="preserve"> </w:t>
      </w:r>
      <w:r w:rsidRPr="00F74411">
        <w:rPr>
          <w:lang w:val="en-IE" w:eastAsia="en-GB"/>
        </w:rPr>
        <w:t>bone mineral density and osteoporosis: a meta-</w:t>
      </w:r>
      <w:r>
        <w:rPr>
          <w:lang w:val="en-IE" w:eastAsia="en-GB"/>
        </w:rPr>
        <w:t>analysis. Semin Arthritis Rheum 2011</w:t>
      </w:r>
      <w:r w:rsidRPr="00F74411">
        <w:rPr>
          <w:lang w:val="en-IE" w:eastAsia="en-GB"/>
        </w:rPr>
        <w:t>;</w:t>
      </w:r>
      <w:r>
        <w:rPr>
          <w:lang w:val="en-IE" w:eastAsia="en-GB"/>
        </w:rPr>
        <w:t xml:space="preserve"> </w:t>
      </w:r>
      <w:r w:rsidRPr="00F74411">
        <w:rPr>
          <w:lang w:val="en-IE" w:eastAsia="en-GB"/>
        </w:rPr>
        <w:t>41(2):178-86. PubMed PMID: 21616520.</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F74411">
        <w:rPr>
          <w:b/>
          <w:bCs/>
          <w:lang w:eastAsia="en-GB"/>
        </w:rPr>
        <w:t>E5. Vitamin D supplement in older people who are housebound or experiencing falls or with osteopenia (Bone Mineral Density T-score is &gt; -1.0 but &lt; -2.5 in multiple sites).</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F74411">
        <w:rPr>
          <w:lang w:val="en-IE" w:eastAsia="en-GB"/>
        </w:rPr>
        <w:t>E5(</w:t>
      </w:r>
      <w:proofErr w:type="gramEnd"/>
      <w:r w:rsidRPr="00F74411">
        <w:rPr>
          <w:lang w:val="en-IE" w:eastAsia="en-GB"/>
        </w:rPr>
        <w:t xml:space="preserve">i): Cameron ID, Gillespie LD, Robertson MC, Murray GR, Hill KD, Cumming RG, Kerse </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F74411">
        <w:rPr>
          <w:lang w:val="en-IE" w:eastAsia="en-GB"/>
        </w:rPr>
        <w:t xml:space="preserve">N. Interventions for preventing </w:t>
      </w:r>
      <w:proofErr w:type="gramStart"/>
      <w:r w:rsidRPr="00F74411">
        <w:rPr>
          <w:lang w:val="en-IE" w:eastAsia="en-GB"/>
        </w:rPr>
        <w:t>falls</w:t>
      </w:r>
      <w:proofErr w:type="gramEnd"/>
      <w:r w:rsidRPr="00F74411">
        <w:rPr>
          <w:lang w:val="en-IE" w:eastAsia="en-GB"/>
        </w:rPr>
        <w:t xml:space="preserve"> in older people in care facilities and hospit</w:t>
      </w:r>
      <w:r>
        <w:rPr>
          <w:lang w:val="en-IE" w:eastAsia="en-GB"/>
        </w:rPr>
        <w:t>als. Cochrane Database Syst Rev</w:t>
      </w:r>
      <w:r w:rsidRPr="00F74411">
        <w:rPr>
          <w:lang w:val="en-IE" w:eastAsia="en-GB"/>
        </w:rPr>
        <w:t xml:space="preserve"> 2012 Dec 12</w:t>
      </w:r>
      <w:proofErr w:type="gramStart"/>
      <w:r w:rsidRPr="00F74411">
        <w:rPr>
          <w:lang w:val="en-IE" w:eastAsia="en-GB"/>
        </w:rPr>
        <w:t>;12:CD005465</w:t>
      </w:r>
      <w:proofErr w:type="gramEnd"/>
      <w:r w:rsidRPr="00F74411">
        <w:rPr>
          <w:lang w:val="en-IE" w:eastAsia="en-GB"/>
        </w:rPr>
        <w:t xml:space="preserve">. doi:10.1002/14651858.CD005465.pub3. </w:t>
      </w:r>
      <w:proofErr w:type="gramStart"/>
      <w:r w:rsidRPr="00F74411">
        <w:rPr>
          <w:lang w:val="en-IE" w:eastAsia="en-GB"/>
        </w:rPr>
        <w:t>Review.</w:t>
      </w:r>
      <w:proofErr w:type="gramEnd"/>
      <w:r w:rsidRPr="00F74411">
        <w:rPr>
          <w:lang w:val="en-IE" w:eastAsia="en-GB"/>
        </w:rPr>
        <w:t xml:space="preserve"> PubMed PMID: 23235623.</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F74411">
        <w:rPr>
          <w:lang w:val="en-IE" w:eastAsia="en-GB"/>
        </w:rPr>
        <w:t>E5(ii): Michael YL, Whitlock EP, Lin JS, Fu R, O'Connor EA, Gold R; US Preventive Services Task Force. Primary care-relevant interventions to prevent falling in older adults: a systematic evidence review for the U.S. Preventive Servi</w:t>
      </w:r>
      <w:r>
        <w:rPr>
          <w:lang w:val="en-IE" w:eastAsia="en-GB"/>
        </w:rPr>
        <w:t>ces Task Force. Ann Intern Med 2010</w:t>
      </w:r>
      <w:r w:rsidRPr="00F74411">
        <w:rPr>
          <w:lang w:val="en-IE" w:eastAsia="en-GB"/>
        </w:rPr>
        <w:t>;</w:t>
      </w:r>
      <w:r>
        <w:rPr>
          <w:lang w:val="en-IE" w:eastAsia="en-GB"/>
        </w:rPr>
        <w:t xml:space="preserve"> </w:t>
      </w:r>
      <w:r w:rsidRPr="00F74411">
        <w:rPr>
          <w:lang w:val="en-IE" w:eastAsia="en-GB"/>
        </w:rPr>
        <w:t>153(12):</w:t>
      </w:r>
      <w:r>
        <w:rPr>
          <w:lang w:val="en-IE" w:eastAsia="en-GB"/>
        </w:rPr>
        <w:t xml:space="preserve"> </w:t>
      </w:r>
      <w:r w:rsidRPr="00F74411">
        <w:rPr>
          <w:lang w:val="en-IE" w:eastAsia="en-GB"/>
        </w:rPr>
        <w:t xml:space="preserve">815-25. </w:t>
      </w:r>
      <w:proofErr w:type="gramStart"/>
      <w:r w:rsidRPr="00F74411">
        <w:rPr>
          <w:lang w:val="en-IE" w:eastAsia="en-GB"/>
        </w:rPr>
        <w:t>Review.</w:t>
      </w:r>
      <w:proofErr w:type="gramEnd"/>
      <w:r w:rsidRPr="00F74411">
        <w:rPr>
          <w:lang w:val="en-IE" w:eastAsia="en-GB"/>
        </w:rPr>
        <w:t xml:space="preserve"> PubMed PMID: 21173416.</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F74411">
        <w:rPr>
          <w:lang w:val="en-IE" w:eastAsia="en-GB"/>
        </w:rPr>
        <w:t xml:space="preserve">E5(iii): Kalyani RR, Stein B, Valiyil R, Manno R, Maynard JW, Crews DC. Vitamin D treatment for the prevention of falls in older adults: systematic review and </w:t>
      </w:r>
      <w:r>
        <w:rPr>
          <w:lang w:val="en-IE" w:eastAsia="en-GB"/>
        </w:rPr>
        <w:t>meta-analysis. J Am Geriatr Soc 2010</w:t>
      </w:r>
      <w:r w:rsidRPr="00F74411">
        <w:rPr>
          <w:lang w:val="en-IE" w:eastAsia="en-GB"/>
        </w:rPr>
        <w:t>;</w:t>
      </w:r>
      <w:r>
        <w:rPr>
          <w:lang w:val="en-IE" w:eastAsia="en-GB"/>
        </w:rPr>
        <w:t xml:space="preserve"> </w:t>
      </w:r>
      <w:r w:rsidRPr="00F74411">
        <w:rPr>
          <w:lang w:val="en-IE" w:eastAsia="en-GB"/>
        </w:rPr>
        <w:t>58(7):</w:t>
      </w:r>
      <w:r>
        <w:rPr>
          <w:lang w:val="en-IE" w:eastAsia="en-GB"/>
        </w:rPr>
        <w:t xml:space="preserve"> </w:t>
      </w:r>
      <w:r w:rsidRPr="00F74411">
        <w:rPr>
          <w:lang w:val="en-IE" w:eastAsia="en-GB"/>
        </w:rPr>
        <w:t>1299-</w:t>
      </w:r>
      <w:r>
        <w:rPr>
          <w:lang w:val="en-IE" w:eastAsia="en-GB"/>
        </w:rPr>
        <w:t xml:space="preserve">310. </w:t>
      </w:r>
      <w:proofErr w:type="gramStart"/>
      <w:r w:rsidRPr="00F74411">
        <w:rPr>
          <w:lang w:val="en-IE" w:eastAsia="en-GB"/>
        </w:rPr>
        <w:t>Review.</w:t>
      </w:r>
      <w:proofErr w:type="gramEnd"/>
      <w:r w:rsidRPr="00F74411">
        <w:rPr>
          <w:lang w:val="en-IE" w:eastAsia="en-GB"/>
        </w:rPr>
        <w:t xml:space="preserve"> PubMed PMID</w:t>
      </w:r>
      <w:proofErr w:type="gramStart"/>
      <w:r w:rsidRPr="00F74411">
        <w:rPr>
          <w:lang w:val="en-IE" w:eastAsia="en-GB"/>
        </w:rPr>
        <w:t>:</w:t>
      </w:r>
      <w:r>
        <w:rPr>
          <w:lang w:val="en-IE" w:eastAsia="en-GB"/>
        </w:rPr>
        <w:t>20579169</w:t>
      </w:r>
      <w:proofErr w:type="gramEnd"/>
      <w:r w:rsidRPr="00F74411">
        <w:rPr>
          <w:lang w:val="en-IE" w:eastAsia="en-GB"/>
        </w:rPr>
        <w:t>.</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IE" w:eastAsia="en-GB"/>
        </w:rPr>
      </w:pPr>
      <w:r w:rsidRPr="00F74411">
        <w:rPr>
          <w:b/>
          <w:bCs/>
          <w:lang w:eastAsia="en-GB"/>
        </w:rPr>
        <w:t xml:space="preserve">E6. </w:t>
      </w:r>
      <w:proofErr w:type="gramStart"/>
      <w:r w:rsidRPr="00F74411">
        <w:rPr>
          <w:b/>
          <w:bCs/>
          <w:lang w:eastAsia="en-GB"/>
        </w:rPr>
        <w:t>Xanthine-oxidase inhibitors (e.g. allopurinol, febuxostat) with a history of recurrent episodes of gout.</w:t>
      </w:r>
      <w:proofErr w:type="gramEnd"/>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F74411">
        <w:rPr>
          <w:lang w:val="en-IE" w:eastAsia="en-GB"/>
        </w:rPr>
        <w:t>E6(</w:t>
      </w:r>
      <w:proofErr w:type="gramEnd"/>
      <w:r w:rsidRPr="00F74411">
        <w:rPr>
          <w:lang w:val="en-IE" w:eastAsia="en-GB"/>
        </w:rPr>
        <w:t xml:space="preserve">i): Fravel MA, Ernst ME. </w:t>
      </w:r>
      <w:proofErr w:type="gramStart"/>
      <w:r w:rsidRPr="00F74411">
        <w:rPr>
          <w:lang w:val="en-IE" w:eastAsia="en-GB"/>
        </w:rPr>
        <w:t>Management of gout in the older adult.</w:t>
      </w:r>
      <w:proofErr w:type="gramEnd"/>
      <w:r w:rsidRPr="00F74411">
        <w:rPr>
          <w:lang w:val="en-IE" w:eastAsia="en-GB"/>
        </w:rPr>
        <w:t xml:space="preserve"> Am J Geriatr</w:t>
      </w:r>
      <w:r>
        <w:rPr>
          <w:lang w:val="en-IE" w:eastAsia="en-GB"/>
        </w:rPr>
        <w:t xml:space="preserve"> Pharmacother 2011</w:t>
      </w:r>
      <w:r w:rsidRPr="00F74411">
        <w:rPr>
          <w:lang w:val="en-IE" w:eastAsia="en-GB"/>
        </w:rPr>
        <w:t>;</w:t>
      </w:r>
      <w:r>
        <w:rPr>
          <w:lang w:val="en-IE" w:eastAsia="en-GB"/>
        </w:rPr>
        <w:t xml:space="preserve"> </w:t>
      </w:r>
      <w:r w:rsidRPr="00F74411">
        <w:rPr>
          <w:lang w:val="en-IE" w:eastAsia="en-GB"/>
        </w:rPr>
        <w:t>9(5):</w:t>
      </w:r>
      <w:r>
        <w:rPr>
          <w:lang w:val="en-IE" w:eastAsia="en-GB"/>
        </w:rPr>
        <w:t xml:space="preserve"> </w:t>
      </w:r>
      <w:r w:rsidRPr="00F74411">
        <w:rPr>
          <w:lang w:val="en-IE" w:eastAsia="en-GB"/>
        </w:rPr>
        <w:t xml:space="preserve">271-85. </w:t>
      </w:r>
      <w:proofErr w:type="gramStart"/>
      <w:r w:rsidRPr="00F74411">
        <w:rPr>
          <w:lang w:val="en-IE" w:eastAsia="en-GB"/>
        </w:rPr>
        <w:t>Review.</w:t>
      </w:r>
      <w:proofErr w:type="gramEnd"/>
      <w:r w:rsidRPr="00F74411">
        <w:rPr>
          <w:lang w:val="en-IE" w:eastAsia="en-GB"/>
        </w:rPr>
        <w:t xml:space="preserve"> PubMed PMID: 21849262.</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F74411">
        <w:rPr>
          <w:lang w:val="en-IE" w:eastAsia="en-GB"/>
        </w:rPr>
        <w:t xml:space="preserve">E6(ii): Zhang W, Doherty M, Bardin T, Pascual E, Barskova V, Conaghan P, Gerster J,Jacobs J, Leeb B, Lioté F, McCarthy G, Netter P, Nuki G, Perez-Ruiz F, Pignone A,Pimentão J, Punzi L, Roddy E, Uhlig T, Zimmermann-Gòrska I; EULAR Standing Committee for International Clinical Studies Including </w:t>
      </w:r>
      <w:r w:rsidRPr="00F74411">
        <w:rPr>
          <w:lang w:val="en-IE" w:eastAsia="en-GB"/>
        </w:rPr>
        <w:lastRenderedPageBreak/>
        <w:t xml:space="preserve">Therapeutics. EULAR evidence based recommendations for gout. Part II: Management. </w:t>
      </w:r>
      <w:proofErr w:type="gramStart"/>
      <w:r w:rsidRPr="00F74411">
        <w:rPr>
          <w:lang w:val="en-IE" w:eastAsia="en-GB"/>
        </w:rPr>
        <w:t>Report of a task force of the EULAR Standing Committee for International Clinical Studies Including Therapeutics (E</w:t>
      </w:r>
      <w:r>
        <w:rPr>
          <w:lang w:val="en-IE" w:eastAsia="en-GB"/>
        </w:rPr>
        <w:t>SCISIT).</w:t>
      </w:r>
      <w:proofErr w:type="gramEnd"/>
      <w:r>
        <w:rPr>
          <w:lang w:val="en-IE" w:eastAsia="en-GB"/>
        </w:rPr>
        <w:t xml:space="preserve"> Ann Rheum Dis. 2006</w:t>
      </w:r>
      <w:r w:rsidRPr="00F74411">
        <w:rPr>
          <w:lang w:val="en-IE" w:eastAsia="en-GB"/>
        </w:rPr>
        <w:t>;</w:t>
      </w:r>
      <w:r>
        <w:rPr>
          <w:lang w:val="en-IE" w:eastAsia="en-GB"/>
        </w:rPr>
        <w:t xml:space="preserve"> </w:t>
      </w:r>
      <w:r w:rsidRPr="00F74411">
        <w:rPr>
          <w:lang w:val="en-IE" w:eastAsia="en-GB"/>
        </w:rPr>
        <w:t>65(10):</w:t>
      </w:r>
      <w:r>
        <w:rPr>
          <w:lang w:val="en-IE" w:eastAsia="en-GB"/>
        </w:rPr>
        <w:t xml:space="preserve"> </w:t>
      </w:r>
      <w:r w:rsidRPr="00F74411">
        <w:rPr>
          <w:lang w:val="en-IE" w:eastAsia="en-GB"/>
        </w:rPr>
        <w:t>1312-24</w:t>
      </w:r>
      <w:r>
        <w:rPr>
          <w:lang w:val="en-IE" w:eastAsia="en-GB"/>
        </w:rPr>
        <w:t xml:space="preserve">. </w:t>
      </w:r>
      <w:proofErr w:type="gramStart"/>
      <w:r w:rsidRPr="00F74411">
        <w:rPr>
          <w:lang w:val="en-IE" w:eastAsia="en-GB"/>
        </w:rPr>
        <w:t>Review.</w:t>
      </w:r>
      <w:proofErr w:type="gramEnd"/>
      <w:r w:rsidRPr="00F74411">
        <w:rPr>
          <w:lang w:val="en-IE" w:eastAsia="en-GB"/>
        </w:rPr>
        <w:t xml:space="preserve"> PubMed PMID: 1</w:t>
      </w:r>
      <w:r>
        <w:rPr>
          <w:lang w:val="en-IE" w:eastAsia="en-GB"/>
        </w:rPr>
        <w:t>6707532</w:t>
      </w:r>
      <w:r w:rsidRPr="00F74411">
        <w:rPr>
          <w:lang w:val="en-IE" w:eastAsia="en-GB"/>
        </w:rPr>
        <w:t>.</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F74411">
        <w:rPr>
          <w:lang w:val="en-IE" w:eastAsia="en-GB"/>
        </w:rPr>
        <w:t>E6(</w:t>
      </w:r>
      <w:proofErr w:type="gramEnd"/>
      <w:r w:rsidRPr="00F74411">
        <w:rPr>
          <w:lang w:val="en-IE" w:eastAsia="en-GB"/>
        </w:rPr>
        <w:t xml:space="preserve">iii): Tayar JH, Lopez-Olivo MA, Suarez-Almazor ME. </w:t>
      </w:r>
      <w:proofErr w:type="gramStart"/>
      <w:r w:rsidRPr="00F74411">
        <w:rPr>
          <w:lang w:val="en-IE" w:eastAsia="en-GB"/>
        </w:rPr>
        <w:t>Febuxo</w:t>
      </w:r>
      <w:r>
        <w:rPr>
          <w:lang w:val="en-IE" w:eastAsia="en-GB"/>
        </w:rPr>
        <w:t>stat for treating chronic gout.</w:t>
      </w:r>
      <w:proofErr w:type="gramEnd"/>
      <w:r>
        <w:rPr>
          <w:lang w:val="en-IE" w:eastAsia="en-GB"/>
        </w:rPr>
        <w:t xml:space="preserve"> </w:t>
      </w:r>
      <w:r w:rsidRPr="00F74411">
        <w:rPr>
          <w:lang w:val="en-IE" w:eastAsia="en-GB"/>
        </w:rPr>
        <w:t>Cochrane Database Syst Rev. 2012 Nov 14</w:t>
      </w:r>
      <w:proofErr w:type="gramStart"/>
      <w:r w:rsidRPr="00F74411">
        <w:rPr>
          <w:lang w:val="en-IE" w:eastAsia="en-GB"/>
        </w:rPr>
        <w:t>;11:CD008653</w:t>
      </w:r>
      <w:proofErr w:type="gramEnd"/>
      <w:r w:rsidRPr="00F74411">
        <w:rPr>
          <w:lang w:val="en-IE" w:eastAsia="en-GB"/>
        </w:rPr>
        <w:t xml:space="preserve">. doi:10.1002/14651858.CD008653.pub2. </w:t>
      </w:r>
      <w:proofErr w:type="gramStart"/>
      <w:r w:rsidRPr="00F74411">
        <w:rPr>
          <w:lang w:val="en-IE" w:eastAsia="en-GB"/>
        </w:rPr>
        <w:t>Review.</w:t>
      </w:r>
      <w:proofErr w:type="gramEnd"/>
      <w:r w:rsidRPr="00F74411">
        <w:rPr>
          <w:lang w:val="en-IE" w:eastAsia="en-GB"/>
        </w:rPr>
        <w:t xml:space="preserve"> PubMed PMID: 23152264.</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F74411">
        <w:rPr>
          <w:b/>
          <w:bCs/>
          <w:lang w:eastAsia="en-GB"/>
        </w:rPr>
        <w:t xml:space="preserve">E7. </w:t>
      </w:r>
      <w:proofErr w:type="gramStart"/>
      <w:r w:rsidRPr="00F74411">
        <w:rPr>
          <w:b/>
          <w:bCs/>
          <w:lang w:eastAsia="en-GB"/>
        </w:rPr>
        <w:t>Folic acid supplement in patients taking methotexate.</w:t>
      </w:r>
      <w:proofErr w:type="gramEnd"/>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F74411">
        <w:rPr>
          <w:lang w:val="en-IE" w:eastAsia="en-GB"/>
        </w:rPr>
        <w:t xml:space="preserve">E7(i): Visser K, Katchamart W, Loza E, Martinez-Lopez JA, Salliot C, Trudeau J,Bombardier C, Carmona L, van der Heijde D, Bijlsma JW, Boumpas DT, Canhao H,Edwards CJ, Hamuryudan V, Kvien TK, Leeb BF, Martín-Mola EM, Mielants H,Müller-Ladner U, Murphy G, Østergaard M, Pereira IA, Ramos-Remus C, Valentini G, Zochling J, Dougados </w:t>
      </w:r>
      <w:r>
        <w:rPr>
          <w:lang w:val="en-IE" w:eastAsia="en-GB"/>
        </w:rPr>
        <w:t xml:space="preserve">M. Multinational evidence-based </w:t>
      </w:r>
      <w:r w:rsidRPr="00F74411">
        <w:rPr>
          <w:lang w:val="en-IE" w:eastAsia="en-GB"/>
        </w:rPr>
        <w:t>recommendations for the use of methotrexate in rheumatic disorders with a focus on rheumatoid arthritis: integrating systematic literature research and expert opinion of a broad international panel of rheumatologists in t</w:t>
      </w:r>
      <w:r>
        <w:rPr>
          <w:lang w:val="en-IE" w:eastAsia="en-GB"/>
        </w:rPr>
        <w:t>he 3E Initiative. Ann Rheum Dis 2009</w:t>
      </w:r>
      <w:r w:rsidRPr="00F74411">
        <w:rPr>
          <w:lang w:val="en-IE" w:eastAsia="en-GB"/>
        </w:rPr>
        <w:t>;</w:t>
      </w:r>
      <w:r>
        <w:rPr>
          <w:lang w:val="en-IE" w:eastAsia="en-GB"/>
        </w:rPr>
        <w:t xml:space="preserve"> </w:t>
      </w:r>
      <w:r w:rsidRPr="00F74411">
        <w:rPr>
          <w:lang w:val="en-IE" w:eastAsia="en-GB"/>
        </w:rPr>
        <w:t>68(7):</w:t>
      </w:r>
      <w:r>
        <w:rPr>
          <w:lang w:val="en-IE" w:eastAsia="en-GB"/>
        </w:rPr>
        <w:t xml:space="preserve"> 1086-93. PubMed PMID: </w:t>
      </w:r>
      <w:r w:rsidRPr="00F74411">
        <w:rPr>
          <w:lang w:val="en-IE" w:eastAsia="en-GB"/>
        </w:rPr>
        <w:t>19</w:t>
      </w:r>
      <w:r>
        <w:rPr>
          <w:lang w:val="en-IE" w:eastAsia="en-GB"/>
        </w:rPr>
        <w:t>033291</w:t>
      </w:r>
      <w:r w:rsidRPr="00F74411">
        <w:rPr>
          <w:lang w:val="en-IE" w:eastAsia="en-GB"/>
        </w:rPr>
        <w:t>.</w:t>
      </w: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F74411"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F74411">
        <w:rPr>
          <w:lang w:val="en-IE" w:eastAsia="en-GB"/>
        </w:rPr>
        <w:t>E7(ii): Ortiz Z, Shea B, Suarez Almazor M, Moher D, Wells G, Tugwell P. Folic acid and folinic acid for reducing side effects in patients receiving methotrexate for rheumatoid arthritis. Cochrane Database Syst Rev 2000;</w:t>
      </w:r>
      <w:r>
        <w:rPr>
          <w:lang w:val="en-IE" w:eastAsia="en-GB"/>
        </w:rPr>
        <w:t xml:space="preserve"> </w:t>
      </w:r>
      <w:r w:rsidRPr="00F74411">
        <w:rPr>
          <w:lang w:val="en-IE" w:eastAsia="en-GB"/>
        </w:rPr>
        <w:t xml:space="preserve">(2):CD000951. </w:t>
      </w:r>
      <w:proofErr w:type="gramStart"/>
      <w:r w:rsidRPr="00F74411">
        <w:rPr>
          <w:lang w:val="en-IE" w:eastAsia="en-GB"/>
        </w:rPr>
        <w:t>Review.</w:t>
      </w:r>
      <w:proofErr w:type="gramEnd"/>
      <w:r>
        <w:rPr>
          <w:lang w:val="en-IE" w:eastAsia="en-GB"/>
        </w:rPr>
        <w:t xml:space="preserve"> </w:t>
      </w:r>
      <w:r w:rsidRPr="00F74411">
        <w:rPr>
          <w:lang w:val="en-IE" w:eastAsia="en-GB"/>
        </w:rPr>
        <w:t>PubMed PMID: 10796393.</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9627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r>
        <w:rPr>
          <w:b/>
          <w:bCs/>
          <w:sz w:val="28"/>
          <w:szCs w:val="28"/>
          <w:lang w:eastAsia="en-GB"/>
        </w:rPr>
        <w:t>Section F: Endocrine System c</w:t>
      </w:r>
      <w:r w:rsidRPr="0009627B">
        <w:rPr>
          <w:b/>
          <w:bCs/>
          <w:sz w:val="28"/>
          <w:szCs w:val="28"/>
          <w:lang w:eastAsia="en-GB"/>
        </w:rPr>
        <w:t>riteria.</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9627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09627B">
        <w:rPr>
          <w:b/>
          <w:bCs/>
          <w:lang w:eastAsia="en-GB"/>
        </w:rPr>
        <w:t xml:space="preserve">F1. </w:t>
      </w:r>
      <w:proofErr w:type="gramStart"/>
      <w:r w:rsidRPr="0009627B">
        <w:rPr>
          <w:b/>
          <w:bCs/>
          <w:lang w:eastAsia="en-GB"/>
        </w:rPr>
        <w:t>ACE inhibitor or Angiotensin Receptor Blocker (if intolerant of ACE inhibitor) in diabetes with evidence of renal disease i.e. overt dipstick proteinuria or microalbuminuria (&gt;30mg/24 hours) with or without serum biochemical renal impairment.</w:t>
      </w:r>
      <w:proofErr w:type="gramEnd"/>
    </w:p>
    <w:p w:rsidR="00851DC2" w:rsidRPr="0009627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IE" w:eastAsia="en-GB"/>
        </w:rPr>
      </w:pPr>
    </w:p>
    <w:p w:rsidR="00851DC2" w:rsidRPr="0009627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09627B">
        <w:rPr>
          <w:lang w:val="en-IE" w:eastAsia="en-GB"/>
        </w:rPr>
        <w:t>F1(</w:t>
      </w:r>
      <w:proofErr w:type="gramEnd"/>
      <w:r w:rsidRPr="0009627B">
        <w:rPr>
          <w:lang w:val="en-IE" w:eastAsia="en-GB"/>
        </w:rPr>
        <w:t xml:space="preserve">i): Lv J, Perkovic V, Foote CV, Craig ME, Craig JC, Strippoli GF. </w:t>
      </w:r>
      <w:proofErr w:type="gramStart"/>
      <w:r w:rsidRPr="0009627B">
        <w:rPr>
          <w:lang w:val="en-IE" w:eastAsia="en-GB"/>
        </w:rPr>
        <w:t>Antihypertensive agents for preventing diabetic kidney dise</w:t>
      </w:r>
      <w:r>
        <w:rPr>
          <w:lang w:val="en-IE" w:eastAsia="en-GB"/>
        </w:rPr>
        <w:t>ase.</w:t>
      </w:r>
      <w:proofErr w:type="gramEnd"/>
      <w:r>
        <w:rPr>
          <w:lang w:val="en-IE" w:eastAsia="en-GB"/>
        </w:rPr>
        <w:t xml:space="preserve"> Cochrane Database Syst Rev</w:t>
      </w:r>
      <w:r w:rsidRPr="0009627B">
        <w:rPr>
          <w:lang w:val="en-IE" w:eastAsia="en-GB"/>
        </w:rPr>
        <w:t xml:space="preserve"> 2012</w:t>
      </w:r>
      <w:r>
        <w:rPr>
          <w:lang w:val="en-IE" w:eastAsia="en-GB"/>
        </w:rPr>
        <w:t xml:space="preserve"> </w:t>
      </w:r>
      <w:r w:rsidRPr="0009627B">
        <w:rPr>
          <w:lang w:val="en-IE" w:eastAsia="en-GB"/>
        </w:rPr>
        <w:t>Dec 12</w:t>
      </w:r>
      <w:proofErr w:type="gramStart"/>
      <w:r w:rsidRPr="0009627B">
        <w:rPr>
          <w:lang w:val="en-IE" w:eastAsia="en-GB"/>
        </w:rPr>
        <w:t>;12:CD004136</w:t>
      </w:r>
      <w:proofErr w:type="gramEnd"/>
      <w:r w:rsidRPr="0009627B">
        <w:rPr>
          <w:lang w:val="en-IE" w:eastAsia="en-GB"/>
        </w:rPr>
        <w:t xml:space="preserve">. </w:t>
      </w:r>
      <w:proofErr w:type="gramStart"/>
      <w:r w:rsidRPr="0009627B">
        <w:rPr>
          <w:lang w:val="en-IE" w:eastAsia="en-GB"/>
        </w:rPr>
        <w:t>doi</w:t>
      </w:r>
      <w:proofErr w:type="gramEnd"/>
      <w:r w:rsidRPr="0009627B">
        <w:rPr>
          <w:lang w:val="en-IE" w:eastAsia="en-GB"/>
        </w:rPr>
        <w:t xml:space="preserve">: 10.1002/14651858.CD004136.pub3. </w:t>
      </w:r>
      <w:proofErr w:type="gramStart"/>
      <w:r w:rsidRPr="0009627B">
        <w:rPr>
          <w:lang w:val="en-IE" w:eastAsia="en-GB"/>
        </w:rPr>
        <w:t>Review.</w:t>
      </w:r>
      <w:proofErr w:type="gramEnd"/>
      <w:r w:rsidRPr="0009627B">
        <w:rPr>
          <w:lang w:val="en-IE" w:eastAsia="en-GB"/>
        </w:rPr>
        <w:t xml:space="preserve"> PubMed PMID</w:t>
      </w:r>
      <w:proofErr w:type="gramStart"/>
      <w:r w:rsidRPr="0009627B">
        <w:rPr>
          <w:lang w:val="en-IE" w:eastAsia="en-GB"/>
        </w:rPr>
        <w:t>:23235603</w:t>
      </w:r>
      <w:proofErr w:type="gramEnd"/>
      <w:r w:rsidRPr="0009627B">
        <w:rPr>
          <w:lang w:val="en-IE" w:eastAsia="en-GB"/>
        </w:rPr>
        <w:t>.</w:t>
      </w:r>
    </w:p>
    <w:p w:rsidR="00851DC2" w:rsidRPr="0009627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09627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09627B">
        <w:rPr>
          <w:lang w:val="en-IE" w:eastAsia="en-GB"/>
        </w:rPr>
        <w:t>F1(</w:t>
      </w:r>
      <w:proofErr w:type="gramEnd"/>
      <w:r w:rsidRPr="0009627B">
        <w:rPr>
          <w:lang w:val="en-IE" w:eastAsia="en-GB"/>
        </w:rPr>
        <w:t>ii): Strippoli GF, Bonifati C, Craig M, Navaneethan SD, Craig JC. Angiotensin converting enzyme inhibitors and angiotensin II receptor antagonists for preventing the progression of diabetic kidney disease.Cochrane Database Syst</w:t>
      </w:r>
      <w:r>
        <w:rPr>
          <w:lang w:val="en-IE" w:eastAsia="en-GB"/>
        </w:rPr>
        <w:t xml:space="preserve"> Rev</w:t>
      </w:r>
      <w:r w:rsidRPr="0009627B">
        <w:rPr>
          <w:lang w:val="en-IE" w:eastAsia="en-GB"/>
        </w:rPr>
        <w:t xml:space="preserve"> 2006 Oct </w:t>
      </w:r>
      <w:proofErr w:type="gramStart"/>
      <w:r w:rsidRPr="0009627B">
        <w:rPr>
          <w:lang w:val="en-IE" w:eastAsia="en-GB"/>
        </w:rPr>
        <w:t>18;</w:t>
      </w:r>
      <w:proofErr w:type="gramEnd"/>
      <w:r w:rsidRPr="0009627B">
        <w:rPr>
          <w:lang w:val="en-IE" w:eastAsia="en-GB"/>
        </w:rPr>
        <w:t xml:space="preserve">(4):CD006257. </w:t>
      </w:r>
      <w:proofErr w:type="gramStart"/>
      <w:r w:rsidRPr="0009627B">
        <w:rPr>
          <w:lang w:val="en-IE" w:eastAsia="en-GB"/>
        </w:rPr>
        <w:t>Review.</w:t>
      </w:r>
      <w:proofErr w:type="gramEnd"/>
      <w:r w:rsidRPr="0009627B">
        <w:rPr>
          <w:lang w:val="en-IE" w:eastAsia="en-GB"/>
        </w:rPr>
        <w:t xml:space="preserve"> PubMed PMID: 17054288.</w:t>
      </w:r>
    </w:p>
    <w:p w:rsidR="00851DC2" w:rsidRPr="0009627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09627B"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09627B">
        <w:rPr>
          <w:lang w:val="en-IE" w:eastAsia="en-GB"/>
        </w:rPr>
        <w:t>F1(</w:t>
      </w:r>
      <w:proofErr w:type="gramEnd"/>
      <w:r w:rsidRPr="0009627B">
        <w:rPr>
          <w:lang w:val="en-IE" w:eastAsia="en-GB"/>
        </w:rPr>
        <w:t>iii): Blacklock CL, Hirst JA, Taylor KS, Stevens RJ, Roberts NW, Farmer AJ. Evidence for a dose effect of renin-angiotensin system inhibition on progression of microalbuminuria in Type 2 diabet</w:t>
      </w:r>
      <w:r>
        <w:rPr>
          <w:lang w:val="en-IE" w:eastAsia="en-GB"/>
        </w:rPr>
        <w:t>es: a meta-analysis. Diabet Med 2011</w:t>
      </w:r>
      <w:r w:rsidRPr="0009627B">
        <w:rPr>
          <w:lang w:val="en-IE" w:eastAsia="en-GB"/>
        </w:rPr>
        <w:t>;</w:t>
      </w:r>
      <w:r>
        <w:rPr>
          <w:lang w:val="en-IE" w:eastAsia="en-GB"/>
        </w:rPr>
        <w:t xml:space="preserve"> </w:t>
      </w:r>
      <w:r w:rsidRPr="0009627B">
        <w:rPr>
          <w:lang w:val="en-IE" w:eastAsia="en-GB"/>
        </w:rPr>
        <w:t>28(10):</w:t>
      </w:r>
      <w:r>
        <w:rPr>
          <w:lang w:val="en-IE" w:eastAsia="en-GB"/>
        </w:rPr>
        <w:t xml:space="preserve"> </w:t>
      </w:r>
      <w:r w:rsidRPr="0009627B">
        <w:rPr>
          <w:lang w:val="en-IE" w:eastAsia="en-GB"/>
        </w:rPr>
        <w:t>1182-7. PubMed PMID: 21627686.</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C8055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r>
        <w:rPr>
          <w:b/>
          <w:bCs/>
          <w:sz w:val="28"/>
          <w:szCs w:val="28"/>
          <w:lang w:eastAsia="en-GB"/>
        </w:rPr>
        <w:t>Section G: Urogenital System c</w:t>
      </w:r>
      <w:r w:rsidRPr="00C80552">
        <w:rPr>
          <w:b/>
          <w:bCs/>
          <w:sz w:val="28"/>
          <w:szCs w:val="28"/>
          <w:lang w:eastAsia="en-GB"/>
        </w:rPr>
        <w:t>riteria.</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E743D6">
        <w:rPr>
          <w:b/>
          <w:bCs/>
          <w:lang w:eastAsia="en-GB"/>
        </w:rPr>
        <w:t xml:space="preserve">G1. </w:t>
      </w:r>
      <w:proofErr w:type="gramStart"/>
      <w:r w:rsidRPr="00E743D6">
        <w:rPr>
          <w:b/>
          <w:bCs/>
          <w:lang w:eastAsia="en-GB"/>
        </w:rPr>
        <w:t>Alpha-1 receptor blocker with symptomatic prostatism, where prostatectomy is not considered necessary.</w:t>
      </w:r>
      <w:proofErr w:type="gramEnd"/>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E743D6">
        <w:rPr>
          <w:lang w:val="en-IE" w:eastAsia="en-GB"/>
        </w:rPr>
        <w:lastRenderedPageBreak/>
        <w:t>G1(</w:t>
      </w:r>
      <w:proofErr w:type="gramEnd"/>
      <w:r w:rsidRPr="00E743D6">
        <w:rPr>
          <w:lang w:val="en-IE" w:eastAsia="en-GB"/>
        </w:rPr>
        <w:t xml:space="preserve">i): Lowe FC. </w:t>
      </w:r>
      <w:proofErr w:type="gramStart"/>
      <w:r w:rsidRPr="00E743D6">
        <w:rPr>
          <w:lang w:val="en-IE" w:eastAsia="en-GB"/>
        </w:rPr>
        <w:t>Role of the newer alpha, -adrenergic-receptor antagonists in the treatment of benign prostatic hyperplasia-related lower urinary tract symptoms.</w:t>
      </w:r>
      <w:proofErr w:type="gramEnd"/>
      <w:r>
        <w:rPr>
          <w:lang w:val="en-IE" w:eastAsia="en-GB"/>
        </w:rPr>
        <w:t xml:space="preserve"> Clin Ther 2004</w:t>
      </w:r>
      <w:r w:rsidRPr="00E743D6">
        <w:rPr>
          <w:lang w:val="en-IE" w:eastAsia="en-GB"/>
        </w:rPr>
        <w:t>;</w:t>
      </w:r>
      <w:r>
        <w:rPr>
          <w:lang w:val="en-IE" w:eastAsia="en-GB"/>
        </w:rPr>
        <w:t xml:space="preserve"> </w:t>
      </w:r>
      <w:r w:rsidRPr="00E743D6">
        <w:rPr>
          <w:lang w:val="en-IE" w:eastAsia="en-GB"/>
        </w:rPr>
        <w:t>26(11):</w:t>
      </w:r>
      <w:r>
        <w:rPr>
          <w:lang w:val="en-IE" w:eastAsia="en-GB"/>
        </w:rPr>
        <w:t xml:space="preserve"> </w:t>
      </w:r>
      <w:r w:rsidRPr="00E743D6">
        <w:rPr>
          <w:lang w:val="en-IE" w:eastAsia="en-GB"/>
        </w:rPr>
        <w:t xml:space="preserve">1701-13. </w:t>
      </w:r>
      <w:proofErr w:type="gramStart"/>
      <w:r w:rsidRPr="00E743D6">
        <w:rPr>
          <w:lang w:val="en-IE" w:eastAsia="en-GB"/>
        </w:rPr>
        <w:t>Review.</w:t>
      </w:r>
      <w:proofErr w:type="gramEnd"/>
      <w:r w:rsidRPr="00E743D6">
        <w:rPr>
          <w:lang w:val="en-IE" w:eastAsia="en-GB"/>
        </w:rPr>
        <w:t xml:space="preserve"> PubMed PMID: 15639685.</w:t>
      </w: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proofErr w:type="gramStart"/>
      <w:r w:rsidRPr="00E743D6">
        <w:rPr>
          <w:lang w:val="en-IE" w:eastAsia="en-GB"/>
        </w:rPr>
        <w:t>G1(</w:t>
      </w:r>
      <w:proofErr w:type="gramEnd"/>
      <w:r w:rsidRPr="00E743D6">
        <w:rPr>
          <w:lang w:val="en-IE" w:eastAsia="en-GB"/>
        </w:rPr>
        <w:t xml:space="preserve">ii): </w:t>
      </w:r>
      <w:r w:rsidRPr="00F36A07">
        <w:rPr>
          <w:lang w:val="en-IE" w:eastAsia="en-GB"/>
        </w:rPr>
        <w:t>Schwinn DA, Roehrborn CG. Alpha1-adrenoceptor s</w:t>
      </w:r>
      <w:r>
        <w:rPr>
          <w:lang w:val="en-IE" w:eastAsia="en-GB"/>
        </w:rPr>
        <w:t xml:space="preserve">ubtypes and </w:t>
      </w:r>
      <w:proofErr w:type="gramStart"/>
      <w:r>
        <w:rPr>
          <w:lang w:val="en-IE" w:eastAsia="en-GB"/>
        </w:rPr>
        <w:t>lower</w:t>
      </w:r>
      <w:proofErr w:type="gramEnd"/>
      <w:r>
        <w:rPr>
          <w:lang w:val="en-IE" w:eastAsia="en-GB"/>
        </w:rPr>
        <w:t xml:space="preserve"> urinary tracsymptoms. Int J Urol 2008</w:t>
      </w:r>
      <w:r w:rsidRPr="00F36A07">
        <w:rPr>
          <w:lang w:val="en-IE" w:eastAsia="en-GB"/>
        </w:rPr>
        <w:t>;</w:t>
      </w:r>
      <w:r>
        <w:rPr>
          <w:lang w:val="en-IE" w:eastAsia="en-GB"/>
        </w:rPr>
        <w:t xml:space="preserve"> </w:t>
      </w:r>
      <w:r w:rsidRPr="00F36A07">
        <w:rPr>
          <w:lang w:val="en-IE" w:eastAsia="en-GB"/>
        </w:rPr>
        <w:t xml:space="preserve">15(3):193-9. </w:t>
      </w:r>
      <w:proofErr w:type="gramStart"/>
      <w:r w:rsidRPr="00F36A07">
        <w:rPr>
          <w:lang w:val="en-IE" w:eastAsia="en-GB"/>
        </w:rPr>
        <w:t>Review.</w:t>
      </w:r>
      <w:proofErr w:type="gramEnd"/>
      <w:r w:rsidRPr="00F36A07">
        <w:rPr>
          <w:lang w:val="en-IE" w:eastAsia="en-GB"/>
        </w:rPr>
        <w:t xml:space="preserve"> PubMed PMID: 18304211</w:t>
      </w: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proofErr w:type="gramStart"/>
      <w:r w:rsidRPr="00E743D6">
        <w:rPr>
          <w:lang w:val="en-IE" w:eastAsia="en-GB"/>
        </w:rPr>
        <w:t>G1(</w:t>
      </w:r>
      <w:proofErr w:type="gramEnd"/>
      <w:r w:rsidRPr="00E743D6">
        <w:rPr>
          <w:lang w:val="en-IE" w:eastAsia="en-GB"/>
        </w:rPr>
        <w:t xml:space="preserve">iii): </w:t>
      </w:r>
      <w:r w:rsidRPr="00F36A07">
        <w:rPr>
          <w:lang w:val="en-IE" w:eastAsia="en-GB"/>
        </w:rPr>
        <w:t>Dunn CJ, Matheson A, Faulds DM. Tamsulosin: a</w:t>
      </w:r>
      <w:r>
        <w:rPr>
          <w:lang w:val="en-IE" w:eastAsia="en-GB"/>
        </w:rPr>
        <w:t xml:space="preserve"> review of its pharmacology and </w:t>
      </w:r>
      <w:r w:rsidRPr="00F36A07">
        <w:rPr>
          <w:lang w:val="en-IE" w:eastAsia="en-GB"/>
        </w:rPr>
        <w:t>therapeutic efficacy in the management of lower urinary tract symptoms. Drugs</w:t>
      </w:r>
      <w:r>
        <w:rPr>
          <w:lang w:val="en-IE" w:eastAsia="en-GB"/>
        </w:rPr>
        <w:t xml:space="preserve"> Aging</w:t>
      </w:r>
      <w:r w:rsidRPr="00F36A07">
        <w:rPr>
          <w:lang w:val="en-IE" w:eastAsia="en-GB"/>
        </w:rPr>
        <w:t xml:space="preserve"> 2002;</w:t>
      </w:r>
      <w:r>
        <w:rPr>
          <w:lang w:val="en-IE" w:eastAsia="en-GB"/>
        </w:rPr>
        <w:t xml:space="preserve"> </w:t>
      </w:r>
      <w:r w:rsidRPr="00F36A07">
        <w:rPr>
          <w:lang w:val="en-IE" w:eastAsia="en-GB"/>
        </w:rPr>
        <w:t xml:space="preserve">19(2):135-61. </w:t>
      </w:r>
      <w:proofErr w:type="gramStart"/>
      <w:r w:rsidRPr="00F36A07">
        <w:rPr>
          <w:lang w:val="en-IE" w:eastAsia="en-GB"/>
        </w:rPr>
        <w:t>Review.</w:t>
      </w:r>
      <w:proofErr w:type="gramEnd"/>
      <w:r w:rsidRPr="00F36A07">
        <w:rPr>
          <w:lang w:val="en-IE" w:eastAsia="en-GB"/>
        </w:rPr>
        <w:t xml:space="preserve"> PubMed PMID: 11950378.</w:t>
      </w: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E743D6">
        <w:rPr>
          <w:b/>
          <w:bCs/>
          <w:lang w:eastAsia="en-GB"/>
        </w:rPr>
        <w:t xml:space="preserve">G2. </w:t>
      </w:r>
      <w:proofErr w:type="gramStart"/>
      <w:r w:rsidRPr="00E743D6">
        <w:rPr>
          <w:b/>
          <w:bCs/>
          <w:lang w:eastAsia="en-GB"/>
        </w:rPr>
        <w:t>5-alpha reductase inhibitor with symptomatic prostatism, where prostatectomy is not considered necessary.</w:t>
      </w:r>
      <w:proofErr w:type="gramEnd"/>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F3425F">
        <w:rPr>
          <w:lang w:val="sv-SE" w:eastAsia="en-GB"/>
        </w:rPr>
        <w:t xml:space="preserve">G2(i): Tacklind J, Fink HA, Macdonald R, Rutks I, Wilt TJ. </w:t>
      </w:r>
      <w:proofErr w:type="gramStart"/>
      <w:r w:rsidRPr="00E743D6">
        <w:rPr>
          <w:lang w:val="en-IE" w:eastAsia="en-GB"/>
        </w:rPr>
        <w:t>Finasteride for benign prostatic hyperplasia.</w:t>
      </w:r>
      <w:proofErr w:type="gramEnd"/>
      <w:r w:rsidRPr="00E743D6">
        <w:rPr>
          <w:lang w:val="en-IE" w:eastAsia="en-GB"/>
        </w:rPr>
        <w:t xml:space="preserve"> Cochrane Database Syst Rev. 2010 Oct </w:t>
      </w:r>
      <w:proofErr w:type="gramStart"/>
      <w:r w:rsidRPr="00E743D6">
        <w:rPr>
          <w:lang w:val="en-IE" w:eastAsia="en-GB"/>
        </w:rPr>
        <w:t>6;</w:t>
      </w:r>
      <w:proofErr w:type="gramEnd"/>
      <w:r w:rsidRPr="00E743D6">
        <w:rPr>
          <w:lang w:val="en-IE" w:eastAsia="en-GB"/>
        </w:rPr>
        <w:t>(10):</w:t>
      </w:r>
      <w:r>
        <w:rPr>
          <w:lang w:val="en-IE" w:eastAsia="en-GB"/>
        </w:rPr>
        <w:t xml:space="preserve"> CD006015. </w:t>
      </w:r>
      <w:proofErr w:type="gramStart"/>
      <w:r>
        <w:rPr>
          <w:lang w:val="en-IE" w:eastAsia="en-GB"/>
        </w:rPr>
        <w:t>doi</w:t>
      </w:r>
      <w:proofErr w:type="gramEnd"/>
      <w:r>
        <w:rPr>
          <w:lang w:val="en-IE" w:eastAsia="en-GB"/>
        </w:rPr>
        <w:t xml:space="preserve">: </w:t>
      </w:r>
      <w:r w:rsidRPr="00E743D6">
        <w:rPr>
          <w:lang w:val="en-IE" w:eastAsia="en-GB"/>
        </w:rPr>
        <w:t xml:space="preserve">10.1002/14651858.CD006015.pub3. </w:t>
      </w:r>
      <w:proofErr w:type="gramStart"/>
      <w:r w:rsidRPr="00E743D6">
        <w:rPr>
          <w:lang w:val="en-IE" w:eastAsia="en-GB"/>
        </w:rPr>
        <w:t>Review.</w:t>
      </w:r>
      <w:proofErr w:type="gramEnd"/>
      <w:r w:rsidRPr="00E743D6">
        <w:rPr>
          <w:lang w:val="en-IE" w:eastAsia="en-GB"/>
        </w:rPr>
        <w:t xml:space="preserve"> PubMed PMID: 20927745.</w:t>
      </w: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E743D6">
        <w:rPr>
          <w:lang w:val="en-IE" w:eastAsia="en-GB"/>
        </w:rPr>
        <w:t>G2(</w:t>
      </w:r>
      <w:proofErr w:type="gramEnd"/>
      <w:r w:rsidRPr="00E743D6">
        <w:rPr>
          <w:lang w:val="en-IE" w:eastAsia="en-GB"/>
        </w:rPr>
        <w:t>ii): O'Leary MP, Roehrborn CG, Black L. Dutasteride significantly improves quality  of life measures in patients with enlarged pros</w:t>
      </w:r>
      <w:r>
        <w:rPr>
          <w:lang w:val="en-IE" w:eastAsia="en-GB"/>
        </w:rPr>
        <w:t>tate. Prostate Cancer Prostatic Dis</w:t>
      </w:r>
      <w:r w:rsidRPr="00E743D6">
        <w:rPr>
          <w:lang w:val="en-IE" w:eastAsia="en-GB"/>
        </w:rPr>
        <w:t xml:space="preserve"> 2008;</w:t>
      </w:r>
      <w:r>
        <w:rPr>
          <w:lang w:val="en-IE" w:eastAsia="en-GB"/>
        </w:rPr>
        <w:t xml:space="preserve"> </w:t>
      </w:r>
      <w:r w:rsidRPr="00E743D6">
        <w:rPr>
          <w:lang w:val="en-IE" w:eastAsia="en-GB"/>
        </w:rPr>
        <w:t>11(2):129-33. PubMed PMID: 17592479.</w:t>
      </w: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E743D6">
        <w:rPr>
          <w:lang w:val="en-IE" w:eastAsia="en-GB"/>
        </w:rPr>
        <w:t>G2(</w:t>
      </w:r>
      <w:proofErr w:type="gramEnd"/>
      <w:r w:rsidRPr="00E743D6">
        <w:rPr>
          <w:lang w:val="en-IE" w:eastAsia="en-GB"/>
        </w:rPr>
        <w:t>iii): Roehrborn CG. BPH progression: concept and k</w:t>
      </w:r>
      <w:r>
        <w:rPr>
          <w:lang w:val="en-IE" w:eastAsia="en-GB"/>
        </w:rPr>
        <w:t>ey learning from MTOPS, ALTESS, COMBAT, and ALF-ONE. BJU Int 2008</w:t>
      </w:r>
      <w:r w:rsidRPr="00E743D6">
        <w:rPr>
          <w:lang w:val="en-IE" w:eastAsia="en-GB"/>
        </w:rPr>
        <w:t>;</w:t>
      </w:r>
      <w:r>
        <w:rPr>
          <w:lang w:val="en-IE" w:eastAsia="en-GB"/>
        </w:rPr>
        <w:t xml:space="preserve"> </w:t>
      </w:r>
      <w:r w:rsidRPr="00E743D6">
        <w:rPr>
          <w:lang w:val="en-IE" w:eastAsia="en-GB"/>
        </w:rPr>
        <w:t>101 Suppl 3:</w:t>
      </w:r>
      <w:r>
        <w:rPr>
          <w:lang w:val="en-IE" w:eastAsia="en-GB"/>
        </w:rPr>
        <w:t xml:space="preserve"> </w:t>
      </w:r>
      <w:r w:rsidRPr="00E743D6">
        <w:rPr>
          <w:lang w:val="en-IE" w:eastAsia="en-GB"/>
        </w:rPr>
        <w:t>17-21</w:t>
      </w:r>
      <w:r>
        <w:rPr>
          <w:lang w:val="en-IE" w:eastAsia="en-GB"/>
        </w:rPr>
        <w:t xml:space="preserve">. </w:t>
      </w:r>
      <w:proofErr w:type="gramStart"/>
      <w:r w:rsidRPr="00E743D6">
        <w:rPr>
          <w:lang w:val="en-IE" w:eastAsia="en-GB"/>
        </w:rPr>
        <w:t>Review.</w:t>
      </w:r>
      <w:proofErr w:type="gramEnd"/>
      <w:r w:rsidRPr="00E743D6">
        <w:rPr>
          <w:lang w:val="en-IE" w:eastAsia="en-GB"/>
        </w:rPr>
        <w:t xml:space="preserve"> PubMed PMID: 18307681.</w:t>
      </w: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Pr>
          <w:b/>
          <w:bCs/>
          <w:lang w:eastAsia="en-GB"/>
        </w:rPr>
        <w:t>G3</w:t>
      </w:r>
      <w:r w:rsidRPr="00E743D6">
        <w:rPr>
          <w:b/>
          <w:bCs/>
          <w:lang w:eastAsia="en-GB"/>
        </w:rPr>
        <w:t xml:space="preserve">. </w:t>
      </w:r>
      <w:proofErr w:type="gramStart"/>
      <w:r w:rsidRPr="00E743D6">
        <w:rPr>
          <w:b/>
          <w:bCs/>
          <w:lang w:eastAsia="en-GB"/>
        </w:rPr>
        <w:t>Topical vaginal oestrogen or vaginal oestrogen pessary for symptomatic atrophic vaginitis.</w:t>
      </w:r>
      <w:proofErr w:type="gramEnd"/>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Pr>
          <w:lang w:val="en-IE" w:eastAsia="en-GB"/>
        </w:rPr>
        <w:t xml:space="preserve">G3 </w:t>
      </w:r>
      <w:r w:rsidRPr="00E743D6">
        <w:rPr>
          <w:lang w:val="en-IE" w:eastAsia="en-GB"/>
        </w:rPr>
        <w:t>(i): Lynch C. Vaginal estrogen therapy for the treatment of atrophic vagin</w:t>
      </w:r>
      <w:r>
        <w:rPr>
          <w:lang w:val="en-IE" w:eastAsia="en-GB"/>
        </w:rPr>
        <w:t>itis. J Womens Health (Larchmt) 2009</w:t>
      </w:r>
      <w:r w:rsidRPr="00E743D6">
        <w:rPr>
          <w:lang w:val="en-IE" w:eastAsia="en-GB"/>
        </w:rPr>
        <w:t>;</w:t>
      </w:r>
      <w:r>
        <w:rPr>
          <w:lang w:val="en-IE" w:eastAsia="en-GB"/>
        </w:rPr>
        <w:t xml:space="preserve"> </w:t>
      </w:r>
      <w:r w:rsidRPr="00E743D6">
        <w:rPr>
          <w:lang w:val="en-IE" w:eastAsia="en-GB"/>
        </w:rPr>
        <w:t>18(10):</w:t>
      </w:r>
      <w:r>
        <w:rPr>
          <w:lang w:val="en-IE" w:eastAsia="en-GB"/>
        </w:rPr>
        <w:t xml:space="preserve"> </w:t>
      </w:r>
      <w:r w:rsidRPr="00E743D6">
        <w:rPr>
          <w:lang w:val="en-IE" w:eastAsia="en-GB"/>
        </w:rPr>
        <w:t>1595-6</w:t>
      </w:r>
      <w:r>
        <w:rPr>
          <w:lang w:val="en-IE" w:eastAsia="en-GB"/>
        </w:rPr>
        <w:t xml:space="preserve">06. </w:t>
      </w:r>
      <w:proofErr w:type="gramStart"/>
      <w:r w:rsidRPr="00E743D6">
        <w:rPr>
          <w:lang w:val="en-IE" w:eastAsia="en-GB"/>
        </w:rPr>
        <w:t>Review.</w:t>
      </w:r>
      <w:proofErr w:type="gramEnd"/>
      <w:r w:rsidRPr="00E743D6">
        <w:rPr>
          <w:lang w:val="en-IE" w:eastAsia="en-GB"/>
        </w:rPr>
        <w:t xml:space="preserve"> PubMed PMID: 19788364.</w:t>
      </w: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Pr>
          <w:lang w:val="en-IE" w:eastAsia="en-GB"/>
        </w:rPr>
        <w:t xml:space="preserve">G3 </w:t>
      </w:r>
      <w:r w:rsidRPr="00E743D6">
        <w:rPr>
          <w:lang w:val="en-IE" w:eastAsia="en-GB"/>
        </w:rPr>
        <w:t>(ii): Bachmann G, Bouchard C, Hoppe D, Ranganath R, A</w:t>
      </w:r>
      <w:r>
        <w:rPr>
          <w:lang w:val="en-IE" w:eastAsia="en-GB"/>
        </w:rPr>
        <w:t xml:space="preserve">ltomare C, Vieweg A, Graepel J, </w:t>
      </w:r>
      <w:r w:rsidRPr="00E743D6">
        <w:rPr>
          <w:lang w:val="en-IE" w:eastAsia="en-GB"/>
        </w:rPr>
        <w:t>Helzner E. Efficacy and safety of low-dose regimen</w:t>
      </w:r>
      <w:r>
        <w:rPr>
          <w:lang w:val="en-IE" w:eastAsia="en-GB"/>
        </w:rPr>
        <w:t xml:space="preserve">s of conjugated estrogens cream </w:t>
      </w:r>
      <w:r w:rsidRPr="00E743D6">
        <w:rPr>
          <w:lang w:val="en-IE" w:eastAsia="en-GB"/>
        </w:rPr>
        <w:t>adm</w:t>
      </w:r>
      <w:r>
        <w:rPr>
          <w:lang w:val="en-IE" w:eastAsia="en-GB"/>
        </w:rPr>
        <w:t>inistered vaginally. Menopause 2009</w:t>
      </w:r>
      <w:r w:rsidRPr="00E743D6">
        <w:rPr>
          <w:lang w:val="en-IE" w:eastAsia="en-GB"/>
        </w:rPr>
        <w:t>;</w:t>
      </w:r>
      <w:r>
        <w:rPr>
          <w:lang w:val="en-IE" w:eastAsia="en-GB"/>
        </w:rPr>
        <w:t xml:space="preserve"> </w:t>
      </w:r>
      <w:r w:rsidRPr="00E743D6">
        <w:rPr>
          <w:lang w:val="en-IE" w:eastAsia="en-GB"/>
        </w:rPr>
        <w:t>16(4):</w:t>
      </w:r>
      <w:r>
        <w:rPr>
          <w:lang w:val="en-IE" w:eastAsia="en-GB"/>
        </w:rPr>
        <w:t xml:space="preserve"> </w:t>
      </w:r>
      <w:r w:rsidRPr="00E743D6">
        <w:rPr>
          <w:lang w:val="en-IE" w:eastAsia="en-GB"/>
        </w:rPr>
        <w:t>719-27.PubMed PMID: 19436223.</w:t>
      </w: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E743D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Pr>
          <w:lang w:val="en-IE" w:eastAsia="en-GB"/>
        </w:rPr>
        <w:t>G3 (</w:t>
      </w:r>
      <w:r w:rsidRPr="00E743D6">
        <w:rPr>
          <w:lang w:val="en-IE" w:eastAsia="en-GB"/>
        </w:rPr>
        <w:t>i</w:t>
      </w:r>
      <w:r>
        <w:rPr>
          <w:lang w:val="en-IE" w:eastAsia="en-GB"/>
        </w:rPr>
        <w:t>i</w:t>
      </w:r>
      <w:r w:rsidRPr="00E743D6">
        <w:rPr>
          <w:lang w:val="en-IE" w:eastAsia="en-GB"/>
        </w:rPr>
        <w:t xml:space="preserve">i): Mainini G, Scaffa C, Rotondi M, Messalli </w:t>
      </w:r>
      <w:r>
        <w:rPr>
          <w:lang w:val="en-IE" w:eastAsia="en-GB"/>
        </w:rPr>
        <w:t xml:space="preserve">EM, Quirino L, Ragucci A. Local </w:t>
      </w:r>
      <w:r w:rsidRPr="00E743D6">
        <w:rPr>
          <w:lang w:val="en-IE" w:eastAsia="en-GB"/>
        </w:rPr>
        <w:t>estrogen replacement therapy in postmenopausal a</w:t>
      </w:r>
      <w:r>
        <w:rPr>
          <w:lang w:val="en-IE" w:eastAsia="en-GB"/>
        </w:rPr>
        <w:t xml:space="preserve">trophic vaginitis: efficacy and </w:t>
      </w:r>
      <w:r w:rsidRPr="00E743D6">
        <w:rPr>
          <w:lang w:val="en-IE" w:eastAsia="en-GB"/>
        </w:rPr>
        <w:t>safety of low dose 17beta-estradiol vaginal tablets</w:t>
      </w:r>
      <w:r>
        <w:rPr>
          <w:lang w:val="en-IE" w:eastAsia="en-GB"/>
        </w:rPr>
        <w:t xml:space="preserve">. Clin Exp Obstet Gynecol </w:t>
      </w:r>
      <w:r w:rsidRPr="00E743D6">
        <w:rPr>
          <w:lang w:val="en-IE" w:eastAsia="en-GB"/>
        </w:rPr>
        <w:t>2005;</w:t>
      </w:r>
      <w:r>
        <w:rPr>
          <w:lang w:val="en-IE" w:eastAsia="en-GB"/>
        </w:rPr>
        <w:t xml:space="preserve"> </w:t>
      </w:r>
      <w:r w:rsidRPr="00E743D6">
        <w:rPr>
          <w:lang w:val="en-IE" w:eastAsia="en-GB"/>
        </w:rPr>
        <w:t>32(2):</w:t>
      </w:r>
      <w:r>
        <w:rPr>
          <w:lang w:val="en-IE" w:eastAsia="en-GB"/>
        </w:rPr>
        <w:t xml:space="preserve"> </w:t>
      </w:r>
      <w:r w:rsidRPr="00E743D6">
        <w:rPr>
          <w:lang w:val="en-IE" w:eastAsia="en-GB"/>
        </w:rPr>
        <w:t>111-3. PubMed PMID: 16108394.</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802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r w:rsidRPr="000802C2">
        <w:rPr>
          <w:b/>
          <w:bCs/>
          <w:sz w:val="28"/>
          <w:szCs w:val="28"/>
          <w:lang w:eastAsia="en-GB"/>
        </w:rPr>
        <w:t>Section H: Analgesics</w:t>
      </w:r>
      <w:r>
        <w:rPr>
          <w:b/>
          <w:bCs/>
          <w:sz w:val="28"/>
          <w:szCs w:val="28"/>
          <w:lang w:eastAsia="en-GB"/>
        </w:rPr>
        <w:t xml:space="preserve"> criteria</w:t>
      </w:r>
      <w:r w:rsidRPr="000802C2">
        <w:rPr>
          <w:b/>
          <w:bCs/>
          <w:sz w:val="28"/>
          <w:szCs w:val="28"/>
          <w:lang w:eastAsia="en-GB"/>
        </w:rPr>
        <w:t>.</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0802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0802C2">
        <w:rPr>
          <w:b/>
          <w:bCs/>
          <w:lang w:eastAsia="en-GB"/>
        </w:rPr>
        <w:t xml:space="preserve">H1. </w:t>
      </w:r>
      <w:proofErr w:type="gramStart"/>
      <w:r w:rsidRPr="000802C2">
        <w:rPr>
          <w:b/>
          <w:bCs/>
          <w:lang w:eastAsia="en-GB"/>
        </w:rPr>
        <w:t>High-potency opioids in moderate-severe pain, where paracetamol, NSAIDs or low-potency opioids are not appropriate to the pain severity or have been ineffective.</w:t>
      </w:r>
      <w:proofErr w:type="gramEnd"/>
    </w:p>
    <w:p w:rsidR="00851DC2" w:rsidRPr="000802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val="en-IE" w:eastAsia="en-GB"/>
        </w:rPr>
      </w:pPr>
    </w:p>
    <w:p w:rsidR="00851DC2" w:rsidRPr="00675C5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nl-BE" w:eastAsia="en-GB"/>
        </w:rPr>
      </w:pPr>
      <w:r w:rsidRPr="000802C2">
        <w:rPr>
          <w:lang w:val="en-IE" w:eastAsia="en-GB"/>
        </w:rPr>
        <w:t>H1(i): Papaleontiou M, Henderson CR Jr, Turner BJ, Moore AA, Olkhovskaya Y, Amanfo L,Reid MC. Outcomes associated with opioid use in the treatment of chronic non</w:t>
      </w:r>
      <w:r>
        <w:rPr>
          <w:lang w:val="en-IE" w:eastAsia="en-GB"/>
        </w:rPr>
        <w:t>-</w:t>
      </w:r>
      <w:r w:rsidRPr="000802C2">
        <w:rPr>
          <w:lang w:val="en-IE" w:eastAsia="en-GB"/>
        </w:rPr>
        <w:t xml:space="preserve">cancer pain in older adults: a systematic review and meta-analysis. </w:t>
      </w:r>
      <w:r>
        <w:rPr>
          <w:lang w:val="nl-BE" w:eastAsia="en-GB"/>
        </w:rPr>
        <w:t>J Am Geriatr Soc 2010</w:t>
      </w:r>
      <w:r w:rsidRPr="00675C5F">
        <w:rPr>
          <w:lang w:val="nl-BE" w:eastAsia="en-GB"/>
        </w:rPr>
        <w:t>;</w:t>
      </w:r>
      <w:r>
        <w:rPr>
          <w:lang w:val="nl-BE" w:eastAsia="en-GB"/>
        </w:rPr>
        <w:t xml:space="preserve"> </w:t>
      </w:r>
      <w:r w:rsidRPr="00675C5F">
        <w:rPr>
          <w:lang w:val="nl-BE" w:eastAsia="en-GB"/>
        </w:rPr>
        <w:t>58(7):</w:t>
      </w:r>
      <w:r>
        <w:rPr>
          <w:lang w:val="nl-BE" w:eastAsia="en-GB"/>
        </w:rPr>
        <w:t xml:space="preserve"> </w:t>
      </w:r>
      <w:r w:rsidRPr="00675C5F">
        <w:rPr>
          <w:lang w:val="nl-BE" w:eastAsia="en-GB"/>
        </w:rPr>
        <w:t>1353-69. Review. PubMed PMID: 20533971.</w:t>
      </w:r>
    </w:p>
    <w:p w:rsidR="00851DC2" w:rsidRPr="00675C5F"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nl-BE" w:eastAsia="en-GB"/>
        </w:rPr>
      </w:pPr>
    </w:p>
    <w:p w:rsidR="00851DC2" w:rsidRPr="000802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675C5F">
        <w:rPr>
          <w:lang w:val="nl-BE" w:eastAsia="en-GB"/>
        </w:rPr>
        <w:t xml:space="preserve">H1(ii): van Ojik AL, Jansen PA, Brouwers JR, van Roon EN. </w:t>
      </w:r>
      <w:r w:rsidRPr="000802C2">
        <w:rPr>
          <w:lang w:val="en-IE" w:eastAsia="en-GB"/>
        </w:rPr>
        <w:t>Treatment of chronic pain in older people: evidence-based choice of str</w:t>
      </w:r>
      <w:r>
        <w:rPr>
          <w:lang w:val="en-IE" w:eastAsia="en-GB"/>
        </w:rPr>
        <w:t>ong-acting opioids. Drugs Aging 2012</w:t>
      </w:r>
      <w:r w:rsidRPr="000802C2">
        <w:rPr>
          <w:lang w:val="en-IE" w:eastAsia="en-GB"/>
        </w:rPr>
        <w:t>;</w:t>
      </w:r>
      <w:r>
        <w:rPr>
          <w:lang w:val="en-IE" w:eastAsia="en-GB"/>
        </w:rPr>
        <w:t xml:space="preserve"> </w:t>
      </w:r>
      <w:r w:rsidRPr="000802C2">
        <w:rPr>
          <w:lang w:val="en-IE" w:eastAsia="en-GB"/>
        </w:rPr>
        <w:t>29(8):</w:t>
      </w:r>
      <w:r>
        <w:rPr>
          <w:lang w:val="en-IE" w:eastAsia="en-GB"/>
        </w:rPr>
        <w:t xml:space="preserve"> </w:t>
      </w:r>
      <w:r w:rsidRPr="000802C2">
        <w:rPr>
          <w:lang w:val="en-IE" w:eastAsia="en-GB"/>
        </w:rPr>
        <w:t xml:space="preserve">615-25. </w:t>
      </w:r>
      <w:proofErr w:type="gramStart"/>
      <w:r w:rsidRPr="000802C2">
        <w:rPr>
          <w:lang w:val="en-IE" w:eastAsia="en-GB"/>
        </w:rPr>
        <w:t>Review.</w:t>
      </w:r>
      <w:proofErr w:type="gramEnd"/>
      <w:r w:rsidRPr="000802C2">
        <w:rPr>
          <w:lang w:val="en-IE" w:eastAsia="en-GB"/>
        </w:rPr>
        <w:t xml:space="preserve"> PubMed PMID:</w:t>
      </w:r>
      <w:r>
        <w:rPr>
          <w:lang w:val="en-IE" w:eastAsia="en-GB"/>
        </w:rPr>
        <w:t xml:space="preserve"> </w:t>
      </w:r>
      <w:r w:rsidRPr="000802C2">
        <w:rPr>
          <w:lang w:val="en-IE" w:eastAsia="en-GB"/>
        </w:rPr>
        <w:t>22765848.</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0802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0802C2">
        <w:rPr>
          <w:b/>
          <w:bCs/>
          <w:lang w:eastAsia="en-GB"/>
        </w:rPr>
        <w:t xml:space="preserve">H2. </w:t>
      </w:r>
      <w:proofErr w:type="gramStart"/>
      <w:r w:rsidRPr="000802C2">
        <w:rPr>
          <w:b/>
          <w:bCs/>
          <w:lang w:eastAsia="en-GB"/>
        </w:rPr>
        <w:t>Laxatives in patients receiving opioids regularly.</w:t>
      </w:r>
      <w:proofErr w:type="gramEnd"/>
    </w:p>
    <w:p w:rsidR="00851DC2" w:rsidRPr="000802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0802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r w:rsidRPr="000802C2">
        <w:rPr>
          <w:lang w:val="en-IE" w:eastAsia="en-GB"/>
        </w:rPr>
        <w:t xml:space="preserve">H2(i): Cook SF, Lanza L, Zhou X, Sweeney CT, Goss D, Hollis K, Mangel AW, Fehnel SE. Gastrointestinal side effects in chronic opioid users: results from a population-based </w:t>
      </w:r>
      <w:r>
        <w:rPr>
          <w:lang w:val="en-IE" w:eastAsia="en-GB"/>
        </w:rPr>
        <w:t>survey. Aliment Pharmacol Ther 2008</w:t>
      </w:r>
      <w:r w:rsidRPr="000802C2">
        <w:rPr>
          <w:lang w:val="en-IE" w:eastAsia="en-GB"/>
        </w:rPr>
        <w:t>;</w:t>
      </w:r>
      <w:r>
        <w:rPr>
          <w:lang w:val="en-IE" w:eastAsia="en-GB"/>
        </w:rPr>
        <w:t xml:space="preserve"> </w:t>
      </w:r>
      <w:r w:rsidRPr="000802C2">
        <w:rPr>
          <w:lang w:val="en-IE" w:eastAsia="en-GB"/>
        </w:rPr>
        <w:t>27(12):</w:t>
      </w:r>
      <w:r>
        <w:rPr>
          <w:lang w:val="en-IE" w:eastAsia="en-GB"/>
        </w:rPr>
        <w:t xml:space="preserve"> </w:t>
      </w:r>
      <w:r w:rsidRPr="000802C2">
        <w:rPr>
          <w:lang w:val="en-IE" w:eastAsia="en-GB"/>
        </w:rPr>
        <w:t>1224-32. PubMed PMID: 18363893.</w:t>
      </w:r>
    </w:p>
    <w:p w:rsidR="00851DC2" w:rsidRPr="000802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
    <w:p w:rsidR="00851DC2" w:rsidRPr="000802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E" w:eastAsia="en-GB"/>
        </w:rPr>
      </w:pPr>
      <w:proofErr w:type="gramStart"/>
      <w:r w:rsidRPr="000802C2">
        <w:rPr>
          <w:lang w:val="en-IE" w:eastAsia="en-GB"/>
        </w:rPr>
        <w:t>H2(</w:t>
      </w:r>
      <w:proofErr w:type="gramEnd"/>
      <w:r w:rsidRPr="000802C2">
        <w:rPr>
          <w:lang w:val="en-IE" w:eastAsia="en-GB"/>
        </w:rPr>
        <w:t xml:space="preserve">ii): Chodosh J, Ferrell BA, Shekelle PG, Wenger NS. </w:t>
      </w:r>
      <w:proofErr w:type="gramStart"/>
      <w:r w:rsidRPr="000802C2">
        <w:rPr>
          <w:lang w:val="en-IE" w:eastAsia="en-GB"/>
        </w:rPr>
        <w:t>Quality indicators for pain management in vulnerable el</w:t>
      </w:r>
      <w:r>
        <w:rPr>
          <w:lang w:val="en-IE" w:eastAsia="en-GB"/>
        </w:rPr>
        <w:t>ders.</w:t>
      </w:r>
      <w:proofErr w:type="gramEnd"/>
      <w:r>
        <w:rPr>
          <w:lang w:val="en-IE" w:eastAsia="en-GB"/>
        </w:rPr>
        <w:t xml:space="preserve"> Ann Intern Med 2001</w:t>
      </w:r>
      <w:r w:rsidRPr="000802C2">
        <w:rPr>
          <w:lang w:val="en-IE" w:eastAsia="en-GB"/>
        </w:rPr>
        <w:t>;</w:t>
      </w:r>
      <w:r>
        <w:rPr>
          <w:lang w:val="en-IE" w:eastAsia="en-GB"/>
        </w:rPr>
        <w:t xml:space="preserve"> </w:t>
      </w:r>
      <w:r w:rsidRPr="000802C2">
        <w:rPr>
          <w:lang w:val="en-IE" w:eastAsia="en-GB"/>
        </w:rPr>
        <w:t>135(8 Pt 2):</w:t>
      </w:r>
      <w:r>
        <w:rPr>
          <w:lang w:val="en-IE" w:eastAsia="en-GB"/>
        </w:rPr>
        <w:t xml:space="preserve"> </w:t>
      </w:r>
      <w:r w:rsidRPr="000802C2">
        <w:rPr>
          <w:lang w:val="en-IE" w:eastAsia="en-GB"/>
        </w:rPr>
        <w:t>731-5.</w:t>
      </w:r>
      <w:r>
        <w:rPr>
          <w:lang w:val="en-IE" w:eastAsia="en-GB"/>
        </w:rPr>
        <w:t xml:space="preserve"> </w:t>
      </w:r>
      <w:r w:rsidRPr="000802C2">
        <w:rPr>
          <w:lang w:val="en-IE" w:eastAsia="en-GB"/>
        </w:rPr>
        <w:t>PubMed PMID: 11601956.</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DF0E9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lang w:eastAsia="en-GB"/>
        </w:rPr>
      </w:pPr>
      <w:r w:rsidRPr="00DF0E93">
        <w:rPr>
          <w:b/>
          <w:bCs/>
          <w:sz w:val="28"/>
          <w:szCs w:val="28"/>
          <w:lang w:eastAsia="en-GB"/>
        </w:rPr>
        <w:t>Section I: Vaccines</w:t>
      </w:r>
      <w:r>
        <w:rPr>
          <w:b/>
          <w:bCs/>
          <w:sz w:val="28"/>
          <w:szCs w:val="28"/>
          <w:lang w:eastAsia="en-GB"/>
        </w:rPr>
        <w:t xml:space="preserve"> criteria</w:t>
      </w:r>
      <w:r w:rsidRPr="00DF0E93">
        <w:rPr>
          <w:b/>
          <w:bCs/>
          <w:sz w:val="28"/>
          <w:szCs w:val="28"/>
          <w:lang w:eastAsia="en-GB"/>
        </w:rPr>
        <w:t>.</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Pr="00AE07B3"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lang w:eastAsia="en-GB"/>
        </w:rPr>
      </w:pPr>
      <w:r w:rsidRPr="00AE07B3">
        <w:rPr>
          <w:b/>
          <w:bCs/>
          <w:lang w:eastAsia="en-GB"/>
        </w:rPr>
        <w:t>I1: Seasonal trivalent influenza vaccine annually.</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Pr>
          <w:lang w:eastAsia="en-GB"/>
        </w:rPr>
        <w:t xml:space="preserve">I1 (i): </w:t>
      </w:r>
      <w:r w:rsidRPr="00FD5B16">
        <w:rPr>
          <w:lang w:val="en-IE" w:eastAsia="en-GB"/>
        </w:rPr>
        <w:t xml:space="preserve">Lam S, Jodlowski TZ. </w:t>
      </w:r>
      <w:proofErr w:type="gramStart"/>
      <w:r w:rsidRPr="00FD5B16">
        <w:rPr>
          <w:lang w:val="en-IE" w:eastAsia="en-GB"/>
        </w:rPr>
        <w:t>Vaccines for ol</w:t>
      </w:r>
      <w:r>
        <w:rPr>
          <w:lang w:val="en-IE" w:eastAsia="en-GB"/>
        </w:rPr>
        <w:t>der adults.</w:t>
      </w:r>
      <w:proofErr w:type="gramEnd"/>
      <w:r>
        <w:rPr>
          <w:lang w:val="en-IE" w:eastAsia="en-GB"/>
        </w:rPr>
        <w:t xml:space="preserve"> Consult Pharm 2009</w:t>
      </w:r>
      <w:r w:rsidRPr="00FD5B16">
        <w:rPr>
          <w:lang w:val="en-IE" w:eastAsia="en-GB"/>
        </w:rPr>
        <w:t>;</w:t>
      </w:r>
      <w:r>
        <w:rPr>
          <w:lang w:val="en-IE" w:eastAsia="en-GB"/>
        </w:rPr>
        <w:t xml:space="preserve"> </w:t>
      </w:r>
      <w:r w:rsidRPr="00FD5B16">
        <w:rPr>
          <w:lang w:val="en-IE" w:eastAsia="en-GB"/>
        </w:rPr>
        <w:t>24(5):</w:t>
      </w:r>
      <w:r>
        <w:rPr>
          <w:lang w:val="en-IE" w:eastAsia="en-GB"/>
        </w:rPr>
        <w:t xml:space="preserve"> </w:t>
      </w:r>
      <w:r w:rsidRPr="00FD5B16">
        <w:rPr>
          <w:lang w:val="en-IE" w:eastAsia="en-GB"/>
        </w:rPr>
        <w:t xml:space="preserve">380-91. </w:t>
      </w:r>
      <w:proofErr w:type="gramStart"/>
      <w:r w:rsidRPr="00FD5B16">
        <w:rPr>
          <w:lang w:val="en-IE" w:eastAsia="en-GB"/>
        </w:rPr>
        <w:t>Review.</w:t>
      </w:r>
      <w:proofErr w:type="gramEnd"/>
      <w:r w:rsidRPr="00FD5B16">
        <w:rPr>
          <w:lang w:val="en-IE" w:eastAsia="en-GB"/>
        </w:rPr>
        <w:t xml:space="preserve"> PubMed PMID: 19555147.</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Pr>
          <w:lang w:val="en-IE" w:eastAsia="en-GB"/>
        </w:rPr>
        <w:t xml:space="preserve">I1 (ii): </w:t>
      </w:r>
      <w:r w:rsidRPr="00436114">
        <w:rPr>
          <w:lang w:val="en-IE" w:eastAsia="en-GB"/>
        </w:rPr>
        <w:t>Nichol KL, Nordin JD, Nelson DB, Mu</w:t>
      </w:r>
      <w:r>
        <w:rPr>
          <w:lang w:val="en-IE" w:eastAsia="en-GB"/>
        </w:rPr>
        <w:t xml:space="preserve">llooly JP, Hak E. Effectiveness </w:t>
      </w:r>
      <w:r w:rsidRPr="00436114">
        <w:rPr>
          <w:lang w:val="en-IE" w:eastAsia="en-GB"/>
        </w:rPr>
        <w:t xml:space="preserve">of influenza vaccine in the community-dwelling elderly. </w:t>
      </w:r>
      <w:r>
        <w:rPr>
          <w:lang w:val="en-IE" w:eastAsia="en-GB"/>
        </w:rPr>
        <w:t>N Engl J Med 2007</w:t>
      </w:r>
      <w:r w:rsidRPr="00436114">
        <w:rPr>
          <w:lang w:val="en-IE" w:eastAsia="en-GB"/>
        </w:rPr>
        <w:t>;</w:t>
      </w:r>
      <w:r>
        <w:rPr>
          <w:lang w:val="en-IE" w:eastAsia="en-GB"/>
        </w:rPr>
        <w:t xml:space="preserve"> </w:t>
      </w:r>
      <w:r w:rsidRPr="00436114">
        <w:rPr>
          <w:lang w:val="en-IE" w:eastAsia="en-GB"/>
        </w:rPr>
        <w:t>357(14):</w:t>
      </w:r>
      <w:r>
        <w:rPr>
          <w:lang w:val="en-IE" w:eastAsia="en-GB"/>
        </w:rPr>
        <w:t xml:space="preserve"> </w:t>
      </w:r>
      <w:r w:rsidRPr="00436114">
        <w:rPr>
          <w:lang w:val="en-IE" w:eastAsia="en-GB"/>
        </w:rPr>
        <w:t>1373-81. PubMed PMID: 17914038.</w:t>
      </w:r>
    </w:p>
    <w:p w:rsidR="00851DC2" w:rsidRPr="00436114"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Pr>
          <w:lang w:val="en-IE" w:eastAsia="en-GB"/>
        </w:rPr>
        <w:t xml:space="preserve">I1 (iii): </w:t>
      </w:r>
      <w:r w:rsidRPr="00405802">
        <w:rPr>
          <w:lang w:val="en-IE" w:eastAsia="en-GB"/>
        </w:rPr>
        <w:t>Michel JP, Chidiac C, Grubeck-Loebenstein B, Jo</w:t>
      </w:r>
      <w:r>
        <w:rPr>
          <w:lang w:val="en-IE" w:eastAsia="en-GB"/>
        </w:rPr>
        <w:t xml:space="preserve">hnson RW, Lambert PH, Maggi S, </w:t>
      </w:r>
      <w:r w:rsidRPr="00405802">
        <w:rPr>
          <w:lang w:val="en-IE" w:eastAsia="en-GB"/>
        </w:rPr>
        <w:t>Moulias R, Nicholson K, Werner H. Advocating vaccination of adults aged 60 years and older in Western Europe: statement by the Joint Vaccine Working Group of the European Union Geriatric Medicine Society and the International Association of</w:t>
      </w:r>
      <w:r>
        <w:rPr>
          <w:lang w:val="en-IE" w:eastAsia="en-GB"/>
        </w:rPr>
        <w:t xml:space="preserve"> </w:t>
      </w:r>
      <w:r w:rsidRPr="00405802">
        <w:rPr>
          <w:lang w:val="en-IE" w:eastAsia="en-GB"/>
        </w:rPr>
        <w:t>Gerontology and Geriatrics-Eu</w:t>
      </w:r>
      <w:r>
        <w:rPr>
          <w:lang w:val="en-IE" w:eastAsia="en-GB"/>
        </w:rPr>
        <w:t>ropean Region. Rejuvenation Res 2009</w:t>
      </w:r>
      <w:r w:rsidRPr="00405802">
        <w:rPr>
          <w:lang w:val="en-IE" w:eastAsia="en-GB"/>
        </w:rPr>
        <w:t>;</w:t>
      </w:r>
      <w:r>
        <w:rPr>
          <w:lang w:val="en-IE" w:eastAsia="en-GB"/>
        </w:rPr>
        <w:t xml:space="preserve"> </w:t>
      </w:r>
      <w:r w:rsidRPr="00405802">
        <w:rPr>
          <w:lang w:val="en-IE" w:eastAsia="en-GB"/>
        </w:rPr>
        <w:t>12(2):</w:t>
      </w:r>
      <w:r>
        <w:rPr>
          <w:lang w:val="en-IE" w:eastAsia="en-GB"/>
        </w:rPr>
        <w:t xml:space="preserve"> </w:t>
      </w:r>
      <w:r w:rsidRPr="00405802">
        <w:rPr>
          <w:lang w:val="en-IE" w:eastAsia="en-GB"/>
        </w:rPr>
        <w:t>127-35. PubMed PMID: 19415978.</w:t>
      </w:r>
    </w:p>
    <w:p w:rsidR="00851DC2"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IE" w:eastAsia="en-GB"/>
        </w:rPr>
      </w:pPr>
    </w:p>
    <w:p w:rsidR="00851DC2" w:rsidRPr="00C9435D"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IE" w:eastAsia="en-GB"/>
        </w:rPr>
      </w:pPr>
      <w:r w:rsidRPr="00C9435D">
        <w:rPr>
          <w:b/>
          <w:bCs/>
          <w:lang w:val="en-IE" w:eastAsia="en-GB"/>
        </w:rPr>
        <w:t>I2: Pneumococcal vaccine at least</w:t>
      </w:r>
      <w:r>
        <w:rPr>
          <w:b/>
          <w:bCs/>
          <w:lang w:val="en-IE" w:eastAsia="en-GB"/>
        </w:rPr>
        <w:t xml:space="preserve"> once</w:t>
      </w:r>
      <w:r w:rsidRPr="00C9435D">
        <w:rPr>
          <w:b/>
          <w:bCs/>
          <w:lang w:val="en-IE" w:eastAsia="en-GB"/>
        </w:rPr>
        <w:t xml:space="preserve"> after age 65</w:t>
      </w:r>
      <w:r>
        <w:rPr>
          <w:b/>
          <w:bCs/>
          <w:lang w:val="en-IE" w:eastAsia="en-GB"/>
        </w:rPr>
        <w:t>, according to national guidelines</w:t>
      </w:r>
      <w:r w:rsidRPr="00C9435D">
        <w:rPr>
          <w:b/>
          <w:bCs/>
          <w:lang w:val="en-IE" w:eastAsia="en-GB"/>
        </w:rPr>
        <w:t>.</w:t>
      </w:r>
    </w:p>
    <w:p w:rsidR="00851DC2" w:rsidRPr="00DC58B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Pr>
          <w:lang w:val="en-IE" w:eastAsia="en-GB"/>
        </w:rPr>
        <w:t>I2 (i)</w:t>
      </w:r>
      <w:r w:rsidRPr="00DC58BA">
        <w:rPr>
          <w:lang w:val="en-IE" w:eastAsia="en-GB"/>
        </w:rPr>
        <w:t>: Fedson DS, Liss C. Precise answers to the wrong question: prospective clinical</w:t>
      </w:r>
      <w:r>
        <w:rPr>
          <w:lang w:val="en-IE" w:eastAsia="en-GB"/>
        </w:rPr>
        <w:t xml:space="preserve"> </w:t>
      </w:r>
      <w:r w:rsidRPr="00DC58BA">
        <w:rPr>
          <w:lang w:val="en-IE" w:eastAsia="en-GB"/>
        </w:rPr>
        <w:t>trials and the meta-analyses of pneumococcal vaccine in elderly and high-risk</w:t>
      </w:r>
      <w:r>
        <w:rPr>
          <w:lang w:val="en-IE" w:eastAsia="en-GB"/>
        </w:rPr>
        <w:t xml:space="preserve"> adults. Vaccine 2004</w:t>
      </w:r>
      <w:r w:rsidRPr="00DC58BA">
        <w:rPr>
          <w:lang w:val="en-IE" w:eastAsia="en-GB"/>
        </w:rPr>
        <w:t>;</w:t>
      </w:r>
      <w:r>
        <w:rPr>
          <w:lang w:val="en-IE" w:eastAsia="en-GB"/>
        </w:rPr>
        <w:t xml:space="preserve"> </w:t>
      </w:r>
      <w:r w:rsidRPr="00DC58BA">
        <w:rPr>
          <w:lang w:val="en-IE" w:eastAsia="en-GB"/>
        </w:rPr>
        <w:t>22(8):</w:t>
      </w:r>
      <w:r>
        <w:rPr>
          <w:lang w:val="en-IE" w:eastAsia="en-GB"/>
        </w:rPr>
        <w:t xml:space="preserve"> </w:t>
      </w:r>
      <w:r w:rsidRPr="00DC58BA">
        <w:rPr>
          <w:lang w:val="en-IE" w:eastAsia="en-GB"/>
        </w:rPr>
        <w:t>927-46. PubMed PMID: 15161070.</w:t>
      </w:r>
    </w:p>
    <w:p w:rsidR="00851DC2" w:rsidRPr="00DC58B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Pr>
          <w:lang w:val="en-IE" w:eastAsia="en-GB"/>
        </w:rPr>
        <w:t>I2 (ii</w:t>
      </w:r>
      <w:r w:rsidRPr="00DC58BA">
        <w:rPr>
          <w:lang w:val="en-IE" w:eastAsia="en-GB"/>
        </w:rPr>
        <w:t>): Vila-Córcoles A, Ochoa-Gondar O, Hospital I, Ansa X, Vilanova A, Rodríguez T, Llor C; EVAN Study Group. Protective effects of the 23-valent pneumococcal polysaccharide vaccine in the elderly population: the EVAN-65 study</w:t>
      </w:r>
      <w:r>
        <w:rPr>
          <w:lang w:val="en-IE" w:eastAsia="en-GB"/>
        </w:rPr>
        <w:t>. Clin Infect Dis 2006</w:t>
      </w:r>
      <w:r w:rsidRPr="00DC58BA">
        <w:rPr>
          <w:lang w:val="en-IE" w:eastAsia="en-GB"/>
        </w:rPr>
        <w:t>; 43(7):</w:t>
      </w:r>
      <w:r>
        <w:rPr>
          <w:lang w:val="en-IE" w:eastAsia="en-GB"/>
        </w:rPr>
        <w:t xml:space="preserve"> </w:t>
      </w:r>
      <w:r w:rsidRPr="00DC58BA">
        <w:rPr>
          <w:lang w:val="en-IE" w:eastAsia="en-GB"/>
        </w:rPr>
        <w:t>860-8. PubMed PMID: 16941367.</w:t>
      </w:r>
    </w:p>
    <w:p w:rsidR="00851DC2" w:rsidRPr="00DC58BA"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r>
        <w:rPr>
          <w:lang w:val="en-IE" w:eastAsia="en-GB"/>
        </w:rPr>
        <w:t>I2 (iii)</w:t>
      </w:r>
      <w:r w:rsidRPr="00DC58BA">
        <w:rPr>
          <w:lang w:val="en-IE" w:eastAsia="en-GB"/>
        </w:rPr>
        <w:t>: Vila-Corcoles A, Ochoa-Gondar O. Preventing pneumococcal disease in the</w:t>
      </w:r>
      <w:r>
        <w:rPr>
          <w:lang w:val="en-IE" w:eastAsia="en-GB"/>
        </w:rPr>
        <w:t xml:space="preserve"> </w:t>
      </w:r>
      <w:r w:rsidRPr="00DC58BA">
        <w:rPr>
          <w:lang w:val="en-IE" w:eastAsia="en-GB"/>
        </w:rPr>
        <w:t>elderly: recent advances in vaccines and implications for clinical practice.</w:t>
      </w:r>
      <w:r>
        <w:rPr>
          <w:lang w:val="en-IE" w:eastAsia="en-GB"/>
        </w:rPr>
        <w:t xml:space="preserve"> Drugs Aging 2013</w:t>
      </w:r>
      <w:r w:rsidRPr="00DC58BA">
        <w:rPr>
          <w:lang w:val="en-IE" w:eastAsia="en-GB"/>
        </w:rPr>
        <w:t>;</w:t>
      </w:r>
      <w:r>
        <w:rPr>
          <w:lang w:val="en-IE" w:eastAsia="en-GB"/>
        </w:rPr>
        <w:t xml:space="preserve"> </w:t>
      </w:r>
      <w:r w:rsidRPr="00DC58BA">
        <w:rPr>
          <w:lang w:val="en-IE" w:eastAsia="en-GB"/>
        </w:rPr>
        <w:t>30(5):</w:t>
      </w:r>
      <w:r>
        <w:rPr>
          <w:lang w:val="en-IE" w:eastAsia="en-GB"/>
        </w:rPr>
        <w:t xml:space="preserve"> </w:t>
      </w:r>
      <w:r w:rsidRPr="00DC58BA">
        <w:rPr>
          <w:lang w:val="en-IE" w:eastAsia="en-GB"/>
        </w:rPr>
        <w:t xml:space="preserve">263-76. </w:t>
      </w:r>
      <w:proofErr w:type="gramStart"/>
      <w:r w:rsidRPr="00DC58BA">
        <w:rPr>
          <w:lang w:val="en-IE" w:eastAsia="en-GB"/>
        </w:rPr>
        <w:t>Review.</w:t>
      </w:r>
      <w:proofErr w:type="gramEnd"/>
      <w:r>
        <w:rPr>
          <w:lang w:val="en-IE" w:eastAsia="en-GB"/>
        </w:rPr>
        <w:t xml:space="preserve"> </w:t>
      </w:r>
      <w:r w:rsidRPr="00DC58BA">
        <w:rPr>
          <w:lang w:val="en-IE" w:eastAsia="en-GB"/>
        </w:rPr>
        <w:t>PubMed PMID: 23420119.</w:t>
      </w:r>
    </w:p>
    <w:p w:rsidR="00851DC2" w:rsidRPr="00FD5B16" w:rsidRDefault="00851DC2" w:rsidP="008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E" w:eastAsia="en-GB"/>
        </w:rPr>
      </w:pPr>
    </w:p>
    <w:p w:rsidR="008C6A0A" w:rsidRPr="000A7B9C" w:rsidRDefault="00CC5D4E" w:rsidP="000F7718">
      <w:pPr>
        <w:rPr>
          <w:b/>
          <w:bCs/>
          <w:sz w:val="28"/>
          <w:szCs w:val="28"/>
        </w:rPr>
      </w:pPr>
      <w:r w:rsidRPr="00206E74">
        <w:rPr>
          <w:b/>
          <w:bCs/>
          <w:sz w:val="28"/>
          <w:szCs w:val="28"/>
          <w:lang w:eastAsia="en-GB"/>
        </w:rPr>
        <w:lastRenderedPageBreak/>
        <w:t>Appendix</w:t>
      </w:r>
      <w:r w:rsidR="008C6A0A" w:rsidRPr="00206E74">
        <w:rPr>
          <w:b/>
          <w:bCs/>
          <w:sz w:val="28"/>
          <w:szCs w:val="28"/>
          <w:lang w:eastAsia="en-GB"/>
        </w:rPr>
        <w:t xml:space="preserve"> </w:t>
      </w:r>
      <w:r w:rsidR="00851DC2">
        <w:rPr>
          <w:b/>
          <w:bCs/>
          <w:sz w:val="28"/>
          <w:szCs w:val="28"/>
          <w:lang w:eastAsia="en-GB"/>
        </w:rPr>
        <w:t>3</w:t>
      </w:r>
      <w:r w:rsidR="008C6A0A" w:rsidRPr="00206E74">
        <w:rPr>
          <w:b/>
          <w:bCs/>
          <w:sz w:val="28"/>
          <w:szCs w:val="28"/>
          <w:lang w:eastAsia="en-GB"/>
        </w:rPr>
        <w:t>: Screening Tool</w:t>
      </w:r>
      <w:r w:rsidR="008C6A0A" w:rsidRPr="000A7B9C">
        <w:rPr>
          <w:b/>
          <w:bCs/>
          <w:sz w:val="28"/>
          <w:szCs w:val="28"/>
          <w:lang w:eastAsia="en-GB"/>
        </w:rPr>
        <w:t xml:space="preserve"> of Older Persons’ Prescriptions (STOPP) version 2.</w:t>
      </w:r>
    </w:p>
    <w:p w:rsidR="008C6A0A" w:rsidRDefault="00BA6827" w:rsidP="000F7718">
      <w:pPr>
        <w:rPr>
          <w:b/>
          <w:bCs/>
          <w:color w:val="333333"/>
          <w:sz w:val="24"/>
          <w:szCs w:val="24"/>
          <w:lang w:eastAsia="en-GB"/>
        </w:rPr>
      </w:pPr>
      <w:r>
        <w:rPr>
          <w:b/>
          <w:bCs/>
          <w:color w:val="333333"/>
          <w:sz w:val="24"/>
          <w:szCs w:val="24"/>
          <w:lang w:eastAsia="en-GB"/>
        </w:rPr>
        <w:t>The following prescription</w:t>
      </w:r>
      <w:r w:rsidRPr="00BA6827">
        <w:rPr>
          <w:b/>
          <w:bCs/>
          <w:color w:val="333333"/>
          <w:sz w:val="24"/>
          <w:szCs w:val="24"/>
          <w:lang w:eastAsia="en-GB"/>
        </w:rPr>
        <w:t>s are potentially inappropriate to use in patients aged 65 years and older</w:t>
      </w:r>
      <w:r>
        <w:rPr>
          <w:b/>
          <w:bCs/>
          <w:color w:val="333333"/>
          <w:sz w:val="24"/>
          <w:szCs w:val="24"/>
          <w:lang w:eastAsia="en-GB"/>
        </w:rPr>
        <w:t>.</w:t>
      </w:r>
    </w:p>
    <w:p w:rsidR="008C6A0A" w:rsidRPr="00E7171B" w:rsidRDefault="008C6A0A" w:rsidP="000F7718">
      <w:pPr>
        <w:rPr>
          <w:b/>
          <w:bCs/>
          <w:color w:val="333333"/>
          <w:sz w:val="24"/>
          <w:szCs w:val="24"/>
          <w:lang w:eastAsia="en-GB"/>
        </w:rPr>
      </w:pPr>
      <w:r w:rsidRPr="00E7171B">
        <w:rPr>
          <w:b/>
          <w:bCs/>
          <w:color w:val="333333"/>
          <w:sz w:val="24"/>
          <w:szCs w:val="24"/>
          <w:lang w:eastAsia="en-GB"/>
        </w:rPr>
        <w:t>Section A: Indication of medication</w:t>
      </w:r>
    </w:p>
    <w:p w:rsidR="008C6A0A" w:rsidRPr="00E7171B" w:rsidRDefault="008C6A0A" w:rsidP="000F7718">
      <w:pPr>
        <w:rPr>
          <w:sz w:val="24"/>
          <w:szCs w:val="24"/>
        </w:rPr>
      </w:pPr>
      <w:r w:rsidRPr="00E7171B">
        <w:rPr>
          <w:sz w:val="24"/>
          <w:szCs w:val="24"/>
        </w:rPr>
        <w:t>1. Any drug prescribed without an evidence-based clinical indication.</w:t>
      </w:r>
    </w:p>
    <w:p w:rsidR="008C6A0A" w:rsidRPr="00E7171B" w:rsidRDefault="008C6A0A" w:rsidP="000F7718">
      <w:pPr>
        <w:rPr>
          <w:sz w:val="24"/>
          <w:szCs w:val="24"/>
        </w:rPr>
      </w:pPr>
      <w:r w:rsidRPr="00E7171B">
        <w:rPr>
          <w:sz w:val="24"/>
          <w:szCs w:val="24"/>
        </w:rPr>
        <w:t>2. Any drug prescribed beyond the recommended duration, where treatment duration is well defined.</w:t>
      </w:r>
    </w:p>
    <w:p w:rsidR="008C6A0A" w:rsidRPr="00E7171B" w:rsidRDefault="008C6A0A" w:rsidP="000F7718">
      <w:pPr>
        <w:rPr>
          <w:sz w:val="24"/>
          <w:szCs w:val="24"/>
        </w:rPr>
      </w:pPr>
      <w:r w:rsidRPr="00E7171B">
        <w:rPr>
          <w:sz w:val="24"/>
          <w:szCs w:val="24"/>
        </w:rPr>
        <w:t>3. Any duplicate drug class prescription e.g. two concurrent NSAIDs, SSRIs, loop diuretics, ACE inhibitors, anticoagulants (optimisation of monotherapy within a single drug class should be observed prior to considering a new agent).</w:t>
      </w:r>
    </w:p>
    <w:p w:rsidR="008C6A0A" w:rsidRPr="00E7171B" w:rsidRDefault="008C6A0A" w:rsidP="000F7718">
      <w:pPr>
        <w:rPr>
          <w:b/>
          <w:bCs/>
          <w:color w:val="333333"/>
          <w:sz w:val="24"/>
          <w:szCs w:val="24"/>
          <w:lang w:eastAsia="en-GB"/>
        </w:rPr>
      </w:pPr>
    </w:p>
    <w:p w:rsidR="008C6A0A" w:rsidRPr="00E7171B" w:rsidRDefault="008C6A0A" w:rsidP="000F7718">
      <w:pPr>
        <w:rPr>
          <w:b/>
          <w:bCs/>
          <w:color w:val="333333"/>
          <w:sz w:val="24"/>
          <w:szCs w:val="24"/>
          <w:lang w:eastAsia="en-GB"/>
        </w:rPr>
      </w:pPr>
      <w:r w:rsidRPr="00E7171B">
        <w:rPr>
          <w:b/>
          <w:bCs/>
          <w:color w:val="333333"/>
          <w:sz w:val="24"/>
          <w:szCs w:val="24"/>
          <w:lang w:eastAsia="en-GB"/>
        </w:rPr>
        <w:t>Section B: Cardiovascular System</w:t>
      </w:r>
    </w:p>
    <w:p w:rsidR="008C6A0A" w:rsidRPr="00E7171B" w:rsidRDefault="008C6A0A" w:rsidP="000F7718">
      <w:pPr>
        <w:rPr>
          <w:sz w:val="24"/>
          <w:szCs w:val="24"/>
        </w:rPr>
      </w:pPr>
      <w:r w:rsidRPr="00E7171B">
        <w:rPr>
          <w:sz w:val="24"/>
          <w:szCs w:val="24"/>
        </w:rPr>
        <w:t>1. Digoxin for heart failure with normal systolic ventricular function (no clear evidence of benefit)</w:t>
      </w:r>
    </w:p>
    <w:p w:rsidR="008C6A0A" w:rsidRPr="00E7171B" w:rsidRDefault="008C6A0A" w:rsidP="000F7718">
      <w:pPr>
        <w:rPr>
          <w:sz w:val="24"/>
          <w:szCs w:val="24"/>
        </w:rPr>
      </w:pPr>
      <w:r w:rsidRPr="00E7171B">
        <w:rPr>
          <w:sz w:val="24"/>
          <w:szCs w:val="24"/>
        </w:rPr>
        <w:t>2. Verapamil or diltiazem with NYHA Class III or IV heart failure (may worsen heart failure).</w:t>
      </w:r>
    </w:p>
    <w:p w:rsidR="008C6A0A" w:rsidRPr="00E7171B" w:rsidRDefault="008C6A0A" w:rsidP="000F7718">
      <w:pPr>
        <w:rPr>
          <w:sz w:val="24"/>
          <w:szCs w:val="24"/>
        </w:rPr>
      </w:pPr>
      <w:r w:rsidRPr="00E7171B">
        <w:rPr>
          <w:sz w:val="24"/>
          <w:szCs w:val="24"/>
        </w:rPr>
        <w:t>3. Beta-blocker in combination with verapamil or diltiazem (risk of heart block).</w:t>
      </w:r>
    </w:p>
    <w:p w:rsidR="008C6A0A" w:rsidRPr="00E7171B" w:rsidRDefault="008C6A0A" w:rsidP="000F7718">
      <w:pPr>
        <w:rPr>
          <w:sz w:val="24"/>
          <w:szCs w:val="24"/>
        </w:rPr>
      </w:pPr>
      <w:r w:rsidRPr="00E7171B">
        <w:rPr>
          <w:sz w:val="24"/>
          <w:szCs w:val="24"/>
        </w:rPr>
        <w:t>4. Beta blocker with bradycardia (&lt; 50/min), type II heart block or complete heart block (risk of complete heart block, asystole).</w:t>
      </w:r>
    </w:p>
    <w:p w:rsidR="008C6A0A" w:rsidRPr="00E7171B" w:rsidRDefault="008C6A0A" w:rsidP="000F7718">
      <w:pPr>
        <w:rPr>
          <w:sz w:val="24"/>
          <w:szCs w:val="24"/>
        </w:rPr>
      </w:pPr>
      <w:r w:rsidRPr="00E7171B">
        <w:rPr>
          <w:sz w:val="24"/>
          <w:szCs w:val="24"/>
        </w:rPr>
        <w:t>5. Amiodarone as first-line antiarrhythmic therapy in supraventricular tachyarrhythmias (higher risk of side-effects than beta-blockers, digoxin, verapamil or diltiazem)</w:t>
      </w:r>
    </w:p>
    <w:p w:rsidR="008C6A0A" w:rsidRPr="00E7171B" w:rsidRDefault="008C6A0A" w:rsidP="000F7718">
      <w:pPr>
        <w:rPr>
          <w:sz w:val="24"/>
          <w:szCs w:val="24"/>
        </w:rPr>
      </w:pPr>
      <w:r w:rsidRPr="00E7171B">
        <w:rPr>
          <w:sz w:val="24"/>
          <w:szCs w:val="24"/>
        </w:rPr>
        <w:t>6. Loop diuretic as first-line treatment for hypertension (safer, more effective alternatives available).</w:t>
      </w:r>
    </w:p>
    <w:p w:rsidR="008C6A0A" w:rsidRPr="00E7171B" w:rsidRDefault="008C6A0A" w:rsidP="000F7718">
      <w:pPr>
        <w:rPr>
          <w:sz w:val="24"/>
          <w:szCs w:val="24"/>
        </w:rPr>
      </w:pPr>
      <w:r w:rsidRPr="00E7171B">
        <w:rPr>
          <w:sz w:val="24"/>
          <w:szCs w:val="24"/>
        </w:rPr>
        <w:t>7. Loop diuretic for dependent ankle oedema without clinical, biochemical evidence or radiological evidence of heart failure, liver failure, nephrotic syndrome or renal failure (leg elevation and /or compression hosiery usually more appropriate).</w:t>
      </w:r>
    </w:p>
    <w:p w:rsidR="008C6A0A" w:rsidRPr="00E7171B" w:rsidRDefault="008C6A0A" w:rsidP="000F7718">
      <w:pPr>
        <w:rPr>
          <w:sz w:val="24"/>
          <w:szCs w:val="24"/>
        </w:rPr>
      </w:pPr>
      <w:r w:rsidRPr="00E7171B">
        <w:rPr>
          <w:sz w:val="24"/>
          <w:szCs w:val="24"/>
        </w:rPr>
        <w:t>8. Thiazide diuretic with current significant hypokalaemia (i.e. serum K+ &lt; 3.0 mmol/l), hyponatraemia (i.e. serum Na+ &lt; 130 mmol/l) hypercalcaemia (i.e. corrected serum calcium &gt; 2.65 mmol/l) or with a history of gout (hypokalaemia, hyponatraemia, hypercalcaemia and gout can be precipitated by thiazide diuretic)</w:t>
      </w:r>
    </w:p>
    <w:p w:rsidR="008C6A0A" w:rsidRPr="00E7171B" w:rsidRDefault="008C6A0A" w:rsidP="000F7718">
      <w:pPr>
        <w:rPr>
          <w:sz w:val="24"/>
          <w:szCs w:val="24"/>
        </w:rPr>
      </w:pPr>
      <w:r>
        <w:rPr>
          <w:sz w:val="24"/>
          <w:szCs w:val="24"/>
        </w:rPr>
        <w:t xml:space="preserve">9. Loop </w:t>
      </w:r>
      <w:r w:rsidRPr="00E7171B">
        <w:rPr>
          <w:sz w:val="24"/>
          <w:szCs w:val="24"/>
        </w:rPr>
        <w:t>diuretic for treatment of hypertension with concurrent urinary incontinence (may exacerbate incontinence).</w:t>
      </w:r>
    </w:p>
    <w:p w:rsidR="008C6A0A" w:rsidRPr="00E7171B" w:rsidRDefault="008C6A0A" w:rsidP="000F7718">
      <w:pPr>
        <w:rPr>
          <w:sz w:val="24"/>
          <w:szCs w:val="24"/>
        </w:rPr>
      </w:pPr>
      <w:r w:rsidRPr="00E7171B">
        <w:rPr>
          <w:sz w:val="24"/>
          <w:szCs w:val="24"/>
        </w:rPr>
        <w:lastRenderedPageBreak/>
        <w:t xml:space="preserve">10. Centrally-acting antihypertensives (e.g. methyldopa, clonidine, moxonidine, rilmenidine, guanfacine), unless clear intolerance of, or lack of efficacy with, other classes of antihypertensives (centrally-active antihypertensives are generally less </w:t>
      </w:r>
      <w:proofErr w:type="gramStart"/>
      <w:r w:rsidRPr="00E7171B">
        <w:rPr>
          <w:sz w:val="24"/>
          <w:szCs w:val="24"/>
        </w:rPr>
        <w:t>well  tolerated</w:t>
      </w:r>
      <w:proofErr w:type="gramEnd"/>
      <w:r w:rsidRPr="00E7171B">
        <w:rPr>
          <w:sz w:val="24"/>
          <w:szCs w:val="24"/>
        </w:rPr>
        <w:t xml:space="preserve"> by older people than younger people)</w:t>
      </w:r>
    </w:p>
    <w:p w:rsidR="008C6A0A" w:rsidRPr="00E7171B" w:rsidRDefault="008C6A0A" w:rsidP="000F7718">
      <w:pPr>
        <w:rPr>
          <w:sz w:val="24"/>
          <w:szCs w:val="24"/>
        </w:rPr>
      </w:pPr>
      <w:r w:rsidRPr="00E7171B">
        <w:rPr>
          <w:sz w:val="24"/>
          <w:szCs w:val="24"/>
        </w:rPr>
        <w:t>11. ACE inhibitors or Angiotensin Receptor Blockers in patients with hyperkalaemia.</w:t>
      </w:r>
    </w:p>
    <w:p w:rsidR="008C6A0A" w:rsidRPr="00E7171B" w:rsidRDefault="008C6A0A" w:rsidP="000F7718">
      <w:pPr>
        <w:rPr>
          <w:sz w:val="24"/>
          <w:szCs w:val="24"/>
        </w:rPr>
      </w:pPr>
      <w:r w:rsidRPr="00E7171B">
        <w:rPr>
          <w:sz w:val="24"/>
          <w:szCs w:val="24"/>
        </w:rPr>
        <w:t>12. Aldosterone antagonists (e.g. spironolactone, eplerenone) with concurrent potassium-conserving  drugs (e.g. ACEI’s, ARB’s, amiloride, triamterene) without monitoring of serum potassium (risk of dangerous hyperkalaemia i.e. &gt; 6.0 mmol/l – serum K should be monitored regularly, i.e. at least every 6 months).</w:t>
      </w:r>
    </w:p>
    <w:p w:rsidR="008C6A0A" w:rsidRPr="00E7171B" w:rsidRDefault="008C6A0A" w:rsidP="000F7718">
      <w:pPr>
        <w:rPr>
          <w:sz w:val="24"/>
          <w:szCs w:val="24"/>
        </w:rPr>
      </w:pPr>
      <w:r w:rsidRPr="00E7171B">
        <w:rPr>
          <w:sz w:val="24"/>
          <w:szCs w:val="24"/>
        </w:rPr>
        <w:t>13. Phosphodiesterase type-5 inhibitors (e.g. sildenafil, tadalafil, vardenafil) in severe heart failure characterised by hypotension i.e. systolic BP &lt; 90 mmHg, or concurrent nitrate therapy for angina (risk of cardiovascular collapse)</w:t>
      </w:r>
    </w:p>
    <w:p w:rsidR="008C6A0A" w:rsidRPr="00E7171B" w:rsidRDefault="008C6A0A" w:rsidP="000F7718">
      <w:pPr>
        <w:rPr>
          <w:sz w:val="24"/>
          <w:szCs w:val="24"/>
        </w:rPr>
      </w:pPr>
    </w:p>
    <w:p w:rsidR="008C6A0A" w:rsidRPr="00E7171B" w:rsidRDefault="008C6A0A" w:rsidP="000F7718">
      <w:pPr>
        <w:rPr>
          <w:b/>
          <w:bCs/>
          <w:color w:val="333333"/>
          <w:sz w:val="24"/>
          <w:szCs w:val="24"/>
          <w:lang w:eastAsia="en-GB"/>
        </w:rPr>
      </w:pPr>
      <w:r w:rsidRPr="00E7171B">
        <w:rPr>
          <w:b/>
          <w:bCs/>
          <w:color w:val="333333"/>
          <w:sz w:val="24"/>
          <w:szCs w:val="24"/>
          <w:lang w:eastAsia="en-GB"/>
        </w:rPr>
        <w:t>Section C: Antiplatelet/Anticoagulant Drugs</w:t>
      </w:r>
    </w:p>
    <w:p w:rsidR="008C6A0A" w:rsidRPr="00E7171B" w:rsidRDefault="008C6A0A" w:rsidP="000F7718">
      <w:pPr>
        <w:rPr>
          <w:sz w:val="24"/>
          <w:szCs w:val="24"/>
        </w:rPr>
      </w:pPr>
      <w:r w:rsidRPr="00E7171B">
        <w:rPr>
          <w:sz w:val="24"/>
          <w:szCs w:val="24"/>
        </w:rPr>
        <w:t>1. Long-term aspirin at doses greater than 160mg per day (increased risk of bleeding, no evidence for increased efficacy).</w:t>
      </w:r>
    </w:p>
    <w:p w:rsidR="008C6A0A" w:rsidRPr="00E7171B" w:rsidRDefault="008C6A0A" w:rsidP="000F7718">
      <w:pPr>
        <w:rPr>
          <w:sz w:val="24"/>
          <w:szCs w:val="24"/>
        </w:rPr>
      </w:pPr>
      <w:r w:rsidRPr="00E7171B">
        <w:rPr>
          <w:sz w:val="24"/>
          <w:szCs w:val="24"/>
        </w:rPr>
        <w:t xml:space="preserve">2. Aspirin with a past history of peptic ulcer disease without concomitant PPI (risk of recurrent peptic </w:t>
      </w:r>
      <w:proofErr w:type="gramStart"/>
      <w:r w:rsidRPr="00E7171B">
        <w:rPr>
          <w:sz w:val="24"/>
          <w:szCs w:val="24"/>
        </w:rPr>
        <w:t>ulcer )</w:t>
      </w:r>
      <w:proofErr w:type="gramEnd"/>
      <w:r w:rsidRPr="00E7171B">
        <w:rPr>
          <w:sz w:val="24"/>
          <w:szCs w:val="24"/>
        </w:rPr>
        <w:t>.</w:t>
      </w:r>
    </w:p>
    <w:p w:rsidR="008C6A0A" w:rsidRPr="00E7171B" w:rsidRDefault="008C6A0A" w:rsidP="000F7718">
      <w:pPr>
        <w:rPr>
          <w:sz w:val="24"/>
          <w:szCs w:val="24"/>
        </w:rPr>
      </w:pPr>
      <w:r w:rsidRPr="00E7171B">
        <w:rPr>
          <w:sz w:val="24"/>
          <w:szCs w:val="24"/>
        </w:rPr>
        <w:t>3. Aspirin, clopidogrel, dipyridamole, vitamin K antagonists, direct thrombin inhibitors or factor Xa inhibitors with concurrent significant  bleeding risk, i.e. uncontrolled severe hypertension, bleeding diathesis, recent non-trivial spontaneous bleeding) (high risk of bleeding).</w:t>
      </w:r>
    </w:p>
    <w:p w:rsidR="008C6A0A" w:rsidRPr="00E7171B" w:rsidRDefault="008C6A0A" w:rsidP="000F7718">
      <w:pPr>
        <w:rPr>
          <w:sz w:val="24"/>
          <w:szCs w:val="24"/>
        </w:rPr>
      </w:pPr>
      <w:r w:rsidRPr="00E7171B">
        <w:rPr>
          <w:sz w:val="24"/>
          <w:szCs w:val="24"/>
        </w:rPr>
        <w:t>4. Aspirin plus clopidogrel as secondary stroke prevention, unless the patient has a coronary stent(s) inserted in the previous 12 months or concurrent acute coronary syndrome or has a high grade symptomatic carotid arterial stenosis (no evidence of added benefit over clopidogrel monotherapy)</w:t>
      </w:r>
    </w:p>
    <w:p w:rsidR="008C6A0A" w:rsidRPr="00E7171B" w:rsidRDefault="008C6A0A" w:rsidP="000F7718">
      <w:pPr>
        <w:rPr>
          <w:sz w:val="24"/>
          <w:szCs w:val="24"/>
        </w:rPr>
      </w:pPr>
      <w:r w:rsidRPr="00E7171B">
        <w:rPr>
          <w:sz w:val="24"/>
          <w:szCs w:val="24"/>
        </w:rPr>
        <w:t>5. Aspirin in combination with vitamin K antagonist, direct thrombin inhibitor or factor Xa inhibitors in patients with chronic atrial fibrillation (no added benefit from aspirin)</w:t>
      </w:r>
    </w:p>
    <w:p w:rsidR="008C6A0A" w:rsidRPr="00E7171B" w:rsidRDefault="008C6A0A" w:rsidP="000F7718">
      <w:pPr>
        <w:rPr>
          <w:sz w:val="24"/>
          <w:szCs w:val="24"/>
        </w:rPr>
      </w:pPr>
      <w:r w:rsidRPr="00E7171B">
        <w:rPr>
          <w:sz w:val="24"/>
          <w:szCs w:val="24"/>
        </w:rPr>
        <w:t>6. Antiplatelet agents with vitamin K antagonist, direct thrombin inhibitor or factor Xa inhibitors in patients with stable coronary, cerebrovascular or peripheral arterial disease (No added benefit from dual therapy).</w:t>
      </w:r>
    </w:p>
    <w:p w:rsidR="008C6A0A" w:rsidRPr="00E7171B" w:rsidRDefault="008C6A0A" w:rsidP="000F7718">
      <w:pPr>
        <w:rPr>
          <w:sz w:val="24"/>
          <w:szCs w:val="24"/>
        </w:rPr>
      </w:pPr>
      <w:r w:rsidRPr="00E7171B">
        <w:rPr>
          <w:sz w:val="24"/>
          <w:szCs w:val="24"/>
        </w:rPr>
        <w:t>7. Ticlopidine in any circumstances (clopidogrel and prasugrel have similar efficacy, stronger evidence and fewer side-effects).</w:t>
      </w:r>
    </w:p>
    <w:p w:rsidR="008C6A0A" w:rsidRPr="00E7171B" w:rsidRDefault="008C6A0A" w:rsidP="000F7718">
      <w:pPr>
        <w:rPr>
          <w:sz w:val="24"/>
          <w:szCs w:val="24"/>
        </w:rPr>
      </w:pPr>
      <w:r w:rsidRPr="00E7171B">
        <w:rPr>
          <w:sz w:val="24"/>
          <w:szCs w:val="24"/>
        </w:rPr>
        <w:lastRenderedPageBreak/>
        <w:t>8. Vitamin K antagonist, direct thrombin inhibitor or factor Xa inhibitors for first deep venous thrombosis without continuing provoking risk factors (e.g. thrombophilia) for &gt; 6 months, (no proven added benefit).</w:t>
      </w:r>
    </w:p>
    <w:p w:rsidR="008C6A0A" w:rsidRPr="00E7171B" w:rsidRDefault="008C6A0A" w:rsidP="000F7718">
      <w:pPr>
        <w:rPr>
          <w:sz w:val="24"/>
          <w:szCs w:val="24"/>
        </w:rPr>
      </w:pPr>
      <w:r w:rsidRPr="00E7171B">
        <w:rPr>
          <w:sz w:val="24"/>
          <w:szCs w:val="24"/>
        </w:rPr>
        <w:t>9. Vitamin K antagonist, direct thrombin inhibitor or factor Xa inhibitors for first pulmonary embolus without continuing provoking risk factors (e.g. thrombophilia)  for &gt; 12 months (no proven added benefit).</w:t>
      </w:r>
    </w:p>
    <w:p w:rsidR="008C6A0A" w:rsidRPr="00E7171B" w:rsidRDefault="008C6A0A" w:rsidP="000F7718">
      <w:pPr>
        <w:rPr>
          <w:sz w:val="24"/>
          <w:szCs w:val="24"/>
        </w:rPr>
      </w:pPr>
      <w:r w:rsidRPr="00E7171B">
        <w:rPr>
          <w:sz w:val="24"/>
          <w:szCs w:val="24"/>
        </w:rPr>
        <w:t>10. NSAID and vitamin K antagonist, direct thrombin inhibitor or factor Xa inhibitors in combination (risk of major gastrointestinal bleeding).</w:t>
      </w:r>
    </w:p>
    <w:p w:rsidR="008C6A0A" w:rsidRPr="00E7171B" w:rsidRDefault="008C6A0A" w:rsidP="000F7718">
      <w:pPr>
        <w:rPr>
          <w:sz w:val="24"/>
          <w:szCs w:val="24"/>
        </w:rPr>
      </w:pPr>
      <w:r w:rsidRPr="00E7171B">
        <w:rPr>
          <w:sz w:val="24"/>
          <w:szCs w:val="24"/>
        </w:rPr>
        <w:t>11. NSAID with concurrent antiplatelet agent(s) without PPI prophylaxis (increased risk of peptic ulcer disease)</w:t>
      </w:r>
    </w:p>
    <w:p w:rsidR="008C6A0A" w:rsidRPr="00E7171B" w:rsidRDefault="008C6A0A" w:rsidP="000F7718">
      <w:pPr>
        <w:rPr>
          <w:b/>
          <w:bCs/>
          <w:color w:val="333333"/>
          <w:sz w:val="24"/>
          <w:szCs w:val="24"/>
          <w:lang w:eastAsia="en-GB"/>
        </w:rPr>
      </w:pPr>
    </w:p>
    <w:p w:rsidR="008C6A0A" w:rsidRPr="00E7171B" w:rsidRDefault="008C6A0A" w:rsidP="000F7718">
      <w:pPr>
        <w:rPr>
          <w:b/>
          <w:bCs/>
          <w:color w:val="333333"/>
          <w:sz w:val="24"/>
          <w:szCs w:val="24"/>
          <w:lang w:eastAsia="en-GB"/>
        </w:rPr>
      </w:pPr>
      <w:r w:rsidRPr="00E7171B">
        <w:rPr>
          <w:b/>
          <w:bCs/>
          <w:color w:val="333333"/>
          <w:sz w:val="24"/>
          <w:szCs w:val="24"/>
          <w:lang w:eastAsia="en-GB"/>
        </w:rPr>
        <w:t>Section D: Central Nervous System and Psychotropic Drugs</w:t>
      </w:r>
    </w:p>
    <w:p w:rsidR="008C6A0A" w:rsidRPr="00E7171B" w:rsidRDefault="008C6A0A" w:rsidP="000F7718">
      <w:pPr>
        <w:rPr>
          <w:sz w:val="24"/>
          <w:szCs w:val="24"/>
        </w:rPr>
      </w:pPr>
      <w:r w:rsidRPr="00E7171B">
        <w:rPr>
          <w:sz w:val="24"/>
          <w:szCs w:val="24"/>
        </w:rPr>
        <w:t>1. TriCyclic Antidepressants (TCAs) with dementia, narrow angle glaucoma, cardiac conduction abnormalities, prostatism, or prior history of urinary retention (risk of worsening these conditions).</w:t>
      </w:r>
    </w:p>
    <w:p w:rsidR="008C6A0A" w:rsidRPr="00E7171B" w:rsidRDefault="008C6A0A" w:rsidP="000F7718">
      <w:pPr>
        <w:rPr>
          <w:sz w:val="24"/>
          <w:szCs w:val="24"/>
        </w:rPr>
      </w:pPr>
      <w:r w:rsidRPr="00E7171B">
        <w:rPr>
          <w:sz w:val="24"/>
          <w:szCs w:val="24"/>
        </w:rPr>
        <w:t>2. Initiation of TriCyclic Antidepressants (TCAs) as first-line antidepressant treatment (higher risk of adverse drug reactions with TCAs than with SSRIs or SNRIs).</w:t>
      </w:r>
    </w:p>
    <w:p w:rsidR="008C6A0A" w:rsidRPr="00E7171B" w:rsidRDefault="008C6A0A" w:rsidP="000F7718">
      <w:pPr>
        <w:rPr>
          <w:sz w:val="24"/>
          <w:szCs w:val="24"/>
        </w:rPr>
      </w:pPr>
      <w:r w:rsidRPr="00E7171B">
        <w:rPr>
          <w:sz w:val="24"/>
          <w:szCs w:val="24"/>
        </w:rPr>
        <w:t>3. Neuroleptics with moderate-marked antimuscarinic/anticholinergic effects (chlorpromazine, clozapine, flupenthixol, fluphenzine, pipothiazine, promazine, zuclopenthixol) with a history of prostatism or previous urinary retention (high risk of urinary retention).</w:t>
      </w:r>
    </w:p>
    <w:p w:rsidR="008C6A0A" w:rsidRPr="00E7171B" w:rsidRDefault="008C6A0A" w:rsidP="000F7718">
      <w:pPr>
        <w:rPr>
          <w:sz w:val="24"/>
          <w:szCs w:val="24"/>
        </w:rPr>
      </w:pPr>
      <w:r w:rsidRPr="00E7171B">
        <w:rPr>
          <w:sz w:val="24"/>
          <w:szCs w:val="24"/>
        </w:rPr>
        <w:t>4. Selective serotonin re-uptake inhibitors (SSRI’s) with current or recent significant hyponatraemia i.e. serum Na+ &lt; 130 mmol/l (risk of exacerbating or precipitating hyponatraemia).</w:t>
      </w:r>
    </w:p>
    <w:p w:rsidR="008C6A0A" w:rsidRPr="00E7171B" w:rsidRDefault="008C6A0A" w:rsidP="000F7718">
      <w:pPr>
        <w:rPr>
          <w:sz w:val="24"/>
          <w:szCs w:val="24"/>
        </w:rPr>
      </w:pPr>
      <w:r w:rsidRPr="00E7171B">
        <w:rPr>
          <w:sz w:val="24"/>
          <w:szCs w:val="24"/>
        </w:rPr>
        <w:t>5. Benzodiazepines for ≥ 4 weeks (no indication for longer treatment; risk of prolonged sedation, confusion, impaired balance, falls, road traffic accidents; all benzodiazepines should be withdrawn gradually if taken for more than  4  weeks as there is a risk of causing a benzodiazepine withdrawal syndrome if stopped abruptly).</w:t>
      </w:r>
    </w:p>
    <w:p w:rsidR="008C6A0A" w:rsidRPr="00E7171B" w:rsidRDefault="008C6A0A" w:rsidP="000F7718">
      <w:pPr>
        <w:rPr>
          <w:sz w:val="24"/>
          <w:szCs w:val="24"/>
        </w:rPr>
      </w:pPr>
      <w:r w:rsidRPr="00E7171B">
        <w:rPr>
          <w:sz w:val="24"/>
          <w:szCs w:val="24"/>
        </w:rPr>
        <w:t xml:space="preserve">6.  Antipsychotics (i.e. other than quetiapine or clozapine) in those with </w:t>
      </w:r>
      <w:proofErr w:type="gramStart"/>
      <w:r w:rsidRPr="00E7171B">
        <w:rPr>
          <w:sz w:val="24"/>
          <w:szCs w:val="24"/>
        </w:rPr>
        <w:t>parkinsonism</w:t>
      </w:r>
      <w:proofErr w:type="gramEnd"/>
      <w:r w:rsidRPr="00E7171B">
        <w:rPr>
          <w:sz w:val="24"/>
          <w:szCs w:val="24"/>
        </w:rPr>
        <w:t xml:space="preserve"> or Lewy Body Disease (risk of severe extra-pyramidal symptoms)</w:t>
      </w:r>
    </w:p>
    <w:p w:rsidR="008C6A0A" w:rsidRPr="00E7171B" w:rsidRDefault="008C6A0A" w:rsidP="000F7718">
      <w:pPr>
        <w:rPr>
          <w:sz w:val="24"/>
          <w:szCs w:val="24"/>
        </w:rPr>
      </w:pPr>
      <w:r w:rsidRPr="00E7171B">
        <w:rPr>
          <w:sz w:val="24"/>
          <w:szCs w:val="24"/>
        </w:rPr>
        <w:t>7. Anticholinergics/antimuscarinics to treat extra-pyramidal side-effects of neuroleptic medications (risk of anticholinergic toxicity),</w:t>
      </w:r>
    </w:p>
    <w:p w:rsidR="008C6A0A" w:rsidRPr="00E7171B" w:rsidRDefault="008C6A0A" w:rsidP="000F7718">
      <w:pPr>
        <w:rPr>
          <w:sz w:val="24"/>
          <w:szCs w:val="24"/>
        </w:rPr>
      </w:pPr>
      <w:r w:rsidRPr="00E7171B">
        <w:rPr>
          <w:sz w:val="24"/>
          <w:szCs w:val="24"/>
        </w:rPr>
        <w:lastRenderedPageBreak/>
        <w:t>8. Anticholinergics/antimuscarinics in patients with delirium or dementia (risk of exacerbation of cognitive impairment).</w:t>
      </w:r>
    </w:p>
    <w:p w:rsidR="008C6A0A" w:rsidRPr="00E7171B" w:rsidRDefault="008C6A0A" w:rsidP="000F7718">
      <w:pPr>
        <w:rPr>
          <w:sz w:val="24"/>
          <w:szCs w:val="24"/>
        </w:rPr>
      </w:pPr>
      <w:r w:rsidRPr="00E7171B">
        <w:rPr>
          <w:sz w:val="24"/>
          <w:szCs w:val="24"/>
        </w:rPr>
        <w:t xml:space="preserve">9. Neuroleptic </w:t>
      </w:r>
      <w:proofErr w:type="gramStart"/>
      <w:r w:rsidRPr="00E7171B">
        <w:rPr>
          <w:sz w:val="24"/>
          <w:szCs w:val="24"/>
        </w:rPr>
        <w:t>antipsychotic  in</w:t>
      </w:r>
      <w:proofErr w:type="gramEnd"/>
      <w:r w:rsidRPr="00E7171B">
        <w:rPr>
          <w:sz w:val="24"/>
          <w:szCs w:val="24"/>
        </w:rPr>
        <w:t xml:space="preserve"> patients with behavioural and psychological symptoms of dementia (BPSD) unless symptoms are severe and other non-pharmacological treatments have failed (increased risk of stroke).</w:t>
      </w:r>
    </w:p>
    <w:p w:rsidR="008C6A0A" w:rsidRPr="00E7171B" w:rsidRDefault="008C6A0A" w:rsidP="000F7718">
      <w:pPr>
        <w:rPr>
          <w:sz w:val="24"/>
          <w:szCs w:val="24"/>
        </w:rPr>
      </w:pPr>
      <w:r w:rsidRPr="00E7171B">
        <w:rPr>
          <w:sz w:val="24"/>
          <w:szCs w:val="24"/>
        </w:rPr>
        <w:t xml:space="preserve">10. Neuroleptics as hypnotics, unless sleep disorder is due to </w:t>
      </w:r>
      <w:proofErr w:type="gramStart"/>
      <w:r w:rsidRPr="00E7171B">
        <w:rPr>
          <w:sz w:val="24"/>
          <w:szCs w:val="24"/>
        </w:rPr>
        <w:t>psychosis  or</w:t>
      </w:r>
      <w:proofErr w:type="gramEnd"/>
      <w:r w:rsidRPr="00E7171B">
        <w:rPr>
          <w:sz w:val="24"/>
          <w:szCs w:val="24"/>
        </w:rPr>
        <w:t xml:space="preserve"> dementia (risk of confusion, hypotension, extra-pyramidal side effects, falls).</w:t>
      </w:r>
    </w:p>
    <w:p w:rsidR="008C6A0A" w:rsidRPr="00E7171B" w:rsidRDefault="008C6A0A" w:rsidP="000F7718">
      <w:pPr>
        <w:rPr>
          <w:sz w:val="24"/>
          <w:szCs w:val="24"/>
        </w:rPr>
      </w:pPr>
      <w:r>
        <w:rPr>
          <w:sz w:val="24"/>
          <w:szCs w:val="24"/>
        </w:rPr>
        <w:t>11</w:t>
      </w:r>
      <w:r w:rsidRPr="00E7171B">
        <w:rPr>
          <w:sz w:val="24"/>
          <w:szCs w:val="24"/>
        </w:rPr>
        <w:t>. Acetylcholinesterase inhibitors with a known history of persistent bradycardia (&lt; 60 beats/min.), heart block or recurrent unexplained syncope or concurrent treatment with drugs that reduce heart rate such as beta-blockers, digoxin, diltiazem, verapamil (risk of cardiac conduction failure, syncope and injury).</w:t>
      </w:r>
    </w:p>
    <w:p w:rsidR="008C6A0A" w:rsidRPr="00E7171B" w:rsidRDefault="008C6A0A" w:rsidP="000F7718">
      <w:pPr>
        <w:rPr>
          <w:sz w:val="24"/>
          <w:szCs w:val="24"/>
        </w:rPr>
      </w:pPr>
      <w:r>
        <w:rPr>
          <w:sz w:val="24"/>
          <w:szCs w:val="24"/>
        </w:rPr>
        <w:t>12</w:t>
      </w:r>
      <w:r w:rsidRPr="00E7171B">
        <w:rPr>
          <w:sz w:val="24"/>
          <w:szCs w:val="24"/>
        </w:rPr>
        <w:t>. Phenothiazines as  first-line treatment, since safer and more efficacious alternatives exist (phenothiazines are sedative, have significant anti-muscarinic toxicity in older people, with the exception of prochlorperazine for nausea/vomiting/vertigo, chlorpromazine for relief of persistent hiccoughs and levomepromazine as an anti-emetic in  palliative care ).</w:t>
      </w:r>
    </w:p>
    <w:p w:rsidR="008C6A0A" w:rsidRPr="00E7171B" w:rsidRDefault="008C6A0A" w:rsidP="000F7718">
      <w:pPr>
        <w:rPr>
          <w:sz w:val="24"/>
          <w:szCs w:val="24"/>
        </w:rPr>
      </w:pPr>
      <w:r>
        <w:rPr>
          <w:sz w:val="24"/>
          <w:szCs w:val="24"/>
        </w:rPr>
        <w:t>13</w:t>
      </w:r>
      <w:r w:rsidRPr="00E7171B">
        <w:rPr>
          <w:sz w:val="24"/>
          <w:szCs w:val="24"/>
        </w:rPr>
        <w:t>. Levodopa or dopamine agonists for benign essential tremor (no evidence of efficacy)</w:t>
      </w:r>
    </w:p>
    <w:p w:rsidR="008C6A0A" w:rsidRDefault="008C6A0A" w:rsidP="000F7718">
      <w:pPr>
        <w:rPr>
          <w:sz w:val="24"/>
          <w:szCs w:val="24"/>
        </w:rPr>
      </w:pPr>
      <w:r>
        <w:rPr>
          <w:sz w:val="24"/>
          <w:szCs w:val="24"/>
        </w:rPr>
        <w:t>14</w:t>
      </w:r>
      <w:r w:rsidRPr="00E7171B">
        <w:rPr>
          <w:sz w:val="24"/>
          <w:szCs w:val="24"/>
        </w:rPr>
        <w:t>. First-generation antihistamines (safer, less toxic antihistamines now widely available).</w:t>
      </w:r>
    </w:p>
    <w:p w:rsidR="008C6A0A" w:rsidRDefault="008C6A0A" w:rsidP="000F7718">
      <w:pPr>
        <w:rPr>
          <w:sz w:val="24"/>
          <w:szCs w:val="24"/>
        </w:rPr>
      </w:pPr>
    </w:p>
    <w:p w:rsidR="008C6A0A" w:rsidRPr="00ED4DD7" w:rsidRDefault="008C6A0A" w:rsidP="000F7718">
      <w:pPr>
        <w:rPr>
          <w:sz w:val="24"/>
          <w:szCs w:val="24"/>
        </w:rPr>
      </w:pPr>
      <w:r w:rsidRPr="00E7171B">
        <w:rPr>
          <w:b/>
          <w:bCs/>
          <w:color w:val="333333"/>
          <w:sz w:val="24"/>
          <w:szCs w:val="24"/>
          <w:lang w:eastAsia="en-GB"/>
        </w:rPr>
        <w:t>Section E: Re</w:t>
      </w:r>
      <w:r>
        <w:rPr>
          <w:b/>
          <w:bCs/>
          <w:color w:val="333333"/>
          <w:sz w:val="24"/>
          <w:szCs w:val="24"/>
          <w:lang w:eastAsia="en-GB"/>
        </w:rPr>
        <w:t xml:space="preserve">nal System. The following drugs </w:t>
      </w:r>
      <w:r w:rsidRPr="00E7171B">
        <w:rPr>
          <w:b/>
          <w:bCs/>
          <w:color w:val="333333"/>
          <w:sz w:val="24"/>
          <w:szCs w:val="24"/>
          <w:lang w:eastAsia="en-GB"/>
        </w:rPr>
        <w:t>are potentially inappropriate in older people with acute or chronic kidney disease with renal function below particular levels of eGFR (refer to summary of product characteristics datasheets and local formulary guidelines)</w:t>
      </w:r>
    </w:p>
    <w:p w:rsidR="008C6A0A" w:rsidRPr="00E7171B" w:rsidRDefault="008C6A0A" w:rsidP="000F7718">
      <w:pPr>
        <w:rPr>
          <w:sz w:val="24"/>
          <w:szCs w:val="24"/>
        </w:rPr>
      </w:pPr>
      <w:r w:rsidRPr="00E7171B">
        <w:rPr>
          <w:sz w:val="24"/>
          <w:szCs w:val="24"/>
        </w:rPr>
        <w:t>1. Digoxin at a long-term dose greater than 125µg/day if eGFR &lt; 30 ml/min/</w:t>
      </w:r>
      <w:proofErr w:type="gramStart"/>
      <w:r w:rsidRPr="00E7171B">
        <w:rPr>
          <w:sz w:val="24"/>
          <w:szCs w:val="24"/>
        </w:rPr>
        <w:t>1.73m2  (</w:t>
      </w:r>
      <w:proofErr w:type="gramEnd"/>
      <w:r w:rsidRPr="00E7171B">
        <w:rPr>
          <w:sz w:val="24"/>
          <w:szCs w:val="24"/>
        </w:rPr>
        <w:t xml:space="preserve">risk of digoxin toxicity if plasma levels not measured). </w:t>
      </w:r>
    </w:p>
    <w:p w:rsidR="008C6A0A" w:rsidRPr="00E7171B" w:rsidRDefault="008C6A0A" w:rsidP="000F7718">
      <w:pPr>
        <w:rPr>
          <w:sz w:val="24"/>
          <w:szCs w:val="24"/>
        </w:rPr>
      </w:pPr>
      <w:r w:rsidRPr="00E7171B">
        <w:rPr>
          <w:sz w:val="24"/>
          <w:szCs w:val="24"/>
        </w:rPr>
        <w:t>2. Direct thrombin inhibitors (e.g. dabigatran</w:t>
      </w:r>
      <w:proofErr w:type="gramStart"/>
      <w:r w:rsidRPr="00E7171B">
        <w:rPr>
          <w:sz w:val="24"/>
          <w:szCs w:val="24"/>
        </w:rPr>
        <w:t>)  if</w:t>
      </w:r>
      <w:proofErr w:type="gramEnd"/>
      <w:r w:rsidRPr="00E7171B">
        <w:rPr>
          <w:sz w:val="24"/>
          <w:szCs w:val="24"/>
        </w:rPr>
        <w:t xml:space="preserve"> eGFR &lt; 30 ml/min/1.73m2 (risk of bleeding)</w:t>
      </w:r>
    </w:p>
    <w:p w:rsidR="008C6A0A" w:rsidRPr="00E7171B" w:rsidRDefault="008C6A0A" w:rsidP="000F7718">
      <w:pPr>
        <w:rPr>
          <w:sz w:val="24"/>
          <w:szCs w:val="24"/>
        </w:rPr>
      </w:pPr>
      <w:r w:rsidRPr="00E7171B">
        <w:rPr>
          <w:sz w:val="24"/>
          <w:szCs w:val="24"/>
        </w:rPr>
        <w:t>3. Factor Xa inhibitors (e.g. rivaroxaban</w:t>
      </w:r>
      <w:r>
        <w:rPr>
          <w:sz w:val="24"/>
          <w:szCs w:val="24"/>
        </w:rPr>
        <w:t>, apixaban</w:t>
      </w:r>
      <w:r w:rsidRPr="00E7171B">
        <w:rPr>
          <w:sz w:val="24"/>
          <w:szCs w:val="24"/>
        </w:rPr>
        <w:t>) if eGFR &lt; 15 ml/min/1.73m2 (risk of bleeding)</w:t>
      </w:r>
    </w:p>
    <w:p w:rsidR="008C6A0A" w:rsidRPr="00E7171B" w:rsidRDefault="008C6A0A" w:rsidP="000F7718">
      <w:pPr>
        <w:rPr>
          <w:sz w:val="24"/>
          <w:szCs w:val="24"/>
        </w:rPr>
      </w:pPr>
      <w:r w:rsidRPr="00E7171B">
        <w:rPr>
          <w:sz w:val="24"/>
          <w:szCs w:val="24"/>
        </w:rPr>
        <w:t>4. NSAID’s if eGFR &lt; 50 ml/min/</w:t>
      </w:r>
      <w:proofErr w:type="gramStart"/>
      <w:r w:rsidRPr="00E7171B">
        <w:rPr>
          <w:sz w:val="24"/>
          <w:szCs w:val="24"/>
        </w:rPr>
        <w:t>1.73m2  (</w:t>
      </w:r>
      <w:proofErr w:type="gramEnd"/>
      <w:r w:rsidRPr="00E7171B">
        <w:rPr>
          <w:sz w:val="24"/>
          <w:szCs w:val="24"/>
        </w:rPr>
        <w:t>risk of deterioration in renal function).</w:t>
      </w:r>
    </w:p>
    <w:p w:rsidR="008C6A0A" w:rsidRPr="00E7171B" w:rsidRDefault="008C6A0A" w:rsidP="000F7718">
      <w:pPr>
        <w:rPr>
          <w:sz w:val="24"/>
          <w:szCs w:val="24"/>
        </w:rPr>
      </w:pPr>
      <w:r w:rsidRPr="00E7171B">
        <w:rPr>
          <w:sz w:val="24"/>
          <w:szCs w:val="24"/>
        </w:rPr>
        <w:t>5. Colchicine if eGFR &lt; 10 ml/min/1.73m2 (risk of colchicine toxicity)</w:t>
      </w:r>
    </w:p>
    <w:p w:rsidR="008C6A0A" w:rsidRPr="00E7171B" w:rsidRDefault="008C6A0A" w:rsidP="000F7718">
      <w:pPr>
        <w:rPr>
          <w:sz w:val="24"/>
          <w:szCs w:val="24"/>
        </w:rPr>
      </w:pPr>
      <w:r w:rsidRPr="00E7171B">
        <w:rPr>
          <w:sz w:val="24"/>
          <w:szCs w:val="24"/>
        </w:rPr>
        <w:t>6. Metformin if eGFR &lt; 30 ml/min/1.73m2 (risk of lactic acidosis).</w:t>
      </w:r>
    </w:p>
    <w:p w:rsidR="008C6A0A" w:rsidRPr="00E7171B" w:rsidRDefault="008C6A0A" w:rsidP="000F7718">
      <w:pPr>
        <w:rPr>
          <w:sz w:val="24"/>
          <w:szCs w:val="24"/>
        </w:rPr>
      </w:pPr>
    </w:p>
    <w:p w:rsidR="008C6A0A" w:rsidRDefault="008C6A0A" w:rsidP="000F7718">
      <w:pPr>
        <w:rPr>
          <w:b/>
          <w:bCs/>
          <w:color w:val="333333"/>
          <w:sz w:val="24"/>
          <w:szCs w:val="24"/>
          <w:lang w:eastAsia="en-GB"/>
        </w:rPr>
      </w:pPr>
    </w:p>
    <w:p w:rsidR="008C6A0A" w:rsidRPr="00E7171B" w:rsidRDefault="008C6A0A" w:rsidP="000F7718">
      <w:pPr>
        <w:rPr>
          <w:b/>
          <w:bCs/>
          <w:color w:val="333333"/>
          <w:sz w:val="24"/>
          <w:szCs w:val="24"/>
          <w:lang w:eastAsia="en-GB"/>
        </w:rPr>
      </w:pPr>
      <w:r w:rsidRPr="00E7171B">
        <w:rPr>
          <w:b/>
          <w:bCs/>
          <w:color w:val="333333"/>
          <w:sz w:val="24"/>
          <w:szCs w:val="24"/>
          <w:lang w:eastAsia="en-GB"/>
        </w:rPr>
        <w:lastRenderedPageBreak/>
        <w:t>Section F: Gastrointestinal System</w:t>
      </w:r>
    </w:p>
    <w:p w:rsidR="008C6A0A" w:rsidRPr="00E7171B" w:rsidRDefault="008C6A0A" w:rsidP="000F7718">
      <w:pPr>
        <w:rPr>
          <w:sz w:val="24"/>
          <w:szCs w:val="24"/>
        </w:rPr>
      </w:pPr>
      <w:r w:rsidRPr="00E7171B">
        <w:rPr>
          <w:sz w:val="24"/>
          <w:szCs w:val="24"/>
        </w:rPr>
        <w:t>1. Prochlorperazine or metoclopramide with Parkinsonism (risk of exacerbating Parkinsonian symptoms).</w:t>
      </w:r>
    </w:p>
    <w:p w:rsidR="008C6A0A" w:rsidRPr="00E7171B" w:rsidRDefault="008C6A0A" w:rsidP="000F7718">
      <w:pPr>
        <w:rPr>
          <w:sz w:val="24"/>
          <w:szCs w:val="24"/>
        </w:rPr>
      </w:pPr>
      <w:r>
        <w:rPr>
          <w:sz w:val="24"/>
          <w:szCs w:val="24"/>
        </w:rPr>
        <w:t>2</w:t>
      </w:r>
      <w:r w:rsidRPr="00E7171B">
        <w:rPr>
          <w:sz w:val="24"/>
          <w:szCs w:val="24"/>
        </w:rPr>
        <w:t>. PPI for uncomplicated peptic ulcer disease or erosive peptic oesophagitis at full therapeutic dosage for &gt; 8 weeks (dose reduction or earlier discontinuation indicated).</w:t>
      </w:r>
    </w:p>
    <w:p w:rsidR="008C6A0A" w:rsidRPr="00E7171B" w:rsidRDefault="008C6A0A" w:rsidP="000F7718">
      <w:pPr>
        <w:rPr>
          <w:sz w:val="24"/>
          <w:szCs w:val="24"/>
        </w:rPr>
      </w:pPr>
      <w:r>
        <w:rPr>
          <w:sz w:val="24"/>
          <w:szCs w:val="24"/>
        </w:rPr>
        <w:t>3</w:t>
      </w:r>
      <w:r w:rsidRPr="00E7171B">
        <w:rPr>
          <w:sz w:val="24"/>
          <w:szCs w:val="24"/>
        </w:rPr>
        <w:t>. Drugs likely to cause constipation (e.g. antimuscarinic/anticholinergic drugs, oral iron, opioids, verapamil, aluminium antacids) in patients with chronic constipation where non-constipating alternatives are a</w:t>
      </w:r>
      <w:r>
        <w:rPr>
          <w:sz w:val="24"/>
          <w:szCs w:val="24"/>
        </w:rPr>
        <w:t>vailable</w:t>
      </w:r>
      <w:r w:rsidRPr="00E7171B">
        <w:rPr>
          <w:sz w:val="24"/>
          <w:szCs w:val="24"/>
        </w:rPr>
        <w:t xml:space="preserve"> (risk of exacerbation of constipation).</w:t>
      </w:r>
    </w:p>
    <w:p w:rsidR="008C6A0A" w:rsidRPr="00E7171B" w:rsidRDefault="008C6A0A" w:rsidP="000F7718">
      <w:pPr>
        <w:rPr>
          <w:sz w:val="24"/>
          <w:szCs w:val="24"/>
        </w:rPr>
      </w:pPr>
      <w:r>
        <w:rPr>
          <w:sz w:val="24"/>
          <w:szCs w:val="24"/>
        </w:rPr>
        <w:t>4</w:t>
      </w:r>
      <w:r w:rsidRPr="00E7171B">
        <w:rPr>
          <w:sz w:val="24"/>
          <w:szCs w:val="24"/>
        </w:rPr>
        <w:t>. Oral elemental iron doses greater than 200 mg daily (e.g. ferrous fumarate&gt; 600 mg/day, ferrous sulphate &gt; 600 mg/day, ferrous gluconate&gt; 1800 mg/day; no evidence of enhanced iron absorption above these doses).</w:t>
      </w:r>
    </w:p>
    <w:p w:rsidR="008C6A0A" w:rsidRPr="00E7171B" w:rsidRDefault="008C6A0A" w:rsidP="000F7718">
      <w:pPr>
        <w:rPr>
          <w:sz w:val="24"/>
          <w:szCs w:val="24"/>
        </w:rPr>
      </w:pPr>
    </w:p>
    <w:p w:rsidR="008C6A0A" w:rsidRPr="00E7171B" w:rsidRDefault="008C6A0A" w:rsidP="000F7718">
      <w:pPr>
        <w:rPr>
          <w:b/>
          <w:bCs/>
          <w:color w:val="333333"/>
          <w:sz w:val="24"/>
          <w:szCs w:val="24"/>
          <w:lang w:eastAsia="en-GB"/>
        </w:rPr>
      </w:pPr>
      <w:r w:rsidRPr="00E7171B">
        <w:rPr>
          <w:b/>
          <w:bCs/>
          <w:color w:val="333333"/>
          <w:sz w:val="24"/>
          <w:szCs w:val="24"/>
          <w:lang w:eastAsia="en-GB"/>
        </w:rPr>
        <w:t>Section G: Respiratory System</w:t>
      </w:r>
    </w:p>
    <w:p w:rsidR="008C6A0A" w:rsidRPr="00E7171B" w:rsidRDefault="008C6A0A" w:rsidP="000F7718">
      <w:pPr>
        <w:rPr>
          <w:sz w:val="24"/>
          <w:szCs w:val="24"/>
        </w:rPr>
      </w:pPr>
      <w:r w:rsidRPr="00E7171B">
        <w:rPr>
          <w:sz w:val="24"/>
          <w:szCs w:val="24"/>
        </w:rPr>
        <w:t>1. Theophylline as monotherapy for COPD (safer, more effective alternative; risk of adverse effects due to narrow therapeutic index).</w:t>
      </w:r>
    </w:p>
    <w:p w:rsidR="008C6A0A" w:rsidRPr="00E7171B" w:rsidRDefault="008C6A0A" w:rsidP="000F7718">
      <w:pPr>
        <w:rPr>
          <w:sz w:val="24"/>
          <w:szCs w:val="24"/>
        </w:rPr>
      </w:pPr>
      <w:r w:rsidRPr="00E7171B">
        <w:rPr>
          <w:sz w:val="24"/>
          <w:szCs w:val="24"/>
        </w:rPr>
        <w:t>2. Systemic corticosteroids instead of inhaled corticosteroids for maintenance therapy in moderate-severe COPD (unnecessary exposure to long-term side-effects of systemic corticosteroids and effective inhaled therapies are available).</w:t>
      </w:r>
    </w:p>
    <w:p w:rsidR="008C6A0A" w:rsidRPr="00E7171B" w:rsidRDefault="008C6A0A" w:rsidP="000F7718">
      <w:pPr>
        <w:rPr>
          <w:sz w:val="24"/>
          <w:szCs w:val="24"/>
        </w:rPr>
      </w:pPr>
      <w:r w:rsidRPr="00E7171B">
        <w:rPr>
          <w:sz w:val="24"/>
          <w:szCs w:val="24"/>
        </w:rPr>
        <w:t>3. Anti</w:t>
      </w:r>
      <w:r>
        <w:rPr>
          <w:sz w:val="24"/>
          <w:szCs w:val="24"/>
        </w:rPr>
        <w:t>-</w:t>
      </w:r>
      <w:r w:rsidRPr="00E7171B">
        <w:rPr>
          <w:sz w:val="24"/>
          <w:szCs w:val="24"/>
        </w:rPr>
        <w:t>muscarinic bronchodilators (e.g. ipratropium, tiotropium) with a history of narrow angle glaucoma (may exacerbate glaucoma) or bladder outflow obstruction (may cause urinary retention).</w:t>
      </w:r>
    </w:p>
    <w:p w:rsidR="008C6A0A" w:rsidRPr="00E7171B" w:rsidRDefault="008C6A0A" w:rsidP="000F7718">
      <w:pPr>
        <w:rPr>
          <w:sz w:val="24"/>
          <w:szCs w:val="24"/>
        </w:rPr>
      </w:pPr>
      <w:r w:rsidRPr="00E7171B">
        <w:rPr>
          <w:sz w:val="24"/>
          <w:szCs w:val="24"/>
        </w:rPr>
        <w:t>4. Non-selective beta-blocker (whether oral or topical for glaucoma) with a history of asthma requiring treatment (risk of increased bronchospasm).</w:t>
      </w:r>
    </w:p>
    <w:p w:rsidR="008C6A0A" w:rsidRPr="00E7171B" w:rsidRDefault="008C6A0A" w:rsidP="000F7718">
      <w:pPr>
        <w:rPr>
          <w:sz w:val="24"/>
          <w:szCs w:val="24"/>
        </w:rPr>
      </w:pPr>
      <w:r w:rsidRPr="00E7171B">
        <w:rPr>
          <w:sz w:val="24"/>
          <w:szCs w:val="24"/>
        </w:rPr>
        <w:t>5. Benzodiazepines with acute or chronic respiratory failure i.e. pO2 &lt; 8.0 kPa ± pCO2 &gt; 6.5 kPa (risk of exacerbation of respiratory failure).</w:t>
      </w:r>
    </w:p>
    <w:p w:rsidR="008C6A0A" w:rsidRPr="00E7171B" w:rsidRDefault="008C6A0A" w:rsidP="000F7718">
      <w:pPr>
        <w:rPr>
          <w:sz w:val="24"/>
          <w:szCs w:val="24"/>
        </w:rPr>
      </w:pPr>
    </w:p>
    <w:p w:rsidR="008C6A0A" w:rsidRPr="00E7171B" w:rsidRDefault="008C6A0A" w:rsidP="000F7718">
      <w:pPr>
        <w:rPr>
          <w:b/>
          <w:bCs/>
          <w:color w:val="333333"/>
          <w:sz w:val="24"/>
          <w:szCs w:val="24"/>
          <w:lang w:eastAsia="en-GB"/>
        </w:rPr>
      </w:pPr>
      <w:r w:rsidRPr="00E7171B">
        <w:rPr>
          <w:b/>
          <w:bCs/>
          <w:color w:val="333333"/>
          <w:sz w:val="24"/>
          <w:szCs w:val="24"/>
          <w:lang w:eastAsia="en-GB"/>
        </w:rPr>
        <w:t>Section H: Musculoskeletal System</w:t>
      </w:r>
    </w:p>
    <w:p w:rsidR="008C6A0A" w:rsidRPr="00E7171B" w:rsidRDefault="008C6A0A" w:rsidP="000F7718">
      <w:pPr>
        <w:rPr>
          <w:sz w:val="24"/>
          <w:szCs w:val="24"/>
        </w:rPr>
      </w:pPr>
      <w:r w:rsidRPr="00E7171B">
        <w:rPr>
          <w:sz w:val="24"/>
          <w:szCs w:val="24"/>
        </w:rPr>
        <w:t>1. Non-steroidal anti-inflammatory drug (NSAID) other than COX-2 selective agents with history of peptic ulcer disease or gastrointestinal bleeding, unless with concurrent PPI or H2 antagonist (risk of peptic ulcer relapse).</w:t>
      </w:r>
    </w:p>
    <w:p w:rsidR="008C6A0A" w:rsidRPr="00E7171B" w:rsidRDefault="008C6A0A" w:rsidP="000F7718">
      <w:pPr>
        <w:rPr>
          <w:sz w:val="24"/>
          <w:szCs w:val="24"/>
        </w:rPr>
      </w:pPr>
      <w:r w:rsidRPr="00E7171B">
        <w:rPr>
          <w:sz w:val="24"/>
          <w:szCs w:val="24"/>
        </w:rPr>
        <w:t>2. NSAID with severe hypertension (risk of exacerbation of hypertension) or severe heart failure (risk of exacerbation of heart failure).</w:t>
      </w:r>
    </w:p>
    <w:p w:rsidR="008C6A0A" w:rsidRPr="00E7171B" w:rsidRDefault="008C6A0A" w:rsidP="000F7718">
      <w:pPr>
        <w:rPr>
          <w:sz w:val="24"/>
          <w:szCs w:val="24"/>
        </w:rPr>
      </w:pPr>
      <w:r w:rsidRPr="00E7171B">
        <w:rPr>
          <w:sz w:val="24"/>
          <w:szCs w:val="24"/>
        </w:rPr>
        <w:lastRenderedPageBreak/>
        <w:t>3. Long-term use of NSAID (&gt;3 months) for symptom relief of osteoarthritis pain where paracetamol has not been tried (simple analgesics preferable and usually as effective for pain relief)</w:t>
      </w:r>
    </w:p>
    <w:p w:rsidR="008C6A0A" w:rsidRPr="00E7171B" w:rsidRDefault="008C6A0A" w:rsidP="000F7718">
      <w:pPr>
        <w:rPr>
          <w:sz w:val="24"/>
          <w:szCs w:val="24"/>
        </w:rPr>
      </w:pPr>
      <w:r w:rsidRPr="00E7171B">
        <w:rPr>
          <w:sz w:val="24"/>
          <w:szCs w:val="24"/>
        </w:rPr>
        <w:t>4. Long-term corticosteroids (&gt;3 months) as monotherapy for rheumatoid arthrtitis (risk of systemic corticosteroid side-effects).</w:t>
      </w:r>
    </w:p>
    <w:p w:rsidR="008C6A0A" w:rsidRPr="00E7171B" w:rsidRDefault="008C6A0A" w:rsidP="000F7718">
      <w:pPr>
        <w:rPr>
          <w:sz w:val="24"/>
          <w:szCs w:val="24"/>
        </w:rPr>
      </w:pPr>
      <w:r w:rsidRPr="00E7171B">
        <w:rPr>
          <w:sz w:val="24"/>
          <w:szCs w:val="24"/>
        </w:rPr>
        <w:t>5.  Corticosteroids (other than periodic intra-articular injections for mono-articular pain) for osteoarthritis (risk of systemic corticosteroid side-effects).</w:t>
      </w:r>
    </w:p>
    <w:p w:rsidR="008C6A0A" w:rsidRPr="00E7171B" w:rsidRDefault="008C6A0A" w:rsidP="000F7718">
      <w:pPr>
        <w:rPr>
          <w:sz w:val="24"/>
          <w:szCs w:val="24"/>
        </w:rPr>
      </w:pPr>
      <w:r w:rsidRPr="00E7171B">
        <w:rPr>
          <w:sz w:val="24"/>
          <w:szCs w:val="24"/>
        </w:rPr>
        <w:t>6. Long-term NSAID or colchicine (&gt;3 months) for chronic treatment of gout where there is no contraindication to a xanthine-oxidase inhibitor (e.g. allopurinol, febuxostat) (xanthine-oxidase inhibitors are first choice prophylactic drugs in gout).</w:t>
      </w:r>
    </w:p>
    <w:p w:rsidR="008C6A0A" w:rsidRPr="00E7171B" w:rsidRDefault="008C6A0A" w:rsidP="000F7718">
      <w:pPr>
        <w:rPr>
          <w:sz w:val="24"/>
          <w:szCs w:val="24"/>
        </w:rPr>
      </w:pPr>
      <w:r w:rsidRPr="00E7171B">
        <w:rPr>
          <w:sz w:val="24"/>
          <w:szCs w:val="24"/>
        </w:rPr>
        <w:t>7. COX-2 selective NSAIDs with concurrent cardiovascular disease (increased risk of myocardial infarction and stroke)</w:t>
      </w:r>
    </w:p>
    <w:p w:rsidR="008C6A0A" w:rsidRPr="00E7171B" w:rsidRDefault="008C6A0A" w:rsidP="000F7718">
      <w:pPr>
        <w:rPr>
          <w:sz w:val="24"/>
          <w:szCs w:val="24"/>
        </w:rPr>
      </w:pPr>
      <w:r w:rsidRPr="00E7171B">
        <w:rPr>
          <w:sz w:val="24"/>
          <w:szCs w:val="24"/>
        </w:rPr>
        <w:t>8. NSAID with concurrent corticosteroids without PPI prophylaxis (increased risk of peptic ulcer disease)</w:t>
      </w:r>
    </w:p>
    <w:p w:rsidR="008C6A0A" w:rsidRPr="00E7171B" w:rsidRDefault="008C6A0A" w:rsidP="000F7718">
      <w:pPr>
        <w:rPr>
          <w:sz w:val="24"/>
          <w:szCs w:val="24"/>
        </w:rPr>
      </w:pPr>
      <w:r w:rsidRPr="00E7171B">
        <w:rPr>
          <w:sz w:val="24"/>
          <w:szCs w:val="24"/>
        </w:rPr>
        <w:t>9. Oral bisphosphonates in patients with a current or recent history of upper gastrointestinal disease i.e. dysphagia, oesophagitis, gastritis, duodenitis, or peptic ulcer disease, or upper gastrointestinal bleeding (risk of relapse/exacerbation of oesophagitis, oesophageal ulcer, oesophageal stricture)</w:t>
      </w:r>
    </w:p>
    <w:p w:rsidR="008C6A0A" w:rsidRDefault="008C6A0A" w:rsidP="000F7718">
      <w:pPr>
        <w:rPr>
          <w:sz w:val="24"/>
          <w:szCs w:val="24"/>
        </w:rPr>
      </w:pPr>
    </w:p>
    <w:p w:rsidR="008C6A0A" w:rsidRPr="00E7171B" w:rsidRDefault="008C6A0A" w:rsidP="000F7718">
      <w:pPr>
        <w:rPr>
          <w:b/>
          <w:bCs/>
          <w:color w:val="333333"/>
          <w:sz w:val="24"/>
          <w:szCs w:val="24"/>
          <w:lang w:eastAsia="en-GB"/>
        </w:rPr>
      </w:pPr>
      <w:r w:rsidRPr="00E7171B">
        <w:rPr>
          <w:b/>
          <w:bCs/>
          <w:color w:val="333333"/>
          <w:sz w:val="24"/>
          <w:szCs w:val="24"/>
          <w:lang w:eastAsia="en-GB"/>
        </w:rPr>
        <w:t>Section I: Urogenital System</w:t>
      </w:r>
    </w:p>
    <w:p w:rsidR="008C6A0A" w:rsidRPr="00E7171B" w:rsidRDefault="008C6A0A" w:rsidP="000F7718">
      <w:pPr>
        <w:rPr>
          <w:sz w:val="24"/>
          <w:szCs w:val="24"/>
        </w:rPr>
      </w:pPr>
      <w:r w:rsidRPr="00E7171B">
        <w:rPr>
          <w:sz w:val="24"/>
          <w:szCs w:val="24"/>
        </w:rPr>
        <w:t>1. Antimuscarinic drugs with dementia, or chronic cognitive impairment (risk of increased confusion, agitation) or narrow-angle glaucoma (risk of acute exacerbation of glaucoma), or chronic prostatism (risk of urinary retention).</w:t>
      </w:r>
    </w:p>
    <w:p w:rsidR="008C6A0A" w:rsidRPr="00E7171B" w:rsidRDefault="008C6A0A" w:rsidP="000F7718">
      <w:pPr>
        <w:rPr>
          <w:sz w:val="24"/>
          <w:szCs w:val="24"/>
        </w:rPr>
      </w:pPr>
      <w:r w:rsidRPr="00E7171B">
        <w:rPr>
          <w:sz w:val="24"/>
          <w:szCs w:val="24"/>
        </w:rPr>
        <w:t>2. Selective alpha-1 selective alpha blockers in those with symptomatic orthostatic hypotension or micturition syncope (risk of precipitating recurrent syncope)</w:t>
      </w:r>
    </w:p>
    <w:p w:rsidR="008C6A0A" w:rsidRPr="00E7171B" w:rsidRDefault="008C6A0A" w:rsidP="000F7718">
      <w:pPr>
        <w:rPr>
          <w:sz w:val="24"/>
          <w:szCs w:val="24"/>
        </w:rPr>
      </w:pPr>
    </w:p>
    <w:p w:rsidR="008C6A0A" w:rsidRPr="00E7171B" w:rsidRDefault="008C6A0A" w:rsidP="000F7718">
      <w:pPr>
        <w:rPr>
          <w:b/>
          <w:bCs/>
          <w:color w:val="333333"/>
          <w:sz w:val="24"/>
          <w:szCs w:val="24"/>
          <w:lang w:eastAsia="en-GB"/>
        </w:rPr>
      </w:pPr>
      <w:r w:rsidRPr="00E7171B">
        <w:rPr>
          <w:b/>
          <w:bCs/>
          <w:color w:val="333333"/>
          <w:sz w:val="24"/>
          <w:szCs w:val="24"/>
          <w:lang w:eastAsia="en-GB"/>
        </w:rPr>
        <w:t>Section J. Endocrine System</w:t>
      </w:r>
    </w:p>
    <w:p w:rsidR="008C6A0A" w:rsidRPr="00E7171B" w:rsidRDefault="008C6A0A" w:rsidP="000F7718">
      <w:pPr>
        <w:rPr>
          <w:sz w:val="24"/>
          <w:szCs w:val="24"/>
        </w:rPr>
      </w:pPr>
      <w:r w:rsidRPr="00E7171B">
        <w:rPr>
          <w:sz w:val="24"/>
          <w:szCs w:val="24"/>
        </w:rPr>
        <w:t>1. Sulphonylureas with a long duration of action (e.g. glibenclamide, chlorpropamide, glimepiride) with type 2 diabetes mellitus (risk of prolonged hypoglycaemia).</w:t>
      </w:r>
    </w:p>
    <w:p w:rsidR="008C6A0A" w:rsidRPr="00E7171B" w:rsidRDefault="008C6A0A" w:rsidP="000F7718">
      <w:pPr>
        <w:rPr>
          <w:sz w:val="24"/>
          <w:szCs w:val="24"/>
        </w:rPr>
      </w:pPr>
      <w:r w:rsidRPr="00E7171B">
        <w:rPr>
          <w:sz w:val="24"/>
          <w:szCs w:val="24"/>
        </w:rPr>
        <w:t>2. Thiazolidenediones (e.g. rosiglitazone, pioglitazone) in patients with heart failure (risk of exacerbation of heart failure)</w:t>
      </w:r>
    </w:p>
    <w:p w:rsidR="008C6A0A" w:rsidRPr="00E7171B" w:rsidRDefault="008C6A0A" w:rsidP="000F7718">
      <w:pPr>
        <w:rPr>
          <w:sz w:val="24"/>
          <w:szCs w:val="24"/>
        </w:rPr>
      </w:pPr>
      <w:r w:rsidRPr="00E7171B">
        <w:rPr>
          <w:sz w:val="24"/>
          <w:szCs w:val="24"/>
        </w:rPr>
        <w:lastRenderedPageBreak/>
        <w:t>3. Beta-blockers in diabetes mellitus with frequent hypoglycaemic episodes (risk of suppressing hypoglycaemic symptoms).</w:t>
      </w:r>
    </w:p>
    <w:p w:rsidR="008C6A0A" w:rsidRPr="00E7171B" w:rsidRDefault="008C6A0A" w:rsidP="000F7718">
      <w:pPr>
        <w:rPr>
          <w:sz w:val="24"/>
          <w:szCs w:val="24"/>
        </w:rPr>
      </w:pPr>
      <w:r w:rsidRPr="00E7171B">
        <w:rPr>
          <w:sz w:val="24"/>
          <w:szCs w:val="24"/>
        </w:rPr>
        <w:t>4. Oestrogens with a history of breast cancer or venous thromboembolism (increased risk of recurrence).</w:t>
      </w:r>
    </w:p>
    <w:p w:rsidR="008C6A0A" w:rsidRPr="00E7171B" w:rsidRDefault="008C6A0A" w:rsidP="000F7718">
      <w:pPr>
        <w:rPr>
          <w:sz w:val="24"/>
          <w:szCs w:val="24"/>
        </w:rPr>
      </w:pPr>
      <w:r w:rsidRPr="00E7171B">
        <w:rPr>
          <w:sz w:val="24"/>
          <w:szCs w:val="24"/>
        </w:rPr>
        <w:t>5. Oral oestrogens without progestogen in patients with intact uterus (risk of endometrial cancer).</w:t>
      </w:r>
    </w:p>
    <w:p w:rsidR="008C6A0A" w:rsidRPr="00E7171B" w:rsidRDefault="008C6A0A" w:rsidP="000F7718">
      <w:pPr>
        <w:rPr>
          <w:sz w:val="24"/>
          <w:szCs w:val="24"/>
        </w:rPr>
      </w:pPr>
      <w:r w:rsidRPr="00E7171B">
        <w:rPr>
          <w:sz w:val="24"/>
          <w:szCs w:val="24"/>
        </w:rPr>
        <w:t xml:space="preserve">6. Androgens (male sex hormones) in the absence of primary or secondary hypogonadism (risk of androgen toxicity; no proven benefit outside of </w:t>
      </w:r>
      <w:r>
        <w:rPr>
          <w:sz w:val="24"/>
          <w:szCs w:val="24"/>
        </w:rPr>
        <w:t xml:space="preserve">the </w:t>
      </w:r>
      <w:r w:rsidRPr="00E7171B">
        <w:rPr>
          <w:sz w:val="24"/>
          <w:szCs w:val="24"/>
        </w:rPr>
        <w:t>hypogonadism</w:t>
      </w:r>
      <w:r w:rsidR="00C43918">
        <w:rPr>
          <w:sz w:val="24"/>
          <w:szCs w:val="24"/>
        </w:rPr>
        <w:t xml:space="preserve"> </w:t>
      </w:r>
      <w:r w:rsidRPr="00E7171B">
        <w:rPr>
          <w:sz w:val="24"/>
          <w:szCs w:val="24"/>
        </w:rPr>
        <w:t>indication).</w:t>
      </w:r>
    </w:p>
    <w:p w:rsidR="008C6A0A" w:rsidRPr="00E7171B" w:rsidRDefault="008C6A0A" w:rsidP="000F7718">
      <w:pPr>
        <w:rPr>
          <w:sz w:val="24"/>
          <w:szCs w:val="24"/>
        </w:rPr>
      </w:pPr>
    </w:p>
    <w:p w:rsidR="008C6A0A" w:rsidRPr="00E7171B" w:rsidRDefault="008C6A0A" w:rsidP="000F7718">
      <w:pPr>
        <w:rPr>
          <w:b/>
          <w:bCs/>
          <w:color w:val="333333"/>
          <w:sz w:val="24"/>
          <w:szCs w:val="24"/>
          <w:lang w:eastAsia="en-GB"/>
        </w:rPr>
      </w:pPr>
      <w:r w:rsidRPr="00E7171B">
        <w:rPr>
          <w:b/>
          <w:bCs/>
          <w:color w:val="333333"/>
          <w:sz w:val="24"/>
          <w:szCs w:val="24"/>
          <w:lang w:eastAsia="en-GB"/>
        </w:rPr>
        <w:t>Section K: Drugs that predictably increase the risk of falls in older people</w:t>
      </w:r>
    </w:p>
    <w:p w:rsidR="008C6A0A" w:rsidRPr="00E7171B" w:rsidRDefault="008C6A0A" w:rsidP="000F7718">
      <w:pPr>
        <w:rPr>
          <w:color w:val="333333"/>
          <w:sz w:val="24"/>
          <w:szCs w:val="24"/>
          <w:lang w:eastAsia="en-GB"/>
        </w:rPr>
      </w:pPr>
      <w:r w:rsidRPr="00E7171B">
        <w:rPr>
          <w:color w:val="333333"/>
          <w:sz w:val="24"/>
          <w:szCs w:val="24"/>
          <w:lang w:eastAsia="en-GB"/>
        </w:rPr>
        <w:t>1. Benzodiazepines (sedative, may cause reduced sensorium, impair balance).</w:t>
      </w:r>
    </w:p>
    <w:p w:rsidR="008C6A0A" w:rsidRPr="00E7171B" w:rsidRDefault="008C6A0A" w:rsidP="000F7718">
      <w:pPr>
        <w:rPr>
          <w:color w:val="333333"/>
          <w:sz w:val="24"/>
          <w:szCs w:val="24"/>
          <w:lang w:eastAsia="en-GB"/>
        </w:rPr>
      </w:pPr>
      <w:r w:rsidRPr="00E7171B">
        <w:rPr>
          <w:color w:val="333333"/>
          <w:sz w:val="24"/>
          <w:szCs w:val="24"/>
          <w:lang w:eastAsia="en-GB"/>
        </w:rPr>
        <w:t>2. Neuroleptic drugs (may cause gait dyspraxia, Parkinsonism).</w:t>
      </w:r>
    </w:p>
    <w:p w:rsidR="008C6A0A" w:rsidRPr="00E7171B" w:rsidRDefault="008C6A0A" w:rsidP="000F7718">
      <w:pPr>
        <w:rPr>
          <w:color w:val="333333"/>
          <w:sz w:val="24"/>
          <w:szCs w:val="24"/>
          <w:lang w:eastAsia="en-GB"/>
        </w:rPr>
      </w:pPr>
      <w:r w:rsidRPr="00E7171B">
        <w:rPr>
          <w:color w:val="333333"/>
          <w:sz w:val="24"/>
          <w:szCs w:val="24"/>
          <w:lang w:eastAsia="en-GB"/>
        </w:rPr>
        <w:t>3. Vasodilator drugs (e.g. alpha-1 receptor blockers, calcium channel blockers, long-acting nitrates, ACE inhibitors, angiotensin I receptor blockers</w:t>
      </w:r>
      <w:proofErr w:type="gramStart"/>
      <w:r w:rsidRPr="00E7171B">
        <w:rPr>
          <w:color w:val="333333"/>
          <w:sz w:val="24"/>
          <w:szCs w:val="24"/>
          <w:lang w:eastAsia="en-GB"/>
        </w:rPr>
        <w:t>, )</w:t>
      </w:r>
      <w:proofErr w:type="gramEnd"/>
      <w:r w:rsidRPr="00E7171B">
        <w:rPr>
          <w:color w:val="333333"/>
          <w:sz w:val="24"/>
          <w:szCs w:val="24"/>
          <w:lang w:eastAsia="en-GB"/>
        </w:rPr>
        <w:t xml:space="preserve"> with persistent postural hypotension i.e. recurrent drop in systolic blood pressure ≥ 20mmHg (risk of syncope, falls).</w:t>
      </w:r>
    </w:p>
    <w:p w:rsidR="008C6A0A" w:rsidRPr="00E7171B" w:rsidRDefault="008C6A0A" w:rsidP="000F7718">
      <w:pPr>
        <w:rPr>
          <w:color w:val="333333"/>
          <w:sz w:val="24"/>
          <w:szCs w:val="24"/>
          <w:lang w:eastAsia="en-GB"/>
        </w:rPr>
      </w:pPr>
      <w:r w:rsidRPr="00E7171B">
        <w:rPr>
          <w:color w:val="333333"/>
          <w:sz w:val="24"/>
          <w:szCs w:val="24"/>
          <w:lang w:eastAsia="en-GB"/>
        </w:rPr>
        <w:t>4. Hypnotic Z-drugs e.g. zopiclone, zolpidem, zaleplon (may cause protracted daytime sedation, ataxia).</w:t>
      </w:r>
    </w:p>
    <w:p w:rsidR="008C6A0A" w:rsidRPr="00E7171B" w:rsidRDefault="008C6A0A" w:rsidP="000F7718">
      <w:pPr>
        <w:rPr>
          <w:color w:val="333333"/>
          <w:sz w:val="24"/>
          <w:szCs w:val="24"/>
          <w:lang w:eastAsia="en-GB"/>
        </w:rPr>
      </w:pPr>
    </w:p>
    <w:p w:rsidR="008C6A0A" w:rsidRPr="00E7171B" w:rsidRDefault="008C6A0A" w:rsidP="000F7718">
      <w:pPr>
        <w:rPr>
          <w:b/>
          <w:bCs/>
          <w:color w:val="333333"/>
          <w:sz w:val="24"/>
          <w:szCs w:val="24"/>
          <w:lang w:eastAsia="en-GB"/>
        </w:rPr>
      </w:pPr>
      <w:r w:rsidRPr="00E7171B">
        <w:rPr>
          <w:b/>
          <w:bCs/>
          <w:color w:val="333333"/>
          <w:sz w:val="24"/>
          <w:szCs w:val="24"/>
          <w:lang w:eastAsia="en-GB"/>
        </w:rPr>
        <w:t>Section L: Analgesic Drugs</w:t>
      </w:r>
    </w:p>
    <w:p w:rsidR="008C6A0A" w:rsidRPr="00E7171B" w:rsidRDefault="008C6A0A" w:rsidP="000F7718">
      <w:pPr>
        <w:rPr>
          <w:color w:val="333333"/>
          <w:sz w:val="24"/>
          <w:szCs w:val="24"/>
          <w:lang w:eastAsia="en-GB"/>
        </w:rPr>
      </w:pPr>
      <w:r w:rsidRPr="00E7171B">
        <w:rPr>
          <w:color w:val="333333"/>
          <w:sz w:val="24"/>
          <w:szCs w:val="24"/>
          <w:lang w:eastAsia="en-GB"/>
        </w:rPr>
        <w:t>1. Use of oral or transdermal strong opioids (morphine, oxycodone, fentanyl, buprenorphine, diamorphine, methadone, tramadol, pethidine, pentazocine) as first line therapy for mild pain (WHO analgesic ladder not observed).</w:t>
      </w:r>
    </w:p>
    <w:p w:rsidR="008C6A0A" w:rsidRPr="00E7171B" w:rsidRDefault="008C6A0A" w:rsidP="000F7718">
      <w:pPr>
        <w:rPr>
          <w:color w:val="333333"/>
          <w:sz w:val="24"/>
          <w:szCs w:val="24"/>
          <w:lang w:eastAsia="en-GB"/>
        </w:rPr>
      </w:pPr>
      <w:r w:rsidRPr="00E7171B">
        <w:rPr>
          <w:color w:val="333333"/>
          <w:sz w:val="24"/>
          <w:szCs w:val="24"/>
          <w:lang w:eastAsia="en-GB"/>
        </w:rPr>
        <w:t>2. Use of regular (as distinct from PRN) opioids without concomitant laxative (risk of severe constipation).</w:t>
      </w:r>
    </w:p>
    <w:p w:rsidR="008C6A0A" w:rsidRPr="00E7171B" w:rsidRDefault="008C6A0A" w:rsidP="000F7718">
      <w:pPr>
        <w:rPr>
          <w:color w:val="333333"/>
          <w:sz w:val="24"/>
          <w:szCs w:val="24"/>
          <w:lang w:eastAsia="en-GB"/>
        </w:rPr>
      </w:pPr>
      <w:r w:rsidRPr="00E7171B">
        <w:rPr>
          <w:color w:val="333333"/>
          <w:sz w:val="24"/>
          <w:szCs w:val="24"/>
          <w:lang w:eastAsia="en-GB"/>
        </w:rPr>
        <w:t>3. Long-acting opioids without short-acting opioids for break-through pain (risk of persistence of severe pain)</w:t>
      </w:r>
    </w:p>
    <w:p w:rsidR="008C6A0A" w:rsidRPr="00E7171B" w:rsidRDefault="008C6A0A" w:rsidP="000F7718">
      <w:pPr>
        <w:rPr>
          <w:color w:val="333333"/>
          <w:sz w:val="24"/>
          <w:szCs w:val="24"/>
          <w:lang w:eastAsia="en-GB"/>
        </w:rPr>
      </w:pPr>
    </w:p>
    <w:p w:rsidR="008C6A0A" w:rsidRPr="00E7171B" w:rsidRDefault="008C6A0A" w:rsidP="000F7718">
      <w:pPr>
        <w:rPr>
          <w:b/>
          <w:bCs/>
          <w:color w:val="333333"/>
          <w:sz w:val="24"/>
          <w:szCs w:val="24"/>
          <w:lang w:eastAsia="en-GB"/>
        </w:rPr>
      </w:pPr>
      <w:r w:rsidRPr="00E7171B">
        <w:rPr>
          <w:b/>
          <w:bCs/>
          <w:color w:val="333333"/>
          <w:sz w:val="24"/>
          <w:szCs w:val="24"/>
          <w:lang w:eastAsia="en-GB"/>
        </w:rPr>
        <w:t>Section N: Antimuscarinic/Anticholinergic Drug Burden</w:t>
      </w:r>
    </w:p>
    <w:p w:rsidR="008C6A0A" w:rsidRPr="00CD091C" w:rsidRDefault="008C6A0A" w:rsidP="00CD091C">
      <w:pPr>
        <w:rPr>
          <w:color w:val="333333"/>
          <w:sz w:val="24"/>
          <w:szCs w:val="24"/>
          <w:lang w:eastAsia="en-GB"/>
        </w:rPr>
      </w:pPr>
      <w:r w:rsidRPr="00CD091C">
        <w:rPr>
          <w:color w:val="333333"/>
          <w:sz w:val="24"/>
          <w:szCs w:val="24"/>
          <w:lang w:eastAsia="en-GB"/>
        </w:rPr>
        <w:t>Concomitant use of two or more drugs with antimuscarinic/anticholinergic properties (e.g. bladder antispasmodics, intestinal antispasmodics, tricyclic antidepressants, first generation antihistamines) (risk of increased antimuscarinic/anticholinergic toxicity)</w:t>
      </w:r>
    </w:p>
    <w:p w:rsidR="00206E74" w:rsidRDefault="00206E74" w:rsidP="00CD091C">
      <w:pPr>
        <w:rPr>
          <w:rStyle w:val="notranslate"/>
          <w:rFonts w:cs="Calibri"/>
          <w:b/>
          <w:bCs/>
          <w:sz w:val="28"/>
          <w:szCs w:val="28"/>
        </w:rPr>
      </w:pPr>
    </w:p>
    <w:p w:rsidR="00206E74" w:rsidRDefault="00206E74" w:rsidP="00CD091C">
      <w:pPr>
        <w:rPr>
          <w:rStyle w:val="notranslate"/>
          <w:rFonts w:cs="Calibri"/>
          <w:b/>
          <w:bCs/>
          <w:sz w:val="28"/>
          <w:szCs w:val="28"/>
        </w:rPr>
      </w:pPr>
    </w:p>
    <w:p w:rsidR="00206E74" w:rsidRDefault="00206E74" w:rsidP="00CD091C">
      <w:pPr>
        <w:rPr>
          <w:rStyle w:val="notranslate"/>
          <w:rFonts w:cs="Calibri"/>
          <w:b/>
          <w:bCs/>
          <w:sz w:val="28"/>
          <w:szCs w:val="28"/>
        </w:rPr>
      </w:pPr>
    </w:p>
    <w:p w:rsidR="008C6A0A" w:rsidRPr="000A7B9C" w:rsidRDefault="00CC5D4E" w:rsidP="00CD091C">
      <w:pPr>
        <w:rPr>
          <w:rStyle w:val="notranslate"/>
          <w:rFonts w:cs="Calibri"/>
          <w:sz w:val="28"/>
          <w:szCs w:val="28"/>
        </w:rPr>
      </w:pPr>
      <w:r>
        <w:rPr>
          <w:rStyle w:val="notranslate"/>
          <w:rFonts w:cs="Calibri"/>
          <w:b/>
          <w:bCs/>
          <w:sz w:val="28"/>
          <w:szCs w:val="28"/>
        </w:rPr>
        <w:t xml:space="preserve">Appendix: </w:t>
      </w:r>
      <w:r w:rsidR="00851DC2">
        <w:rPr>
          <w:rStyle w:val="notranslate"/>
          <w:rFonts w:cs="Calibri"/>
          <w:b/>
          <w:bCs/>
          <w:sz w:val="28"/>
          <w:szCs w:val="28"/>
        </w:rPr>
        <w:t>4</w:t>
      </w:r>
      <w:r w:rsidR="008C6A0A" w:rsidRPr="000A7B9C">
        <w:rPr>
          <w:rStyle w:val="notranslate"/>
          <w:rFonts w:cs="Calibri"/>
          <w:sz w:val="28"/>
          <w:szCs w:val="28"/>
        </w:rPr>
        <w:t xml:space="preserve">: </w:t>
      </w:r>
      <w:r w:rsidR="008C6A0A" w:rsidRPr="000A7B9C">
        <w:rPr>
          <w:rStyle w:val="notranslate"/>
          <w:rFonts w:cs="Calibri"/>
          <w:b/>
          <w:bCs/>
          <w:sz w:val="28"/>
          <w:szCs w:val="28"/>
        </w:rPr>
        <w:t>Screening Tool to Alert to Right Treatment (START), version 2.</w:t>
      </w:r>
    </w:p>
    <w:p w:rsidR="008C6A0A" w:rsidRPr="00CD091C" w:rsidRDefault="008C6A0A" w:rsidP="00CD091C">
      <w:pPr>
        <w:rPr>
          <w:rStyle w:val="notranslate"/>
          <w:rFonts w:cs="Calibri"/>
          <w:color w:val="333333"/>
          <w:sz w:val="24"/>
          <w:szCs w:val="24"/>
          <w:lang w:eastAsia="en-GB"/>
        </w:rPr>
      </w:pPr>
      <w:r w:rsidRPr="00CD091C">
        <w:rPr>
          <w:rStyle w:val="notranslate"/>
          <w:rFonts w:cs="Calibri"/>
          <w:sz w:val="24"/>
          <w:szCs w:val="24"/>
        </w:rPr>
        <w:t>Unless an elderly patient’s clinical status is end-of-life and therefore requiring a more palliative focus of pharmacotherapy, the following drug therapies should be considered where omitted fo</w:t>
      </w:r>
      <w:r>
        <w:rPr>
          <w:rStyle w:val="notranslate"/>
          <w:rFonts w:cs="Calibri"/>
          <w:sz w:val="24"/>
          <w:szCs w:val="24"/>
        </w:rPr>
        <w:t>r no valid clinical reason(s). I</w:t>
      </w:r>
      <w:r w:rsidRPr="00CD091C">
        <w:rPr>
          <w:rStyle w:val="notranslate"/>
          <w:rFonts w:cs="Calibri"/>
          <w:sz w:val="24"/>
          <w:szCs w:val="24"/>
        </w:rPr>
        <w:t>t is assumed that the prescriber observes all the specific contraindications to these drug therapies prior to recom</w:t>
      </w:r>
      <w:r>
        <w:rPr>
          <w:rStyle w:val="notranslate"/>
          <w:rFonts w:cs="Calibri"/>
          <w:sz w:val="24"/>
          <w:szCs w:val="24"/>
        </w:rPr>
        <w:t>mending them to older patients.</w:t>
      </w:r>
    </w:p>
    <w:p w:rsidR="008C6A0A" w:rsidRPr="00E7171B" w:rsidRDefault="008C6A0A" w:rsidP="000B499B">
      <w:pPr>
        <w:rPr>
          <w:rStyle w:val="notranslate"/>
          <w:rFonts w:cs="Calibri"/>
          <w:caps/>
          <w:sz w:val="24"/>
          <w:szCs w:val="24"/>
        </w:rPr>
      </w:pPr>
    </w:p>
    <w:p w:rsidR="008C6A0A" w:rsidRPr="00E7171B" w:rsidRDefault="008C6A0A" w:rsidP="000B499B">
      <w:pPr>
        <w:rPr>
          <w:color w:val="333333"/>
          <w:sz w:val="24"/>
          <w:szCs w:val="24"/>
          <w:lang w:eastAsia="en-GB"/>
        </w:rPr>
      </w:pPr>
      <w:r w:rsidRPr="00E7171B">
        <w:rPr>
          <w:b/>
          <w:bCs/>
          <w:color w:val="333333"/>
          <w:sz w:val="24"/>
          <w:szCs w:val="24"/>
          <w:lang w:eastAsia="en-GB"/>
        </w:rPr>
        <w:t>Section A: Cardiovascular System</w:t>
      </w:r>
    </w:p>
    <w:p w:rsidR="008C6A0A" w:rsidRPr="00E7171B" w:rsidRDefault="008C6A0A" w:rsidP="000B499B">
      <w:pPr>
        <w:rPr>
          <w:color w:val="333333"/>
          <w:sz w:val="24"/>
          <w:szCs w:val="24"/>
          <w:lang w:eastAsia="en-GB"/>
        </w:rPr>
      </w:pPr>
      <w:r w:rsidRPr="00E7171B">
        <w:rPr>
          <w:color w:val="333333"/>
          <w:sz w:val="24"/>
          <w:szCs w:val="24"/>
          <w:lang w:eastAsia="en-GB"/>
        </w:rPr>
        <w:t>1. Vitamin K antagonists or direct thrombin inhibitors or factor Xa inhibitors in the presence of chronic atrial fibrillation.</w:t>
      </w:r>
    </w:p>
    <w:p w:rsidR="008C6A0A" w:rsidRPr="00E7171B" w:rsidRDefault="008C6A0A" w:rsidP="000B499B">
      <w:pPr>
        <w:rPr>
          <w:color w:val="333333"/>
          <w:sz w:val="24"/>
          <w:szCs w:val="24"/>
          <w:lang w:eastAsia="en-GB"/>
        </w:rPr>
      </w:pPr>
      <w:r w:rsidRPr="00E7171B">
        <w:rPr>
          <w:color w:val="333333"/>
          <w:sz w:val="24"/>
          <w:szCs w:val="24"/>
          <w:lang w:eastAsia="en-GB"/>
        </w:rPr>
        <w:t>2. Aspirin (75 mg – 160 mg once daily) in the presence of chronic atrial fibrillation, where Vitamin K antagonists or direct thrombin inhibitors or factor Xa inhibitors are contraindicated.</w:t>
      </w:r>
    </w:p>
    <w:p w:rsidR="008C6A0A" w:rsidRPr="00E7171B" w:rsidRDefault="008C6A0A" w:rsidP="000B499B">
      <w:pPr>
        <w:rPr>
          <w:color w:val="333333"/>
          <w:sz w:val="24"/>
          <w:szCs w:val="24"/>
          <w:lang w:eastAsia="en-GB"/>
        </w:rPr>
      </w:pPr>
      <w:r w:rsidRPr="00E7171B">
        <w:rPr>
          <w:color w:val="333333"/>
          <w:sz w:val="24"/>
          <w:szCs w:val="24"/>
          <w:lang w:eastAsia="en-GB"/>
        </w:rPr>
        <w:t>3. Antiplatelet therapy (aspirin or clopidogrel or prasugrel or ticagrelor) with a documented history of coronary, cerebral or peripheral vascular disease.</w:t>
      </w:r>
    </w:p>
    <w:p w:rsidR="008C6A0A" w:rsidRPr="00E7171B" w:rsidRDefault="008C6A0A" w:rsidP="000B499B">
      <w:pPr>
        <w:rPr>
          <w:color w:val="333333"/>
          <w:sz w:val="24"/>
          <w:szCs w:val="24"/>
          <w:lang w:eastAsia="en-GB"/>
        </w:rPr>
      </w:pPr>
      <w:r w:rsidRPr="00E7171B">
        <w:rPr>
          <w:color w:val="333333"/>
          <w:sz w:val="24"/>
          <w:szCs w:val="24"/>
          <w:lang w:eastAsia="en-GB"/>
        </w:rPr>
        <w:t>4. Antihypertensive therapy where systolic blood pressure consistently &gt; 160 mmHg and/or diastolic blood pressure consistently &gt;90 mmHg; if systolic blood pressure &gt; 140 mmHg and /or diastolic blood pressure &gt; 90 mmHg, if diabetic.</w:t>
      </w:r>
    </w:p>
    <w:p w:rsidR="008C6A0A" w:rsidRPr="00E7171B" w:rsidRDefault="008C6A0A" w:rsidP="000B499B">
      <w:pPr>
        <w:rPr>
          <w:color w:val="333333"/>
          <w:sz w:val="24"/>
          <w:szCs w:val="24"/>
          <w:lang w:eastAsia="en-GB"/>
        </w:rPr>
      </w:pPr>
      <w:r w:rsidRPr="00E7171B">
        <w:rPr>
          <w:color w:val="333333"/>
          <w:sz w:val="24"/>
          <w:szCs w:val="24"/>
          <w:lang w:eastAsia="en-GB"/>
        </w:rPr>
        <w:t>5. Statin therapy with a documented history of coronary, cerebral or peripheral vascular disease, unless the patient’s status is end-of-life or age is &gt; 85 years.</w:t>
      </w:r>
    </w:p>
    <w:p w:rsidR="008C6A0A" w:rsidRPr="00E7171B" w:rsidRDefault="008C6A0A" w:rsidP="000B499B">
      <w:pPr>
        <w:rPr>
          <w:color w:val="333333"/>
          <w:sz w:val="24"/>
          <w:szCs w:val="24"/>
          <w:lang w:eastAsia="en-GB"/>
        </w:rPr>
      </w:pPr>
      <w:r w:rsidRPr="00E7171B">
        <w:rPr>
          <w:color w:val="333333"/>
          <w:sz w:val="24"/>
          <w:szCs w:val="24"/>
          <w:lang w:eastAsia="en-GB"/>
        </w:rPr>
        <w:t>6. Angiotensin Converting Enzyme (ACE) inhibitor with systolic heart failure and/or documented coronary artery disease.</w:t>
      </w:r>
    </w:p>
    <w:p w:rsidR="008C6A0A" w:rsidRPr="00E7171B" w:rsidRDefault="008C6A0A" w:rsidP="000B499B">
      <w:pPr>
        <w:rPr>
          <w:color w:val="333333"/>
          <w:sz w:val="24"/>
          <w:szCs w:val="24"/>
          <w:lang w:eastAsia="en-GB"/>
        </w:rPr>
      </w:pPr>
      <w:r w:rsidRPr="00E7171B">
        <w:rPr>
          <w:color w:val="333333"/>
          <w:sz w:val="24"/>
          <w:szCs w:val="24"/>
          <w:lang w:eastAsia="en-GB"/>
        </w:rPr>
        <w:t>7. Beta-blocker with ischaemic heart disease.</w:t>
      </w:r>
    </w:p>
    <w:p w:rsidR="008C6A0A" w:rsidRPr="00E7171B" w:rsidRDefault="008C6A0A" w:rsidP="000B499B">
      <w:pPr>
        <w:rPr>
          <w:color w:val="333333"/>
          <w:sz w:val="24"/>
          <w:szCs w:val="24"/>
          <w:lang w:eastAsia="en-GB"/>
        </w:rPr>
      </w:pPr>
      <w:r w:rsidRPr="00E7171B">
        <w:rPr>
          <w:color w:val="333333"/>
          <w:sz w:val="24"/>
          <w:szCs w:val="24"/>
          <w:lang w:eastAsia="en-GB"/>
        </w:rPr>
        <w:t>8. Appropriate beta-blocker (bisoprolol, nebivolol, metoprolol</w:t>
      </w:r>
      <w:r w:rsidR="00C43918">
        <w:rPr>
          <w:color w:val="333333"/>
          <w:sz w:val="24"/>
          <w:szCs w:val="24"/>
          <w:lang w:eastAsia="en-GB"/>
        </w:rPr>
        <w:t xml:space="preserve"> </w:t>
      </w:r>
      <w:r w:rsidRPr="00E7171B">
        <w:rPr>
          <w:color w:val="333333"/>
          <w:sz w:val="24"/>
          <w:szCs w:val="24"/>
          <w:lang w:eastAsia="en-GB"/>
        </w:rPr>
        <w:t>or</w:t>
      </w:r>
      <w:r w:rsidR="00C43918">
        <w:rPr>
          <w:color w:val="333333"/>
          <w:sz w:val="24"/>
          <w:szCs w:val="24"/>
          <w:lang w:eastAsia="en-GB"/>
        </w:rPr>
        <w:t xml:space="preserve"> </w:t>
      </w:r>
      <w:r w:rsidRPr="00E7171B">
        <w:rPr>
          <w:color w:val="333333"/>
          <w:sz w:val="24"/>
          <w:szCs w:val="24"/>
          <w:lang w:eastAsia="en-GB"/>
        </w:rPr>
        <w:t>carvedilol) with stable systolic heart failure.</w:t>
      </w:r>
    </w:p>
    <w:p w:rsidR="008C6A0A" w:rsidRPr="00E7171B" w:rsidRDefault="008C6A0A" w:rsidP="000B499B">
      <w:pPr>
        <w:rPr>
          <w:color w:val="333333"/>
          <w:sz w:val="24"/>
          <w:szCs w:val="24"/>
          <w:lang w:eastAsia="en-GB"/>
        </w:rPr>
      </w:pPr>
    </w:p>
    <w:p w:rsidR="008C6A0A" w:rsidRPr="00E7171B" w:rsidRDefault="008C6A0A" w:rsidP="000B499B">
      <w:pPr>
        <w:rPr>
          <w:b/>
          <w:bCs/>
          <w:color w:val="333333"/>
          <w:sz w:val="24"/>
          <w:szCs w:val="24"/>
          <w:lang w:eastAsia="en-GB"/>
        </w:rPr>
      </w:pPr>
      <w:r w:rsidRPr="00E7171B">
        <w:rPr>
          <w:b/>
          <w:bCs/>
          <w:color w:val="333333"/>
          <w:sz w:val="24"/>
          <w:szCs w:val="24"/>
          <w:lang w:eastAsia="en-GB"/>
        </w:rPr>
        <w:t>Section B: Respiratory System</w:t>
      </w:r>
    </w:p>
    <w:p w:rsidR="008C6A0A" w:rsidRPr="00E7171B" w:rsidRDefault="008C6A0A" w:rsidP="000B499B">
      <w:pPr>
        <w:rPr>
          <w:color w:val="333333"/>
          <w:sz w:val="24"/>
          <w:szCs w:val="24"/>
          <w:lang w:eastAsia="en-GB"/>
        </w:rPr>
      </w:pPr>
      <w:r w:rsidRPr="00E7171B">
        <w:rPr>
          <w:color w:val="333333"/>
          <w:sz w:val="24"/>
          <w:szCs w:val="24"/>
          <w:lang w:eastAsia="en-GB"/>
        </w:rPr>
        <w:lastRenderedPageBreak/>
        <w:t xml:space="preserve">1. Regular inhaled </w:t>
      </w:r>
      <w:r w:rsidRPr="00D65753">
        <w:rPr>
          <w:rFonts w:ascii="Symbol" w:hAnsi="Symbol" w:cs="Symbol"/>
          <w:color w:val="333333"/>
          <w:sz w:val="24"/>
          <w:szCs w:val="24"/>
          <w:lang w:eastAsia="en-GB"/>
        </w:rPr>
        <w:t></w:t>
      </w:r>
      <w:r w:rsidRPr="00E7171B">
        <w:rPr>
          <w:color w:val="333333"/>
          <w:sz w:val="24"/>
          <w:szCs w:val="24"/>
          <w:lang w:eastAsia="en-GB"/>
        </w:rPr>
        <w:t>2 agonist or antimuscarinic bronchodilator (e.g. ipratropium, tiotropium) for mild to moderate asthma or COPD.</w:t>
      </w:r>
    </w:p>
    <w:p w:rsidR="008C6A0A" w:rsidRPr="00E7171B" w:rsidRDefault="008C6A0A" w:rsidP="000B499B">
      <w:pPr>
        <w:rPr>
          <w:color w:val="333333"/>
          <w:sz w:val="24"/>
          <w:szCs w:val="24"/>
          <w:lang w:eastAsia="en-GB"/>
        </w:rPr>
      </w:pPr>
      <w:r w:rsidRPr="00E7171B">
        <w:rPr>
          <w:color w:val="333333"/>
          <w:sz w:val="24"/>
          <w:szCs w:val="24"/>
          <w:lang w:eastAsia="en-GB"/>
        </w:rPr>
        <w:t>2. Regular inhaled corticosteroid for moderate-severe asthma or COPD, where FEV1 &lt;50% of predicted value and repeated exacerbations requiring treatment with oral corticosteroids.</w:t>
      </w:r>
    </w:p>
    <w:p w:rsidR="008C6A0A" w:rsidRPr="00E7171B" w:rsidRDefault="008C6A0A" w:rsidP="000B499B">
      <w:pPr>
        <w:rPr>
          <w:color w:val="333333"/>
          <w:sz w:val="24"/>
          <w:szCs w:val="24"/>
          <w:lang w:eastAsia="en-GB"/>
        </w:rPr>
      </w:pPr>
      <w:r w:rsidRPr="00E7171B">
        <w:rPr>
          <w:color w:val="333333"/>
          <w:sz w:val="24"/>
          <w:szCs w:val="24"/>
          <w:lang w:eastAsia="en-GB"/>
        </w:rPr>
        <w:t>3. Home continuous oxygen with documented chronic hypoxaemia (i.e. pO2 &lt; 8.0 kPa or 60 mmHg or SaO2 &lt; 89%)</w:t>
      </w:r>
    </w:p>
    <w:p w:rsidR="008C6A0A" w:rsidRPr="00E7171B" w:rsidRDefault="008C6A0A" w:rsidP="000B499B">
      <w:pPr>
        <w:rPr>
          <w:color w:val="333333"/>
          <w:sz w:val="24"/>
          <w:szCs w:val="24"/>
          <w:lang w:eastAsia="en-GB"/>
        </w:rPr>
      </w:pPr>
    </w:p>
    <w:p w:rsidR="008C6A0A" w:rsidRPr="00E7171B" w:rsidRDefault="008C6A0A" w:rsidP="000B499B">
      <w:pPr>
        <w:rPr>
          <w:b/>
          <w:bCs/>
          <w:color w:val="333333"/>
          <w:sz w:val="24"/>
          <w:szCs w:val="24"/>
          <w:lang w:eastAsia="en-GB"/>
        </w:rPr>
      </w:pPr>
      <w:r w:rsidRPr="00E7171B">
        <w:rPr>
          <w:b/>
          <w:bCs/>
          <w:color w:val="333333"/>
          <w:sz w:val="24"/>
          <w:szCs w:val="24"/>
          <w:lang w:eastAsia="en-GB"/>
        </w:rPr>
        <w:t>Section C: Central Nervous System&amp; Eyes</w:t>
      </w:r>
    </w:p>
    <w:p w:rsidR="008C6A0A" w:rsidRPr="00E7171B" w:rsidRDefault="008C6A0A" w:rsidP="000B499B">
      <w:pPr>
        <w:rPr>
          <w:color w:val="333333"/>
          <w:sz w:val="24"/>
          <w:szCs w:val="24"/>
          <w:lang w:eastAsia="en-GB"/>
        </w:rPr>
      </w:pPr>
      <w:r w:rsidRPr="00E7171B">
        <w:rPr>
          <w:color w:val="333333"/>
          <w:sz w:val="24"/>
          <w:szCs w:val="24"/>
          <w:lang w:eastAsia="en-GB"/>
        </w:rPr>
        <w:t>1. L-DOPA or a dopamine agonist in idiopathic Parkinson’s disease with functional impairment and resultant disability.</w:t>
      </w:r>
    </w:p>
    <w:p w:rsidR="008C6A0A" w:rsidRPr="00E7171B" w:rsidRDefault="008C6A0A" w:rsidP="000B499B">
      <w:pPr>
        <w:rPr>
          <w:color w:val="333333"/>
          <w:sz w:val="24"/>
          <w:szCs w:val="24"/>
          <w:lang w:eastAsia="en-GB"/>
        </w:rPr>
      </w:pPr>
      <w:r w:rsidRPr="00E7171B">
        <w:rPr>
          <w:color w:val="333333"/>
          <w:sz w:val="24"/>
          <w:szCs w:val="24"/>
          <w:lang w:eastAsia="en-GB"/>
        </w:rPr>
        <w:t>2. Non-TCA antidepressant drug in the presence of persistent major depressive symptoms.</w:t>
      </w:r>
    </w:p>
    <w:p w:rsidR="008C6A0A" w:rsidRPr="00E7171B" w:rsidRDefault="008C6A0A" w:rsidP="000B499B">
      <w:pPr>
        <w:rPr>
          <w:color w:val="333333"/>
          <w:sz w:val="24"/>
          <w:szCs w:val="24"/>
          <w:lang w:eastAsia="en-GB"/>
        </w:rPr>
      </w:pPr>
      <w:r w:rsidRPr="00E7171B">
        <w:rPr>
          <w:color w:val="333333"/>
          <w:sz w:val="24"/>
          <w:szCs w:val="24"/>
          <w:lang w:eastAsia="en-GB"/>
        </w:rPr>
        <w:t>3. Acetylcholinesterase inhibitor (e.g. donepezil, rivastigmine, galantamine) for mild-moderate Alzheimer’s dementia or Lewy Body dementia (rivastigmine).</w:t>
      </w:r>
    </w:p>
    <w:p w:rsidR="008C6A0A" w:rsidRPr="00E7171B" w:rsidRDefault="008C6A0A" w:rsidP="000B499B">
      <w:pPr>
        <w:rPr>
          <w:color w:val="333333"/>
          <w:sz w:val="24"/>
          <w:szCs w:val="24"/>
          <w:lang w:eastAsia="en-GB"/>
        </w:rPr>
      </w:pPr>
      <w:r w:rsidRPr="00E7171B">
        <w:rPr>
          <w:color w:val="333333"/>
          <w:sz w:val="24"/>
          <w:szCs w:val="24"/>
          <w:lang w:eastAsia="en-GB"/>
        </w:rPr>
        <w:t>4. Topical prostaglandin, prostamide or beta-blocker for primary open-angle glaucoma.</w:t>
      </w:r>
    </w:p>
    <w:p w:rsidR="008C6A0A" w:rsidRPr="00E7171B" w:rsidRDefault="008C6A0A" w:rsidP="000B499B">
      <w:pPr>
        <w:rPr>
          <w:color w:val="333333"/>
          <w:sz w:val="24"/>
          <w:szCs w:val="24"/>
          <w:lang w:eastAsia="en-GB"/>
        </w:rPr>
      </w:pPr>
      <w:r w:rsidRPr="00E7171B">
        <w:rPr>
          <w:color w:val="333333"/>
          <w:sz w:val="24"/>
          <w:szCs w:val="24"/>
          <w:lang w:eastAsia="en-GB"/>
        </w:rPr>
        <w:t>5. Selective serotonin reuptake inhibitor (or SNRI or pregabalin if SSRI contraindicated) for persistent severe anxiety that interferes with independent functioning.</w:t>
      </w:r>
    </w:p>
    <w:p w:rsidR="008C6A0A" w:rsidRPr="00E7171B" w:rsidRDefault="008C6A0A" w:rsidP="000B499B">
      <w:pPr>
        <w:rPr>
          <w:color w:val="333333"/>
          <w:sz w:val="24"/>
          <w:szCs w:val="24"/>
          <w:lang w:eastAsia="en-GB"/>
        </w:rPr>
      </w:pPr>
      <w:r w:rsidRPr="00E7171B">
        <w:rPr>
          <w:color w:val="333333"/>
          <w:sz w:val="24"/>
          <w:szCs w:val="24"/>
          <w:lang w:eastAsia="en-GB"/>
        </w:rPr>
        <w:t>6. Dopamine agonist (ropinirole or pramipexole or rotigotine) for Restless Legs Syndrome, once iron deficiency and severe renal failure have been excluded.</w:t>
      </w:r>
    </w:p>
    <w:p w:rsidR="008C6A0A" w:rsidRPr="00E7171B" w:rsidRDefault="008C6A0A" w:rsidP="000B499B">
      <w:pPr>
        <w:rPr>
          <w:color w:val="333333"/>
          <w:sz w:val="24"/>
          <w:szCs w:val="24"/>
          <w:lang w:eastAsia="en-GB"/>
        </w:rPr>
      </w:pPr>
    </w:p>
    <w:p w:rsidR="008C6A0A" w:rsidRPr="00E7171B" w:rsidRDefault="008C6A0A" w:rsidP="000B499B">
      <w:pPr>
        <w:rPr>
          <w:b/>
          <w:bCs/>
          <w:color w:val="333333"/>
          <w:sz w:val="24"/>
          <w:szCs w:val="24"/>
          <w:lang w:eastAsia="en-GB"/>
        </w:rPr>
      </w:pPr>
      <w:r w:rsidRPr="00E7171B">
        <w:rPr>
          <w:b/>
          <w:bCs/>
          <w:color w:val="333333"/>
          <w:sz w:val="24"/>
          <w:szCs w:val="24"/>
          <w:lang w:eastAsia="en-GB"/>
        </w:rPr>
        <w:t>Section D: Gastrointestinal System</w:t>
      </w:r>
    </w:p>
    <w:p w:rsidR="008C6A0A" w:rsidRPr="00E7171B" w:rsidRDefault="008C6A0A" w:rsidP="000B499B">
      <w:pPr>
        <w:rPr>
          <w:color w:val="333333"/>
          <w:sz w:val="24"/>
          <w:szCs w:val="24"/>
          <w:lang w:eastAsia="en-GB"/>
        </w:rPr>
      </w:pPr>
      <w:r w:rsidRPr="00E7171B">
        <w:rPr>
          <w:color w:val="333333"/>
          <w:sz w:val="24"/>
          <w:szCs w:val="24"/>
          <w:lang w:eastAsia="en-GB"/>
        </w:rPr>
        <w:t>1. Proton Pump Inhibitor with severe gastro-oesophageal reflux disease or peptic stricture requiring dilatation.</w:t>
      </w:r>
    </w:p>
    <w:p w:rsidR="008C6A0A" w:rsidRPr="00E7171B" w:rsidRDefault="008C6A0A" w:rsidP="000B499B">
      <w:pPr>
        <w:rPr>
          <w:color w:val="333333"/>
          <w:sz w:val="24"/>
          <w:szCs w:val="24"/>
          <w:lang w:eastAsia="en-GB"/>
        </w:rPr>
      </w:pPr>
      <w:r w:rsidRPr="00E7171B">
        <w:rPr>
          <w:color w:val="333333"/>
          <w:sz w:val="24"/>
          <w:szCs w:val="24"/>
          <w:lang w:eastAsia="en-GB"/>
        </w:rPr>
        <w:t>2. Fibre supplements (e.g. bran, ispaghula, methylcellulose, sterculia) for diverticulosis with a history of constipation.</w:t>
      </w:r>
    </w:p>
    <w:p w:rsidR="008C6A0A" w:rsidRPr="00E7171B" w:rsidRDefault="008C6A0A" w:rsidP="000B499B">
      <w:pPr>
        <w:rPr>
          <w:color w:val="333333"/>
          <w:sz w:val="24"/>
          <w:szCs w:val="24"/>
          <w:lang w:eastAsia="en-GB"/>
        </w:rPr>
      </w:pPr>
    </w:p>
    <w:p w:rsidR="008C6A0A" w:rsidRPr="00E7171B" w:rsidRDefault="008C6A0A" w:rsidP="000B499B">
      <w:pPr>
        <w:rPr>
          <w:b/>
          <w:bCs/>
          <w:color w:val="333333"/>
          <w:sz w:val="24"/>
          <w:szCs w:val="24"/>
          <w:lang w:eastAsia="en-GB"/>
        </w:rPr>
      </w:pPr>
      <w:r w:rsidRPr="00E7171B">
        <w:rPr>
          <w:b/>
          <w:bCs/>
          <w:color w:val="333333"/>
          <w:sz w:val="24"/>
          <w:szCs w:val="24"/>
          <w:lang w:eastAsia="en-GB"/>
        </w:rPr>
        <w:t>Section E: Musculoskeletal System</w:t>
      </w:r>
    </w:p>
    <w:p w:rsidR="008C6A0A" w:rsidRPr="00E7171B" w:rsidRDefault="008C6A0A" w:rsidP="000B499B">
      <w:pPr>
        <w:rPr>
          <w:color w:val="333333"/>
          <w:sz w:val="24"/>
          <w:szCs w:val="24"/>
          <w:lang w:eastAsia="en-GB"/>
        </w:rPr>
      </w:pPr>
      <w:r w:rsidRPr="00E7171B">
        <w:rPr>
          <w:color w:val="333333"/>
          <w:sz w:val="24"/>
          <w:szCs w:val="24"/>
          <w:lang w:eastAsia="en-GB"/>
        </w:rPr>
        <w:t>1. Disease-modifying anti-rheumatic drug (DMARD) with active, disabling rheumatoid disease.</w:t>
      </w:r>
    </w:p>
    <w:p w:rsidR="008C6A0A" w:rsidRPr="00E7171B" w:rsidRDefault="008C6A0A" w:rsidP="000B499B">
      <w:pPr>
        <w:rPr>
          <w:color w:val="333333"/>
          <w:sz w:val="24"/>
          <w:szCs w:val="24"/>
          <w:lang w:eastAsia="en-GB"/>
        </w:rPr>
      </w:pPr>
      <w:r w:rsidRPr="00E7171B">
        <w:rPr>
          <w:color w:val="333333"/>
          <w:sz w:val="24"/>
          <w:szCs w:val="24"/>
          <w:lang w:eastAsia="en-GB"/>
        </w:rPr>
        <w:t>2. Bisphosphonates and vitamin D and calcium in patients taking long-term systemic corticosteroid therapy.</w:t>
      </w:r>
    </w:p>
    <w:p w:rsidR="008C6A0A" w:rsidRPr="00E7171B" w:rsidRDefault="008C6A0A" w:rsidP="000B499B">
      <w:pPr>
        <w:rPr>
          <w:color w:val="333333"/>
          <w:sz w:val="24"/>
          <w:szCs w:val="24"/>
          <w:lang w:eastAsia="en-GB"/>
        </w:rPr>
      </w:pPr>
      <w:r w:rsidRPr="00E7171B">
        <w:rPr>
          <w:color w:val="333333"/>
          <w:sz w:val="24"/>
          <w:szCs w:val="24"/>
          <w:lang w:eastAsia="en-GB"/>
        </w:rPr>
        <w:lastRenderedPageBreak/>
        <w:t>3. Vitamin D and calcium supplement in patients with known osteoporosis and/or previous fragility fracture(s) and/or (Bone Mineral Density T-scores more than -2.5 in multiple sites).</w:t>
      </w:r>
    </w:p>
    <w:p w:rsidR="008C6A0A" w:rsidRPr="00E7171B" w:rsidRDefault="008C6A0A" w:rsidP="000B499B">
      <w:pPr>
        <w:rPr>
          <w:color w:val="333333"/>
          <w:sz w:val="24"/>
          <w:szCs w:val="24"/>
          <w:lang w:eastAsia="en-GB"/>
        </w:rPr>
      </w:pPr>
      <w:r w:rsidRPr="00E7171B">
        <w:rPr>
          <w:color w:val="333333"/>
          <w:sz w:val="24"/>
          <w:szCs w:val="24"/>
          <w:lang w:eastAsia="en-GB"/>
        </w:rPr>
        <w:t>4. Bone anti-resorptive or anabolic therapy (e.g. bisphosphonate, strontium ranelate, teriparatide, denosumab) in patients with documented osteoporosis, where no pharmacological or clinical status contraindication exists (Bone Mineral Density T-scores -&gt; 2.5 in multiple sites) and/or previous history of fragility fracture(s).</w:t>
      </w:r>
    </w:p>
    <w:p w:rsidR="008C6A0A" w:rsidRPr="00E7171B" w:rsidRDefault="008C6A0A" w:rsidP="000B499B">
      <w:pPr>
        <w:rPr>
          <w:color w:val="333333"/>
          <w:sz w:val="24"/>
          <w:szCs w:val="24"/>
          <w:lang w:eastAsia="en-GB"/>
        </w:rPr>
      </w:pPr>
      <w:r w:rsidRPr="00E7171B">
        <w:rPr>
          <w:color w:val="333333"/>
          <w:sz w:val="24"/>
          <w:szCs w:val="24"/>
          <w:lang w:eastAsia="en-GB"/>
        </w:rPr>
        <w:t>5. Vitamin D supplement in older people who are housebound or experiencing falls or with osteopenia (Bone Mineral Density T-score is &gt; -1.0 but &lt; -2.5 in</w:t>
      </w:r>
      <w:r>
        <w:rPr>
          <w:color w:val="333333"/>
          <w:sz w:val="24"/>
          <w:szCs w:val="24"/>
          <w:lang w:eastAsia="en-GB"/>
        </w:rPr>
        <w:t xml:space="preserve"> multiple sites)</w:t>
      </w:r>
      <w:r w:rsidRPr="00E7171B">
        <w:rPr>
          <w:color w:val="333333"/>
          <w:sz w:val="24"/>
          <w:szCs w:val="24"/>
          <w:lang w:eastAsia="en-GB"/>
        </w:rPr>
        <w:t>.</w:t>
      </w:r>
    </w:p>
    <w:p w:rsidR="008C6A0A" w:rsidRPr="00E7171B" w:rsidRDefault="008C6A0A" w:rsidP="000B499B">
      <w:pPr>
        <w:rPr>
          <w:color w:val="333333"/>
          <w:sz w:val="24"/>
          <w:szCs w:val="24"/>
          <w:lang w:eastAsia="en-GB"/>
        </w:rPr>
      </w:pPr>
      <w:r w:rsidRPr="00E7171B">
        <w:rPr>
          <w:color w:val="333333"/>
          <w:sz w:val="24"/>
          <w:szCs w:val="24"/>
          <w:lang w:eastAsia="en-GB"/>
        </w:rPr>
        <w:t>6. Xanthine-oxidase inhibitors (e.g. allopurinol, febuxostat) with a history of recurrent episodes of gout.</w:t>
      </w:r>
    </w:p>
    <w:p w:rsidR="008C6A0A" w:rsidRPr="00E7171B" w:rsidRDefault="008C6A0A" w:rsidP="000B499B">
      <w:pPr>
        <w:rPr>
          <w:color w:val="333333"/>
          <w:sz w:val="24"/>
          <w:szCs w:val="24"/>
          <w:lang w:eastAsia="en-GB"/>
        </w:rPr>
      </w:pPr>
      <w:r w:rsidRPr="00E7171B">
        <w:rPr>
          <w:color w:val="333333"/>
          <w:sz w:val="24"/>
          <w:szCs w:val="24"/>
          <w:lang w:eastAsia="en-GB"/>
        </w:rPr>
        <w:t>7. Folic acid supplement in patients taking methotexate.</w:t>
      </w:r>
    </w:p>
    <w:p w:rsidR="008C6A0A" w:rsidRPr="00E7171B" w:rsidRDefault="008C6A0A" w:rsidP="000B499B">
      <w:pPr>
        <w:rPr>
          <w:color w:val="333333"/>
          <w:sz w:val="24"/>
          <w:szCs w:val="24"/>
          <w:lang w:eastAsia="en-GB"/>
        </w:rPr>
      </w:pPr>
    </w:p>
    <w:p w:rsidR="008C6A0A" w:rsidRPr="00E7171B" w:rsidRDefault="008C6A0A" w:rsidP="000B499B">
      <w:pPr>
        <w:rPr>
          <w:b/>
          <w:bCs/>
          <w:color w:val="333333"/>
          <w:sz w:val="24"/>
          <w:szCs w:val="24"/>
          <w:lang w:eastAsia="en-GB"/>
        </w:rPr>
      </w:pPr>
      <w:r w:rsidRPr="00E7171B">
        <w:rPr>
          <w:b/>
          <w:bCs/>
          <w:color w:val="333333"/>
          <w:sz w:val="24"/>
          <w:szCs w:val="24"/>
          <w:lang w:eastAsia="en-GB"/>
        </w:rPr>
        <w:t>Section F: Endocrine System</w:t>
      </w:r>
    </w:p>
    <w:p w:rsidR="008C6A0A" w:rsidRPr="00E7171B" w:rsidRDefault="008C6A0A" w:rsidP="000B499B">
      <w:pPr>
        <w:rPr>
          <w:color w:val="333333"/>
          <w:sz w:val="24"/>
          <w:szCs w:val="24"/>
          <w:lang w:eastAsia="en-GB"/>
        </w:rPr>
      </w:pPr>
      <w:r w:rsidRPr="00E7171B">
        <w:rPr>
          <w:color w:val="333333"/>
          <w:sz w:val="24"/>
          <w:szCs w:val="24"/>
          <w:lang w:eastAsia="en-GB"/>
        </w:rPr>
        <w:t>1. ACE inhibitor or Angiotensin Receptor Blocker (if intolerant of ACE inhibitor) in diabetes with evidence of renal disease i.e. dipstick proteinuria or microalbuminuria (&gt;30mg/24 hours) with or without serum biochemical renal impairment.</w:t>
      </w:r>
    </w:p>
    <w:p w:rsidR="008C6A0A" w:rsidRPr="00E7171B" w:rsidRDefault="008C6A0A" w:rsidP="000B499B">
      <w:pPr>
        <w:rPr>
          <w:color w:val="333333"/>
          <w:sz w:val="24"/>
          <w:szCs w:val="24"/>
          <w:lang w:eastAsia="en-GB"/>
        </w:rPr>
      </w:pPr>
    </w:p>
    <w:p w:rsidR="008C6A0A" w:rsidRPr="00E7171B" w:rsidRDefault="008C6A0A" w:rsidP="000B499B">
      <w:pPr>
        <w:rPr>
          <w:b/>
          <w:bCs/>
          <w:color w:val="333333"/>
          <w:sz w:val="24"/>
          <w:szCs w:val="24"/>
          <w:lang w:eastAsia="en-GB"/>
        </w:rPr>
      </w:pPr>
      <w:r w:rsidRPr="00E7171B">
        <w:rPr>
          <w:b/>
          <w:bCs/>
          <w:color w:val="333333"/>
          <w:sz w:val="24"/>
          <w:szCs w:val="24"/>
          <w:lang w:eastAsia="en-GB"/>
        </w:rPr>
        <w:t>Section G: Urogenital System</w:t>
      </w:r>
    </w:p>
    <w:p w:rsidR="008C6A0A" w:rsidRPr="00E7171B" w:rsidRDefault="008C6A0A" w:rsidP="000B499B">
      <w:pPr>
        <w:rPr>
          <w:color w:val="333333"/>
          <w:sz w:val="24"/>
          <w:szCs w:val="24"/>
          <w:lang w:eastAsia="en-GB"/>
        </w:rPr>
      </w:pPr>
      <w:r w:rsidRPr="00E7171B">
        <w:rPr>
          <w:color w:val="333333"/>
          <w:sz w:val="24"/>
          <w:szCs w:val="24"/>
          <w:lang w:eastAsia="en-GB"/>
        </w:rPr>
        <w:t>1. Alpha-1 receptor blocker with symptomatic prostatism, where prostatectomy is not considered necessary.</w:t>
      </w:r>
    </w:p>
    <w:p w:rsidR="008C6A0A" w:rsidRPr="00E7171B" w:rsidRDefault="008C6A0A" w:rsidP="000B499B">
      <w:pPr>
        <w:rPr>
          <w:color w:val="333333"/>
          <w:sz w:val="24"/>
          <w:szCs w:val="24"/>
          <w:lang w:eastAsia="en-GB"/>
        </w:rPr>
      </w:pPr>
      <w:r w:rsidRPr="00E7171B">
        <w:rPr>
          <w:color w:val="333333"/>
          <w:sz w:val="24"/>
          <w:szCs w:val="24"/>
          <w:lang w:eastAsia="en-GB"/>
        </w:rPr>
        <w:t>2. 5-alpha reductase inhibitor with symptomatic prostatism, where prostatectomy is not considered necessary.</w:t>
      </w:r>
    </w:p>
    <w:p w:rsidR="008C6A0A" w:rsidRPr="00E7171B" w:rsidRDefault="008C6A0A" w:rsidP="000B499B">
      <w:pPr>
        <w:rPr>
          <w:color w:val="333333"/>
          <w:sz w:val="24"/>
          <w:szCs w:val="24"/>
          <w:lang w:eastAsia="en-GB"/>
        </w:rPr>
      </w:pPr>
      <w:r w:rsidRPr="00E7171B">
        <w:rPr>
          <w:color w:val="333333"/>
          <w:sz w:val="24"/>
          <w:szCs w:val="24"/>
          <w:lang w:eastAsia="en-GB"/>
        </w:rPr>
        <w:t>3. Topical vaginal oestrogen or vaginal oestrogen pessary for symptomatic atrophic vaginitis.</w:t>
      </w:r>
    </w:p>
    <w:p w:rsidR="008C6A0A" w:rsidRPr="00E7171B" w:rsidRDefault="008C6A0A" w:rsidP="000B499B">
      <w:pPr>
        <w:rPr>
          <w:color w:val="333333"/>
          <w:sz w:val="24"/>
          <w:szCs w:val="24"/>
          <w:lang w:eastAsia="en-GB"/>
        </w:rPr>
      </w:pPr>
    </w:p>
    <w:p w:rsidR="008C6A0A" w:rsidRPr="00E7171B" w:rsidRDefault="008C6A0A" w:rsidP="000B499B">
      <w:pPr>
        <w:rPr>
          <w:b/>
          <w:bCs/>
          <w:color w:val="333333"/>
          <w:sz w:val="24"/>
          <w:szCs w:val="24"/>
          <w:lang w:eastAsia="en-GB"/>
        </w:rPr>
      </w:pPr>
      <w:r w:rsidRPr="00E7171B">
        <w:rPr>
          <w:b/>
          <w:bCs/>
          <w:color w:val="333333"/>
          <w:sz w:val="24"/>
          <w:szCs w:val="24"/>
          <w:lang w:eastAsia="en-GB"/>
        </w:rPr>
        <w:t>Section H: Analgesics</w:t>
      </w:r>
    </w:p>
    <w:p w:rsidR="008C6A0A" w:rsidRPr="00E7171B" w:rsidRDefault="008C6A0A" w:rsidP="000B499B">
      <w:pPr>
        <w:rPr>
          <w:color w:val="333333"/>
          <w:sz w:val="24"/>
          <w:szCs w:val="24"/>
          <w:lang w:eastAsia="en-GB"/>
        </w:rPr>
      </w:pPr>
      <w:r w:rsidRPr="00E7171B">
        <w:rPr>
          <w:color w:val="333333"/>
          <w:sz w:val="24"/>
          <w:szCs w:val="24"/>
          <w:lang w:eastAsia="en-GB"/>
        </w:rPr>
        <w:t>1. High-potency opioids in moderate-severe pain, where paracetamol, NSAIDs or low-potency opioids are not appropriate to the pain severity or have been ineffective.</w:t>
      </w:r>
    </w:p>
    <w:p w:rsidR="008C6A0A" w:rsidRPr="00E7171B" w:rsidRDefault="008C6A0A" w:rsidP="000B499B">
      <w:pPr>
        <w:rPr>
          <w:color w:val="333333"/>
          <w:sz w:val="24"/>
          <w:szCs w:val="24"/>
          <w:lang w:eastAsia="en-GB"/>
        </w:rPr>
      </w:pPr>
      <w:r w:rsidRPr="00E7171B">
        <w:rPr>
          <w:color w:val="333333"/>
          <w:sz w:val="24"/>
          <w:szCs w:val="24"/>
          <w:lang w:eastAsia="en-GB"/>
        </w:rPr>
        <w:t>2. Laxatives in patients receiving opioids regularly.</w:t>
      </w:r>
    </w:p>
    <w:p w:rsidR="008C6A0A" w:rsidRPr="00E7171B" w:rsidRDefault="008C6A0A" w:rsidP="000B499B">
      <w:pPr>
        <w:rPr>
          <w:color w:val="333333"/>
          <w:sz w:val="24"/>
          <w:szCs w:val="24"/>
          <w:lang w:eastAsia="en-GB"/>
        </w:rPr>
      </w:pPr>
    </w:p>
    <w:p w:rsidR="008C6A0A" w:rsidRPr="00E7171B" w:rsidRDefault="008C6A0A" w:rsidP="000B499B">
      <w:pPr>
        <w:rPr>
          <w:b/>
          <w:bCs/>
          <w:color w:val="333333"/>
          <w:sz w:val="24"/>
          <w:szCs w:val="24"/>
          <w:lang w:eastAsia="en-GB"/>
        </w:rPr>
      </w:pPr>
      <w:r w:rsidRPr="00E7171B">
        <w:rPr>
          <w:b/>
          <w:bCs/>
          <w:color w:val="333333"/>
          <w:sz w:val="24"/>
          <w:szCs w:val="24"/>
          <w:lang w:eastAsia="en-GB"/>
        </w:rPr>
        <w:t>Section I: Vaccines</w:t>
      </w:r>
    </w:p>
    <w:p w:rsidR="008C6A0A" w:rsidRPr="00E7171B" w:rsidRDefault="008C6A0A" w:rsidP="000B499B">
      <w:pPr>
        <w:rPr>
          <w:color w:val="333333"/>
          <w:sz w:val="24"/>
          <w:szCs w:val="24"/>
          <w:lang w:eastAsia="en-GB"/>
        </w:rPr>
      </w:pPr>
      <w:r w:rsidRPr="00E7171B">
        <w:rPr>
          <w:color w:val="333333"/>
          <w:sz w:val="24"/>
          <w:szCs w:val="24"/>
          <w:lang w:eastAsia="en-GB"/>
        </w:rPr>
        <w:lastRenderedPageBreak/>
        <w:t>1. Seasonal trivalent influenza vaccine annually</w:t>
      </w:r>
    </w:p>
    <w:p w:rsidR="008C6A0A" w:rsidRDefault="008C6A0A" w:rsidP="000B499B">
      <w:pPr>
        <w:rPr>
          <w:color w:val="333333"/>
          <w:sz w:val="24"/>
          <w:szCs w:val="24"/>
          <w:lang w:eastAsia="en-GB"/>
        </w:rPr>
      </w:pPr>
      <w:r w:rsidRPr="00E7171B">
        <w:rPr>
          <w:color w:val="333333"/>
          <w:sz w:val="24"/>
          <w:szCs w:val="24"/>
          <w:lang w:eastAsia="en-GB"/>
        </w:rPr>
        <w:t xml:space="preserve">2. Pneumococcal vaccine </w:t>
      </w:r>
      <w:r>
        <w:rPr>
          <w:color w:val="333333"/>
          <w:sz w:val="24"/>
          <w:szCs w:val="24"/>
          <w:lang w:eastAsia="en-GB"/>
        </w:rPr>
        <w:t>at least once after age 65 according to national guidelines</w:t>
      </w:r>
    </w:p>
    <w:p w:rsidR="008C6A0A" w:rsidRPr="00FD5B16" w:rsidRDefault="00CC5D4E" w:rsidP="00CC5D4E">
      <w:pPr>
        <w:rPr>
          <w:lang w:val="en-IE" w:eastAsia="en-GB"/>
        </w:rPr>
      </w:pPr>
      <w:r w:rsidRPr="00DB1E24">
        <w:rPr>
          <w:lang w:val="en-IE" w:eastAsia="en-GB"/>
        </w:rPr>
        <w:t xml:space="preserve"> </w:t>
      </w:r>
    </w:p>
    <w:sectPr w:rsidR="008C6A0A" w:rsidRPr="00FD5B16" w:rsidSect="000609EE">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A34" w:rsidRDefault="000D7A34">
      <w:r>
        <w:separator/>
      </w:r>
    </w:p>
  </w:endnote>
  <w:endnote w:type="continuationSeparator" w:id="0">
    <w:p w:rsidR="000D7A34" w:rsidRDefault="000D7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28F" w:rsidRDefault="00FE528F" w:rsidP="00E551C9">
    <w:pPr>
      <w:pStyle w:val="Footer"/>
      <w:framePr w:wrap="auto" w:vAnchor="text" w:hAnchor="margin" w:xAlign="right" w:y="1"/>
      <w:rPr>
        <w:rStyle w:val="PageNumber"/>
        <w:rFonts w:cs="Calibri"/>
      </w:rPr>
    </w:pPr>
    <w:r>
      <w:rPr>
        <w:rStyle w:val="PageNumber"/>
        <w:rFonts w:cs="Calibri"/>
      </w:rPr>
      <w:fldChar w:fldCharType="begin"/>
    </w:r>
    <w:r>
      <w:rPr>
        <w:rStyle w:val="PageNumber"/>
        <w:rFonts w:cs="Calibri"/>
      </w:rPr>
      <w:instrText xml:space="preserve">PAGE  </w:instrText>
    </w:r>
    <w:r>
      <w:rPr>
        <w:rStyle w:val="PageNumber"/>
        <w:rFonts w:cs="Calibri"/>
      </w:rPr>
      <w:fldChar w:fldCharType="separate"/>
    </w:r>
    <w:r w:rsidR="00693D25">
      <w:rPr>
        <w:rStyle w:val="PageNumber"/>
        <w:rFonts w:cs="Calibri"/>
        <w:noProof/>
      </w:rPr>
      <w:t>28</w:t>
    </w:r>
    <w:r>
      <w:rPr>
        <w:rStyle w:val="PageNumber"/>
        <w:rFonts w:cs="Calibri"/>
      </w:rPr>
      <w:fldChar w:fldCharType="end"/>
    </w:r>
  </w:p>
  <w:p w:rsidR="00FE528F" w:rsidRDefault="00FE528F" w:rsidP="003D516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A34" w:rsidRDefault="000D7A34">
      <w:r>
        <w:separator/>
      </w:r>
    </w:p>
  </w:footnote>
  <w:footnote w:type="continuationSeparator" w:id="0">
    <w:p w:rsidR="000D7A34" w:rsidRDefault="000D7A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3C89"/>
    <w:multiLevelType w:val="hybridMultilevel"/>
    <w:tmpl w:val="36908AC2"/>
    <w:lvl w:ilvl="0" w:tplc="95A8C0FE">
      <w:start w:val="1"/>
      <w:numFmt w:val="bullet"/>
      <w:lvlText w:val="•"/>
      <w:lvlJc w:val="left"/>
      <w:pPr>
        <w:tabs>
          <w:tab w:val="num" w:pos="720"/>
        </w:tabs>
        <w:ind w:left="720" w:hanging="360"/>
      </w:pPr>
      <w:rPr>
        <w:rFonts w:ascii="Arial" w:hAnsi="Arial" w:hint="default"/>
      </w:rPr>
    </w:lvl>
    <w:lvl w:ilvl="1" w:tplc="4802F824">
      <w:start w:val="1"/>
      <w:numFmt w:val="bullet"/>
      <w:lvlText w:val="•"/>
      <w:lvlJc w:val="left"/>
      <w:pPr>
        <w:tabs>
          <w:tab w:val="num" w:pos="1440"/>
        </w:tabs>
        <w:ind w:left="1440" w:hanging="360"/>
      </w:pPr>
      <w:rPr>
        <w:rFonts w:ascii="Arial" w:hAnsi="Arial" w:hint="default"/>
      </w:rPr>
    </w:lvl>
    <w:lvl w:ilvl="2" w:tplc="15E8ED40">
      <w:start w:val="1"/>
      <w:numFmt w:val="bullet"/>
      <w:lvlText w:val="•"/>
      <w:lvlJc w:val="left"/>
      <w:pPr>
        <w:tabs>
          <w:tab w:val="num" w:pos="2160"/>
        </w:tabs>
        <w:ind w:left="2160" w:hanging="360"/>
      </w:pPr>
      <w:rPr>
        <w:rFonts w:ascii="Arial" w:hAnsi="Arial" w:hint="default"/>
      </w:rPr>
    </w:lvl>
    <w:lvl w:ilvl="3" w:tplc="6286271C">
      <w:start w:val="1"/>
      <w:numFmt w:val="bullet"/>
      <w:lvlText w:val="•"/>
      <w:lvlJc w:val="left"/>
      <w:pPr>
        <w:tabs>
          <w:tab w:val="num" w:pos="2880"/>
        </w:tabs>
        <w:ind w:left="2880" w:hanging="360"/>
      </w:pPr>
      <w:rPr>
        <w:rFonts w:ascii="Arial" w:hAnsi="Arial" w:hint="default"/>
      </w:rPr>
    </w:lvl>
    <w:lvl w:ilvl="4" w:tplc="BBA2DF60">
      <w:start w:val="1"/>
      <w:numFmt w:val="bullet"/>
      <w:lvlText w:val="•"/>
      <w:lvlJc w:val="left"/>
      <w:pPr>
        <w:tabs>
          <w:tab w:val="num" w:pos="3600"/>
        </w:tabs>
        <w:ind w:left="3600" w:hanging="360"/>
      </w:pPr>
      <w:rPr>
        <w:rFonts w:ascii="Arial" w:hAnsi="Arial" w:hint="default"/>
      </w:rPr>
    </w:lvl>
    <w:lvl w:ilvl="5" w:tplc="1A86C926">
      <w:start w:val="1"/>
      <w:numFmt w:val="bullet"/>
      <w:lvlText w:val="•"/>
      <w:lvlJc w:val="left"/>
      <w:pPr>
        <w:tabs>
          <w:tab w:val="num" w:pos="4320"/>
        </w:tabs>
        <w:ind w:left="4320" w:hanging="360"/>
      </w:pPr>
      <w:rPr>
        <w:rFonts w:ascii="Arial" w:hAnsi="Arial" w:hint="default"/>
      </w:rPr>
    </w:lvl>
    <w:lvl w:ilvl="6" w:tplc="62DAB1AE">
      <w:start w:val="1"/>
      <w:numFmt w:val="bullet"/>
      <w:lvlText w:val="•"/>
      <w:lvlJc w:val="left"/>
      <w:pPr>
        <w:tabs>
          <w:tab w:val="num" w:pos="5040"/>
        </w:tabs>
        <w:ind w:left="5040" w:hanging="360"/>
      </w:pPr>
      <w:rPr>
        <w:rFonts w:ascii="Arial" w:hAnsi="Arial" w:hint="default"/>
      </w:rPr>
    </w:lvl>
    <w:lvl w:ilvl="7" w:tplc="15E68F0A">
      <w:start w:val="1"/>
      <w:numFmt w:val="bullet"/>
      <w:lvlText w:val="•"/>
      <w:lvlJc w:val="left"/>
      <w:pPr>
        <w:tabs>
          <w:tab w:val="num" w:pos="5760"/>
        </w:tabs>
        <w:ind w:left="5760" w:hanging="360"/>
      </w:pPr>
      <w:rPr>
        <w:rFonts w:ascii="Arial" w:hAnsi="Arial" w:hint="default"/>
      </w:rPr>
    </w:lvl>
    <w:lvl w:ilvl="8" w:tplc="0D3AE71C">
      <w:start w:val="1"/>
      <w:numFmt w:val="bullet"/>
      <w:lvlText w:val="•"/>
      <w:lvlJc w:val="left"/>
      <w:pPr>
        <w:tabs>
          <w:tab w:val="num" w:pos="6480"/>
        </w:tabs>
        <w:ind w:left="6480" w:hanging="360"/>
      </w:pPr>
      <w:rPr>
        <w:rFonts w:ascii="Arial" w:hAnsi="Arial" w:hint="default"/>
      </w:rPr>
    </w:lvl>
  </w:abstractNum>
  <w:abstractNum w:abstractNumId="1">
    <w:nsid w:val="094E390B"/>
    <w:multiLevelType w:val="hybridMultilevel"/>
    <w:tmpl w:val="1CB826E4"/>
    <w:lvl w:ilvl="0" w:tplc="1809000F">
      <w:start w:val="1"/>
      <w:numFmt w:val="decimal"/>
      <w:lvlText w:val="%1."/>
      <w:lvlJc w:val="left"/>
      <w:pPr>
        <w:ind w:left="360" w:hanging="360"/>
      </w:pPr>
      <w:rPr>
        <w:rFonts w:cs="Times New Roman" w:hint="default"/>
      </w:rPr>
    </w:lvl>
    <w:lvl w:ilvl="1" w:tplc="18090019">
      <w:start w:val="1"/>
      <w:numFmt w:val="lowerLetter"/>
      <w:lvlText w:val="%2."/>
      <w:lvlJc w:val="left"/>
      <w:pPr>
        <w:ind w:left="1080" w:hanging="360"/>
      </w:pPr>
      <w:rPr>
        <w:rFonts w:cs="Times New Roman"/>
      </w:rPr>
    </w:lvl>
    <w:lvl w:ilvl="2" w:tplc="1809001B">
      <w:start w:val="1"/>
      <w:numFmt w:val="lowerRoman"/>
      <w:lvlText w:val="%3."/>
      <w:lvlJc w:val="right"/>
      <w:pPr>
        <w:ind w:left="1800" w:hanging="180"/>
      </w:pPr>
      <w:rPr>
        <w:rFonts w:cs="Times New Roman"/>
      </w:rPr>
    </w:lvl>
    <w:lvl w:ilvl="3" w:tplc="1809000F">
      <w:start w:val="1"/>
      <w:numFmt w:val="decimal"/>
      <w:lvlText w:val="%4."/>
      <w:lvlJc w:val="left"/>
      <w:pPr>
        <w:ind w:left="2520" w:hanging="360"/>
      </w:pPr>
      <w:rPr>
        <w:rFonts w:cs="Times New Roman"/>
      </w:rPr>
    </w:lvl>
    <w:lvl w:ilvl="4" w:tplc="18090019">
      <w:start w:val="1"/>
      <w:numFmt w:val="lowerLetter"/>
      <w:lvlText w:val="%5."/>
      <w:lvlJc w:val="left"/>
      <w:pPr>
        <w:ind w:left="3240" w:hanging="360"/>
      </w:pPr>
      <w:rPr>
        <w:rFonts w:cs="Times New Roman"/>
      </w:rPr>
    </w:lvl>
    <w:lvl w:ilvl="5" w:tplc="1809001B">
      <w:start w:val="1"/>
      <w:numFmt w:val="lowerRoman"/>
      <w:lvlText w:val="%6."/>
      <w:lvlJc w:val="right"/>
      <w:pPr>
        <w:ind w:left="3960" w:hanging="180"/>
      </w:pPr>
      <w:rPr>
        <w:rFonts w:cs="Times New Roman"/>
      </w:rPr>
    </w:lvl>
    <w:lvl w:ilvl="6" w:tplc="1809000F">
      <w:start w:val="1"/>
      <w:numFmt w:val="decimal"/>
      <w:lvlText w:val="%7."/>
      <w:lvlJc w:val="left"/>
      <w:pPr>
        <w:ind w:left="4680" w:hanging="360"/>
      </w:pPr>
      <w:rPr>
        <w:rFonts w:cs="Times New Roman"/>
      </w:rPr>
    </w:lvl>
    <w:lvl w:ilvl="7" w:tplc="18090019">
      <w:start w:val="1"/>
      <w:numFmt w:val="lowerLetter"/>
      <w:lvlText w:val="%8."/>
      <w:lvlJc w:val="left"/>
      <w:pPr>
        <w:ind w:left="5400" w:hanging="360"/>
      </w:pPr>
      <w:rPr>
        <w:rFonts w:cs="Times New Roman"/>
      </w:rPr>
    </w:lvl>
    <w:lvl w:ilvl="8" w:tplc="1809001B">
      <w:start w:val="1"/>
      <w:numFmt w:val="lowerRoman"/>
      <w:lvlText w:val="%9."/>
      <w:lvlJc w:val="right"/>
      <w:pPr>
        <w:ind w:left="6120" w:hanging="180"/>
      </w:pPr>
      <w:rPr>
        <w:rFonts w:cs="Times New Roman"/>
      </w:rPr>
    </w:lvl>
  </w:abstractNum>
  <w:abstractNum w:abstractNumId="2">
    <w:nsid w:val="0B7B13A4"/>
    <w:multiLevelType w:val="hybridMultilevel"/>
    <w:tmpl w:val="46BC2C7A"/>
    <w:lvl w:ilvl="0" w:tplc="2CF28964">
      <w:start w:val="1"/>
      <w:numFmt w:val="lowerRoman"/>
      <w:lvlText w:val="(%1)"/>
      <w:lvlJc w:val="left"/>
      <w:pPr>
        <w:ind w:left="1080" w:hanging="720"/>
      </w:pPr>
      <w:rPr>
        <w:rFonts w:cs="Times New Roman" w:hint="default"/>
      </w:rPr>
    </w:lvl>
    <w:lvl w:ilvl="1" w:tplc="18090019">
      <w:start w:val="1"/>
      <w:numFmt w:val="lowerLetter"/>
      <w:lvlText w:val="%2."/>
      <w:lvlJc w:val="left"/>
      <w:pPr>
        <w:ind w:left="1440" w:hanging="360"/>
      </w:pPr>
      <w:rPr>
        <w:rFonts w:cs="Times New Roman"/>
      </w:rPr>
    </w:lvl>
    <w:lvl w:ilvl="2" w:tplc="1809001B">
      <w:start w:val="1"/>
      <w:numFmt w:val="lowerRoman"/>
      <w:lvlText w:val="%3."/>
      <w:lvlJc w:val="right"/>
      <w:pPr>
        <w:ind w:left="2160" w:hanging="180"/>
      </w:pPr>
      <w:rPr>
        <w:rFonts w:cs="Times New Roman"/>
      </w:rPr>
    </w:lvl>
    <w:lvl w:ilvl="3" w:tplc="1809000F">
      <w:start w:val="1"/>
      <w:numFmt w:val="decimal"/>
      <w:lvlText w:val="%4."/>
      <w:lvlJc w:val="left"/>
      <w:pPr>
        <w:ind w:left="2880" w:hanging="360"/>
      </w:pPr>
      <w:rPr>
        <w:rFonts w:cs="Times New Roman"/>
      </w:rPr>
    </w:lvl>
    <w:lvl w:ilvl="4" w:tplc="18090019">
      <w:start w:val="1"/>
      <w:numFmt w:val="lowerLetter"/>
      <w:lvlText w:val="%5."/>
      <w:lvlJc w:val="left"/>
      <w:pPr>
        <w:ind w:left="3600" w:hanging="360"/>
      </w:pPr>
      <w:rPr>
        <w:rFonts w:cs="Times New Roman"/>
      </w:rPr>
    </w:lvl>
    <w:lvl w:ilvl="5" w:tplc="1809001B">
      <w:start w:val="1"/>
      <w:numFmt w:val="lowerRoman"/>
      <w:lvlText w:val="%6."/>
      <w:lvlJc w:val="right"/>
      <w:pPr>
        <w:ind w:left="4320" w:hanging="180"/>
      </w:pPr>
      <w:rPr>
        <w:rFonts w:cs="Times New Roman"/>
      </w:rPr>
    </w:lvl>
    <w:lvl w:ilvl="6" w:tplc="1809000F">
      <w:start w:val="1"/>
      <w:numFmt w:val="decimal"/>
      <w:lvlText w:val="%7."/>
      <w:lvlJc w:val="left"/>
      <w:pPr>
        <w:ind w:left="5040" w:hanging="360"/>
      </w:pPr>
      <w:rPr>
        <w:rFonts w:cs="Times New Roman"/>
      </w:rPr>
    </w:lvl>
    <w:lvl w:ilvl="7" w:tplc="18090019">
      <w:start w:val="1"/>
      <w:numFmt w:val="lowerLetter"/>
      <w:lvlText w:val="%8."/>
      <w:lvlJc w:val="left"/>
      <w:pPr>
        <w:ind w:left="5760" w:hanging="360"/>
      </w:pPr>
      <w:rPr>
        <w:rFonts w:cs="Times New Roman"/>
      </w:rPr>
    </w:lvl>
    <w:lvl w:ilvl="8" w:tplc="1809001B">
      <w:start w:val="1"/>
      <w:numFmt w:val="lowerRoman"/>
      <w:lvlText w:val="%9."/>
      <w:lvlJc w:val="right"/>
      <w:pPr>
        <w:ind w:left="6480" w:hanging="180"/>
      </w:pPr>
      <w:rPr>
        <w:rFonts w:cs="Times New Roman"/>
      </w:rPr>
    </w:lvl>
  </w:abstractNum>
  <w:abstractNum w:abstractNumId="3">
    <w:nsid w:val="19C430F1"/>
    <w:multiLevelType w:val="hybridMultilevel"/>
    <w:tmpl w:val="96B40C76"/>
    <w:lvl w:ilvl="0" w:tplc="BD003502">
      <w:start w:val="13"/>
      <w:numFmt w:val="bullet"/>
      <w:lvlText w:val="-"/>
      <w:lvlJc w:val="left"/>
      <w:pPr>
        <w:ind w:left="1080" w:hanging="360"/>
      </w:pPr>
      <w:rPr>
        <w:rFonts w:ascii="Times New Roman" w:eastAsia="Times New Roman" w:hAnsi="Times New Roman" w:hint="default"/>
        <w:color w:val="auto"/>
      </w:rPr>
    </w:lvl>
    <w:lvl w:ilvl="1" w:tplc="18090003">
      <w:start w:val="1"/>
      <w:numFmt w:val="bullet"/>
      <w:lvlText w:val="o"/>
      <w:lvlJc w:val="left"/>
      <w:pPr>
        <w:ind w:left="1800" w:hanging="360"/>
      </w:pPr>
      <w:rPr>
        <w:rFonts w:ascii="Courier New" w:hAnsi="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hint="default"/>
      </w:rPr>
    </w:lvl>
    <w:lvl w:ilvl="8" w:tplc="18090005">
      <w:start w:val="1"/>
      <w:numFmt w:val="bullet"/>
      <w:lvlText w:val=""/>
      <w:lvlJc w:val="left"/>
      <w:pPr>
        <w:ind w:left="6840" w:hanging="360"/>
      </w:pPr>
      <w:rPr>
        <w:rFonts w:ascii="Wingdings" w:hAnsi="Wingdings" w:hint="default"/>
      </w:rPr>
    </w:lvl>
  </w:abstractNum>
  <w:abstractNum w:abstractNumId="4">
    <w:nsid w:val="2CFC7F92"/>
    <w:multiLevelType w:val="hybridMultilevel"/>
    <w:tmpl w:val="BB38E9A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hint="default"/>
      </w:rPr>
    </w:lvl>
    <w:lvl w:ilvl="8" w:tplc="18090005">
      <w:start w:val="1"/>
      <w:numFmt w:val="bullet"/>
      <w:lvlText w:val=""/>
      <w:lvlJc w:val="left"/>
      <w:pPr>
        <w:ind w:left="6480" w:hanging="360"/>
      </w:pPr>
      <w:rPr>
        <w:rFonts w:ascii="Wingdings" w:hAnsi="Wingdings" w:hint="default"/>
      </w:rPr>
    </w:lvl>
  </w:abstractNum>
  <w:abstractNum w:abstractNumId="5">
    <w:nsid w:val="3A311F72"/>
    <w:multiLevelType w:val="hybridMultilevel"/>
    <w:tmpl w:val="1578EEAC"/>
    <w:lvl w:ilvl="0" w:tplc="F73ED252">
      <w:start w:val="1"/>
      <w:numFmt w:val="bullet"/>
      <w:lvlText w:val="•"/>
      <w:lvlJc w:val="left"/>
      <w:pPr>
        <w:tabs>
          <w:tab w:val="num" w:pos="720"/>
        </w:tabs>
        <w:ind w:left="720" w:hanging="360"/>
      </w:pPr>
      <w:rPr>
        <w:rFonts w:ascii="Arial" w:hAnsi="Arial" w:hint="default"/>
      </w:rPr>
    </w:lvl>
    <w:lvl w:ilvl="1" w:tplc="1C2E834A">
      <w:start w:val="1"/>
      <w:numFmt w:val="bullet"/>
      <w:lvlText w:val="•"/>
      <w:lvlJc w:val="left"/>
      <w:pPr>
        <w:tabs>
          <w:tab w:val="num" w:pos="1440"/>
        </w:tabs>
        <w:ind w:left="1440" w:hanging="360"/>
      </w:pPr>
      <w:rPr>
        <w:rFonts w:ascii="Arial" w:hAnsi="Arial" w:hint="default"/>
      </w:rPr>
    </w:lvl>
    <w:lvl w:ilvl="2" w:tplc="1188ED6E">
      <w:start w:val="1"/>
      <w:numFmt w:val="bullet"/>
      <w:lvlText w:val="•"/>
      <w:lvlJc w:val="left"/>
      <w:pPr>
        <w:tabs>
          <w:tab w:val="num" w:pos="2160"/>
        </w:tabs>
        <w:ind w:left="2160" w:hanging="360"/>
      </w:pPr>
      <w:rPr>
        <w:rFonts w:ascii="Arial" w:hAnsi="Arial" w:hint="default"/>
      </w:rPr>
    </w:lvl>
    <w:lvl w:ilvl="3" w:tplc="227C4C1A">
      <w:start w:val="1"/>
      <w:numFmt w:val="bullet"/>
      <w:lvlText w:val="•"/>
      <w:lvlJc w:val="left"/>
      <w:pPr>
        <w:tabs>
          <w:tab w:val="num" w:pos="2880"/>
        </w:tabs>
        <w:ind w:left="2880" w:hanging="360"/>
      </w:pPr>
      <w:rPr>
        <w:rFonts w:ascii="Arial" w:hAnsi="Arial" w:hint="default"/>
      </w:rPr>
    </w:lvl>
    <w:lvl w:ilvl="4" w:tplc="E5847D00">
      <w:start w:val="1"/>
      <w:numFmt w:val="bullet"/>
      <w:lvlText w:val="•"/>
      <w:lvlJc w:val="left"/>
      <w:pPr>
        <w:tabs>
          <w:tab w:val="num" w:pos="3600"/>
        </w:tabs>
        <w:ind w:left="3600" w:hanging="360"/>
      </w:pPr>
      <w:rPr>
        <w:rFonts w:ascii="Arial" w:hAnsi="Arial" w:hint="default"/>
      </w:rPr>
    </w:lvl>
    <w:lvl w:ilvl="5" w:tplc="EA1E3724">
      <w:start w:val="1"/>
      <w:numFmt w:val="bullet"/>
      <w:lvlText w:val="•"/>
      <w:lvlJc w:val="left"/>
      <w:pPr>
        <w:tabs>
          <w:tab w:val="num" w:pos="4320"/>
        </w:tabs>
        <w:ind w:left="4320" w:hanging="360"/>
      </w:pPr>
      <w:rPr>
        <w:rFonts w:ascii="Arial" w:hAnsi="Arial" w:hint="default"/>
      </w:rPr>
    </w:lvl>
    <w:lvl w:ilvl="6" w:tplc="A74CBDC6">
      <w:start w:val="1"/>
      <w:numFmt w:val="bullet"/>
      <w:lvlText w:val="•"/>
      <w:lvlJc w:val="left"/>
      <w:pPr>
        <w:tabs>
          <w:tab w:val="num" w:pos="5040"/>
        </w:tabs>
        <w:ind w:left="5040" w:hanging="360"/>
      </w:pPr>
      <w:rPr>
        <w:rFonts w:ascii="Arial" w:hAnsi="Arial" w:hint="default"/>
      </w:rPr>
    </w:lvl>
    <w:lvl w:ilvl="7" w:tplc="E9ACF4D8">
      <w:start w:val="1"/>
      <w:numFmt w:val="bullet"/>
      <w:lvlText w:val="•"/>
      <w:lvlJc w:val="left"/>
      <w:pPr>
        <w:tabs>
          <w:tab w:val="num" w:pos="5760"/>
        </w:tabs>
        <w:ind w:left="5760" w:hanging="360"/>
      </w:pPr>
      <w:rPr>
        <w:rFonts w:ascii="Arial" w:hAnsi="Arial" w:hint="default"/>
      </w:rPr>
    </w:lvl>
    <w:lvl w:ilvl="8" w:tplc="C152E806">
      <w:start w:val="1"/>
      <w:numFmt w:val="bullet"/>
      <w:lvlText w:val="•"/>
      <w:lvlJc w:val="left"/>
      <w:pPr>
        <w:tabs>
          <w:tab w:val="num" w:pos="6480"/>
        </w:tabs>
        <w:ind w:left="6480" w:hanging="360"/>
      </w:pPr>
      <w:rPr>
        <w:rFonts w:ascii="Arial" w:hAnsi="Arial" w:hint="default"/>
      </w:rPr>
    </w:lvl>
  </w:abstractNum>
  <w:abstractNum w:abstractNumId="6">
    <w:nsid w:val="3E766909"/>
    <w:multiLevelType w:val="hybridMultilevel"/>
    <w:tmpl w:val="A86248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hint="default"/>
      </w:rPr>
    </w:lvl>
    <w:lvl w:ilvl="8" w:tplc="18090005">
      <w:start w:val="1"/>
      <w:numFmt w:val="bullet"/>
      <w:lvlText w:val=""/>
      <w:lvlJc w:val="left"/>
      <w:pPr>
        <w:ind w:left="6480" w:hanging="360"/>
      </w:pPr>
      <w:rPr>
        <w:rFonts w:ascii="Wingdings" w:hAnsi="Wingdings" w:hint="default"/>
      </w:rPr>
    </w:lvl>
  </w:abstractNum>
  <w:abstractNum w:abstractNumId="7">
    <w:nsid w:val="449E28F3"/>
    <w:multiLevelType w:val="hybridMultilevel"/>
    <w:tmpl w:val="74DE0216"/>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hint="default"/>
      </w:rPr>
    </w:lvl>
    <w:lvl w:ilvl="8" w:tplc="18090005">
      <w:start w:val="1"/>
      <w:numFmt w:val="bullet"/>
      <w:lvlText w:val=""/>
      <w:lvlJc w:val="left"/>
      <w:pPr>
        <w:ind w:left="6120" w:hanging="360"/>
      </w:pPr>
      <w:rPr>
        <w:rFonts w:ascii="Wingdings" w:hAnsi="Wingdings" w:hint="default"/>
      </w:rPr>
    </w:lvl>
  </w:abstractNum>
  <w:abstractNum w:abstractNumId="8">
    <w:nsid w:val="5B330B41"/>
    <w:multiLevelType w:val="hybridMultilevel"/>
    <w:tmpl w:val="BC9413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hint="default"/>
      </w:rPr>
    </w:lvl>
    <w:lvl w:ilvl="8" w:tplc="18090005">
      <w:start w:val="1"/>
      <w:numFmt w:val="bullet"/>
      <w:lvlText w:val=""/>
      <w:lvlJc w:val="left"/>
      <w:pPr>
        <w:ind w:left="6480" w:hanging="360"/>
      </w:pPr>
      <w:rPr>
        <w:rFonts w:ascii="Wingdings" w:hAnsi="Wingdings" w:hint="default"/>
      </w:rPr>
    </w:lvl>
  </w:abstractNum>
  <w:abstractNum w:abstractNumId="9">
    <w:nsid w:val="61A94EDB"/>
    <w:multiLevelType w:val="hybridMultilevel"/>
    <w:tmpl w:val="C2BA12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2D54A6A"/>
    <w:multiLevelType w:val="hybridMultilevel"/>
    <w:tmpl w:val="D6AC2D42"/>
    <w:lvl w:ilvl="0" w:tplc="1809000F">
      <w:start w:val="1"/>
      <w:numFmt w:val="decimal"/>
      <w:lvlText w:val="%1."/>
      <w:lvlJc w:val="left"/>
      <w:pPr>
        <w:ind w:left="720" w:hanging="360"/>
      </w:pPr>
      <w:rPr>
        <w:rFonts w:cs="Times New Roman" w:hint="default"/>
      </w:rPr>
    </w:lvl>
    <w:lvl w:ilvl="1" w:tplc="18090019">
      <w:start w:val="1"/>
      <w:numFmt w:val="lowerLetter"/>
      <w:lvlText w:val="%2."/>
      <w:lvlJc w:val="left"/>
      <w:pPr>
        <w:ind w:left="1440" w:hanging="360"/>
      </w:pPr>
      <w:rPr>
        <w:rFonts w:cs="Times New Roman"/>
      </w:rPr>
    </w:lvl>
    <w:lvl w:ilvl="2" w:tplc="1809001B">
      <w:start w:val="1"/>
      <w:numFmt w:val="lowerRoman"/>
      <w:lvlText w:val="%3."/>
      <w:lvlJc w:val="right"/>
      <w:pPr>
        <w:ind w:left="2160" w:hanging="180"/>
      </w:pPr>
      <w:rPr>
        <w:rFonts w:cs="Times New Roman"/>
      </w:rPr>
    </w:lvl>
    <w:lvl w:ilvl="3" w:tplc="1809000F">
      <w:start w:val="1"/>
      <w:numFmt w:val="decimal"/>
      <w:lvlText w:val="%4."/>
      <w:lvlJc w:val="left"/>
      <w:pPr>
        <w:ind w:left="2880" w:hanging="360"/>
      </w:pPr>
      <w:rPr>
        <w:rFonts w:cs="Times New Roman"/>
      </w:rPr>
    </w:lvl>
    <w:lvl w:ilvl="4" w:tplc="18090019">
      <w:start w:val="1"/>
      <w:numFmt w:val="lowerLetter"/>
      <w:lvlText w:val="%5."/>
      <w:lvlJc w:val="left"/>
      <w:pPr>
        <w:ind w:left="3600" w:hanging="360"/>
      </w:pPr>
      <w:rPr>
        <w:rFonts w:cs="Times New Roman"/>
      </w:rPr>
    </w:lvl>
    <w:lvl w:ilvl="5" w:tplc="1809001B">
      <w:start w:val="1"/>
      <w:numFmt w:val="lowerRoman"/>
      <w:lvlText w:val="%6."/>
      <w:lvlJc w:val="right"/>
      <w:pPr>
        <w:ind w:left="4320" w:hanging="180"/>
      </w:pPr>
      <w:rPr>
        <w:rFonts w:cs="Times New Roman"/>
      </w:rPr>
    </w:lvl>
    <w:lvl w:ilvl="6" w:tplc="1809000F">
      <w:start w:val="1"/>
      <w:numFmt w:val="decimal"/>
      <w:lvlText w:val="%7."/>
      <w:lvlJc w:val="left"/>
      <w:pPr>
        <w:ind w:left="5040" w:hanging="360"/>
      </w:pPr>
      <w:rPr>
        <w:rFonts w:cs="Times New Roman"/>
      </w:rPr>
    </w:lvl>
    <w:lvl w:ilvl="7" w:tplc="18090019">
      <w:start w:val="1"/>
      <w:numFmt w:val="lowerLetter"/>
      <w:lvlText w:val="%8."/>
      <w:lvlJc w:val="left"/>
      <w:pPr>
        <w:ind w:left="5760" w:hanging="360"/>
      </w:pPr>
      <w:rPr>
        <w:rFonts w:cs="Times New Roman"/>
      </w:rPr>
    </w:lvl>
    <w:lvl w:ilvl="8" w:tplc="1809001B">
      <w:start w:val="1"/>
      <w:numFmt w:val="lowerRoman"/>
      <w:lvlText w:val="%9."/>
      <w:lvlJc w:val="right"/>
      <w:pPr>
        <w:ind w:left="6480" w:hanging="180"/>
      </w:pPr>
      <w:rPr>
        <w:rFonts w:cs="Times New Roman"/>
      </w:rPr>
    </w:lvl>
  </w:abstractNum>
  <w:abstractNum w:abstractNumId="11">
    <w:nsid w:val="65C2064B"/>
    <w:multiLevelType w:val="hybridMultilevel"/>
    <w:tmpl w:val="1B64331C"/>
    <w:lvl w:ilvl="0" w:tplc="42843C06">
      <w:start w:val="1"/>
      <w:numFmt w:val="bullet"/>
      <w:lvlText w:val="•"/>
      <w:lvlJc w:val="left"/>
      <w:pPr>
        <w:tabs>
          <w:tab w:val="num" w:pos="720"/>
        </w:tabs>
        <w:ind w:left="720" w:hanging="360"/>
      </w:pPr>
      <w:rPr>
        <w:rFonts w:ascii="Arial" w:hAnsi="Arial" w:hint="default"/>
      </w:rPr>
    </w:lvl>
    <w:lvl w:ilvl="1" w:tplc="335EE788">
      <w:start w:val="1"/>
      <w:numFmt w:val="bullet"/>
      <w:lvlText w:val="•"/>
      <w:lvlJc w:val="left"/>
      <w:pPr>
        <w:tabs>
          <w:tab w:val="num" w:pos="1440"/>
        </w:tabs>
        <w:ind w:left="1440" w:hanging="360"/>
      </w:pPr>
      <w:rPr>
        <w:rFonts w:ascii="Arial" w:hAnsi="Arial" w:hint="default"/>
      </w:rPr>
    </w:lvl>
    <w:lvl w:ilvl="2" w:tplc="080AAB2A">
      <w:start w:val="1"/>
      <w:numFmt w:val="bullet"/>
      <w:lvlText w:val="•"/>
      <w:lvlJc w:val="left"/>
      <w:pPr>
        <w:tabs>
          <w:tab w:val="num" w:pos="2160"/>
        </w:tabs>
        <w:ind w:left="2160" w:hanging="360"/>
      </w:pPr>
      <w:rPr>
        <w:rFonts w:ascii="Arial" w:hAnsi="Arial" w:hint="default"/>
      </w:rPr>
    </w:lvl>
    <w:lvl w:ilvl="3" w:tplc="116C98BC">
      <w:start w:val="1"/>
      <w:numFmt w:val="bullet"/>
      <w:lvlText w:val="•"/>
      <w:lvlJc w:val="left"/>
      <w:pPr>
        <w:tabs>
          <w:tab w:val="num" w:pos="2880"/>
        </w:tabs>
        <w:ind w:left="2880" w:hanging="360"/>
      </w:pPr>
      <w:rPr>
        <w:rFonts w:ascii="Arial" w:hAnsi="Arial" w:hint="default"/>
      </w:rPr>
    </w:lvl>
    <w:lvl w:ilvl="4" w:tplc="0CAEB4CC">
      <w:start w:val="1"/>
      <w:numFmt w:val="bullet"/>
      <w:lvlText w:val="•"/>
      <w:lvlJc w:val="left"/>
      <w:pPr>
        <w:tabs>
          <w:tab w:val="num" w:pos="3600"/>
        </w:tabs>
        <w:ind w:left="3600" w:hanging="360"/>
      </w:pPr>
      <w:rPr>
        <w:rFonts w:ascii="Arial" w:hAnsi="Arial" w:hint="default"/>
      </w:rPr>
    </w:lvl>
    <w:lvl w:ilvl="5" w:tplc="680C0B36">
      <w:start w:val="1"/>
      <w:numFmt w:val="bullet"/>
      <w:lvlText w:val="•"/>
      <w:lvlJc w:val="left"/>
      <w:pPr>
        <w:tabs>
          <w:tab w:val="num" w:pos="4320"/>
        </w:tabs>
        <w:ind w:left="4320" w:hanging="360"/>
      </w:pPr>
      <w:rPr>
        <w:rFonts w:ascii="Arial" w:hAnsi="Arial" w:hint="default"/>
      </w:rPr>
    </w:lvl>
    <w:lvl w:ilvl="6" w:tplc="907697E8">
      <w:start w:val="1"/>
      <w:numFmt w:val="bullet"/>
      <w:lvlText w:val="•"/>
      <w:lvlJc w:val="left"/>
      <w:pPr>
        <w:tabs>
          <w:tab w:val="num" w:pos="5040"/>
        </w:tabs>
        <w:ind w:left="5040" w:hanging="360"/>
      </w:pPr>
      <w:rPr>
        <w:rFonts w:ascii="Arial" w:hAnsi="Arial" w:hint="default"/>
      </w:rPr>
    </w:lvl>
    <w:lvl w:ilvl="7" w:tplc="2E20E6A8">
      <w:start w:val="1"/>
      <w:numFmt w:val="bullet"/>
      <w:lvlText w:val="•"/>
      <w:lvlJc w:val="left"/>
      <w:pPr>
        <w:tabs>
          <w:tab w:val="num" w:pos="5760"/>
        </w:tabs>
        <w:ind w:left="5760" w:hanging="360"/>
      </w:pPr>
      <w:rPr>
        <w:rFonts w:ascii="Arial" w:hAnsi="Arial" w:hint="default"/>
      </w:rPr>
    </w:lvl>
    <w:lvl w:ilvl="8" w:tplc="6BFAB5C4">
      <w:start w:val="1"/>
      <w:numFmt w:val="bullet"/>
      <w:lvlText w:val="•"/>
      <w:lvlJc w:val="left"/>
      <w:pPr>
        <w:tabs>
          <w:tab w:val="num" w:pos="6480"/>
        </w:tabs>
        <w:ind w:left="6480" w:hanging="360"/>
      </w:pPr>
      <w:rPr>
        <w:rFonts w:ascii="Arial" w:hAnsi="Arial" w:hint="default"/>
      </w:rPr>
    </w:lvl>
  </w:abstractNum>
  <w:abstractNum w:abstractNumId="12">
    <w:nsid w:val="65DA1A67"/>
    <w:multiLevelType w:val="hybridMultilevel"/>
    <w:tmpl w:val="1F64A870"/>
    <w:lvl w:ilvl="0" w:tplc="18090001">
      <w:start w:val="1"/>
      <w:numFmt w:val="bullet"/>
      <w:lvlText w:val=""/>
      <w:lvlJc w:val="left"/>
      <w:pPr>
        <w:ind w:left="3600" w:hanging="360"/>
      </w:pPr>
      <w:rPr>
        <w:rFonts w:ascii="Symbol" w:hAnsi="Symbol" w:hint="default"/>
      </w:rPr>
    </w:lvl>
    <w:lvl w:ilvl="1" w:tplc="18090003">
      <w:start w:val="1"/>
      <w:numFmt w:val="bullet"/>
      <w:lvlText w:val="o"/>
      <w:lvlJc w:val="left"/>
      <w:pPr>
        <w:ind w:left="4320" w:hanging="360"/>
      </w:pPr>
      <w:rPr>
        <w:rFonts w:ascii="Courier New" w:hAnsi="Courier New" w:hint="default"/>
      </w:rPr>
    </w:lvl>
    <w:lvl w:ilvl="2" w:tplc="18090005">
      <w:start w:val="1"/>
      <w:numFmt w:val="bullet"/>
      <w:lvlText w:val=""/>
      <w:lvlJc w:val="left"/>
      <w:pPr>
        <w:ind w:left="5040" w:hanging="360"/>
      </w:pPr>
      <w:rPr>
        <w:rFonts w:ascii="Wingdings" w:hAnsi="Wingdings" w:hint="default"/>
      </w:rPr>
    </w:lvl>
    <w:lvl w:ilvl="3" w:tplc="18090001">
      <w:start w:val="1"/>
      <w:numFmt w:val="bullet"/>
      <w:lvlText w:val=""/>
      <w:lvlJc w:val="left"/>
      <w:pPr>
        <w:ind w:left="5760" w:hanging="360"/>
      </w:pPr>
      <w:rPr>
        <w:rFonts w:ascii="Symbol" w:hAnsi="Symbol" w:hint="default"/>
      </w:rPr>
    </w:lvl>
    <w:lvl w:ilvl="4" w:tplc="18090003">
      <w:start w:val="1"/>
      <w:numFmt w:val="bullet"/>
      <w:lvlText w:val="o"/>
      <w:lvlJc w:val="left"/>
      <w:pPr>
        <w:ind w:left="6480" w:hanging="360"/>
      </w:pPr>
      <w:rPr>
        <w:rFonts w:ascii="Courier New" w:hAnsi="Courier New" w:hint="default"/>
      </w:rPr>
    </w:lvl>
    <w:lvl w:ilvl="5" w:tplc="18090005">
      <w:start w:val="1"/>
      <w:numFmt w:val="bullet"/>
      <w:lvlText w:val=""/>
      <w:lvlJc w:val="left"/>
      <w:pPr>
        <w:ind w:left="7200" w:hanging="360"/>
      </w:pPr>
      <w:rPr>
        <w:rFonts w:ascii="Wingdings" w:hAnsi="Wingdings" w:hint="default"/>
      </w:rPr>
    </w:lvl>
    <w:lvl w:ilvl="6" w:tplc="18090001">
      <w:start w:val="1"/>
      <w:numFmt w:val="bullet"/>
      <w:lvlText w:val=""/>
      <w:lvlJc w:val="left"/>
      <w:pPr>
        <w:ind w:left="7920" w:hanging="360"/>
      </w:pPr>
      <w:rPr>
        <w:rFonts w:ascii="Symbol" w:hAnsi="Symbol" w:hint="default"/>
      </w:rPr>
    </w:lvl>
    <w:lvl w:ilvl="7" w:tplc="18090003">
      <w:start w:val="1"/>
      <w:numFmt w:val="bullet"/>
      <w:lvlText w:val="o"/>
      <w:lvlJc w:val="left"/>
      <w:pPr>
        <w:ind w:left="8640" w:hanging="360"/>
      </w:pPr>
      <w:rPr>
        <w:rFonts w:ascii="Courier New" w:hAnsi="Courier New" w:hint="default"/>
      </w:rPr>
    </w:lvl>
    <w:lvl w:ilvl="8" w:tplc="18090005">
      <w:start w:val="1"/>
      <w:numFmt w:val="bullet"/>
      <w:lvlText w:val=""/>
      <w:lvlJc w:val="left"/>
      <w:pPr>
        <w:ind w:left="9360" w:hanging="360"/>
      </w:pPr>
      <w:rPr>
        <w:rFonts w:ascii="Wingdings" w:hAnsi="Wingdings" w:hint="default"/>
      </w:rPr>
    </w:lvl>
  </w:abstractNum>
  <w:abstractNum w:abstractNumId="13">
    <w:nsid w:val="6C764598"/>
    <w:multiLevelType w:val="hybridMultilevel"/>
    <w:tmpl w:val="6D7EDA3A"/>
    <w:lvl w:ilvl="0" w:tplc="4DC02C2E">
      <w:start w:val="1"/>
      <w:numFmt w:val="lowerRoman"/>
      <w:lvlText w:val="(%1)"/>
      <w:lvlJc w:val="left"/>
      <w:pPr>
        <w:ind w:left="1080" w:hanging="72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4">
    <w:nsid w:val="7A9740C2"/>
    <w:multiLevelType w:val="hybridMultilevel"/>
    <w:tmpl w:val="1D2C7CF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hint="default"/>
      </w:rPr>
    </w:lvl>
    <w:lvl w:ilvl="8" w:tplc="18090005">
      <w:start w:val="1"/>
      <w:numFmt w:val="bullet"/>
      <w:lvlText w:val=""/>
      <w:lvlJc w:val="left"/>
      <w:pPr>
        <w:ind w:left="6120" w:hanging="360"/>
      </w:pPr>
      <w:rPr>
        <w:rFonts w:ascii="Wingdings" w:hAnsi="Wingdings" w:hint="default"/>
      </w:rPr>
    </w:lvl>
  </w:abstractNum>
  <w:num w:numId="1">
    <w:abstractNumId w:val="13"/>
  </w:num>
  <w:num w:numId="2">
    <w:abstractNumId w:val="5"/>
  </w:num>
  <w:num w:numId="3">
    <w:abstractNumId w:val="11"/>
  </w:num>
  <w:num w:numId="4">
    <w:abstractNumId w:val="0"/>
  </w:num>
  <w:num w:numId="5">
    <w:abstractNumId w:val="8"/>
  </w:num>
  <w:num w:numId="6">
    <w:abstractNumId w:val="2"/>
  </w:num>
  <w:num w:numId="7">
    <w:abstractNumId w:val="10"/>
  </w:num>
  <w:num w:numId="8">
    <w:abstractNumId w:val="4"/>
  </w:num>
  <w:num w:numId="9">
    <w:abstractNumId w:val="6"/>
  </w:num>
  <w:num w:numId="10">
    <w:abstractNumId w:val="7"/>
  </w:num>
  <w:num w:numId="11">
    <w:abstractNumId w:val="12"/>
  </w:num>
  <w:num w:numId="12">
    <w:abstractNumId w:val="14"/>
  </w:num>
  <w:num w:numId="13">
    <w:abstractNumId w:val="1"/>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ABD"/>
    <w:rsid w:val="000040C1"/>
    <w:rsid w:val="00004C47"/>
    <w:rsid w:val="00007CCB"/>
    <w:rsid w:val="00012E77"/>
    <w:rsid w:val="00017325"/>
    <w:rsid w:val="000200E1"/>
    <w:rsid w:val="0002191C"/>
    <w:rsid w:val="00021AF1"/>
    <w:rsid w:val="00023D6D"/>
    <w:rsid w:val="00023E2D"/>
    <w:rsid w:val="00024C94"/>
    <w:rsid w:val="000274C8"/>
    <w:rsid w:val="0002790F"/>
    <w:rsid w:val="00043AFF"/>
    <w:rsid w:val="00045EE6"/>
    <w:rsid w:val="00046D77"/>
    <w:rsid w:val="00047BF5"/>
    <w:rsid w:val="00057506"/>
    <w:rsid w:val="000609EE"/>
    <w:rsid w:val="0006182C"/>
    <w:rsid w:val="00061ED4"/>
    <w:rsid w:val="00062D70"/>
    <w:rsid w:val="00064A48"/>
    <w:rsid w:val="00071E21"/>
    <w:rsid w:val="0007505B"/>
    <w:rsid w:val="000802C2"/>
    <w:rsid w:val="0008091C"/>
    <w:rsid w:val="000877BA"/>
    <w:rsid w:val="0009008A"/>
    <w:rsid w:val="0009152B"/>
    <w:rsid w:val="00095BBA"/>
    <w:rsid w:val="00095E34"/>
    <w:rsid w:val="0009627B"/>
    <w:rsid w:val="000968E2"/>
    <w:rsid w:val="000A0D11"/>
    <w:rsid w:val="000A2C42"/>
    <w:rsid w:val="000A3477"/>
    <w:rsid w:val="000A4031"/>
    <w:rsid w:val="000A796B"/>
    <w:rsid w:val="000A7B9C"/>
    <w:rsid w:val="000B289B"/>
    <w:rsid w:val="000B2B5D"/>
    <w:rsid w:val="000B3331"/>
    <w:rsid w:val="000B499B"/>
    <w:rsid w:val="000B66CC"/>
    <w:rsid w:val="000B76BD"/>
    <w:rsid w:val="000C72EE"/>
    <w:rsid w:val="000D499D"/>
    <w:rsid w:val="000D6147"/>
    <w:rsid w:val="000D6213"/>
    <w:rsid w:val="000D7A34"/>
    <w:rsid w:val="000E2922"/>
    <w:rsid w:val="000E3AF0"/>
    <w:rsid w:val="000E4B6B"/>
    <w:rsid w:val="000E60E9"/>
    <w:rsid w:val="000F0340"/>
    <w:rsid w:val="000F3916"/>
    <w:rsid w:val="000F7718"/>
    <w:rsid w:val="001251E7"/>
    <w:rsid w:val="00127C71"/>
    <w:rsid w:val="0014331D"/>
    <w:rsid w:val="00154DCE"/>
    <w:rsid w:val="00156069"/>
    <w:rsid w:val="00156993"/>
    <w:rsid w:val="00161679"/>
    <w:rsid w:val="0016784A"/>
    <w:rsid w:val="00167C60"/>
    <w:rsid w:val="00170FB8"/>
    <w:rsid w:val="00171658"/>
    <w:rsid w:val="0017677A"/>
    <w:rsid w:val="00176C65"/>
    <w:rsid w:val="00180F2A"/>
    <w:rsid w:val="00185125"/>
    <w:rsid w:val="0018723F"/>
    <w:rsid w:val="0019069D"/>
    <w:rsid w:val="001952E9"/>
    <w:rsid w:val="001A00C3"/>
    <w:rsid w:val="001A4B3E"/>
    <w:rsid w:val="001A6668"/>
    <w:rsid w:val="001A72C6"/>
    <w:rsid w:val="001B18EB"/>
    <w:rsid w:val="001B2407"/>
    <w:rsid w:val="001B33C0"/>
    <w:rsid w:val="001B4715"/>
    <w:rsid w:val="001B7855"/>
    <w:rsid w:val="001C15BB"/>
    <w:rsid w:val="001C2010"/>
    <w:rsid w:val="001C67D0"/>
    <w:rsid w:val="001D013C"/>
    <w:rsid w:val="001D2036"/>
    <w:rsid w:val="001D4AE3"/>
    <w:rsid w:val="001D5BF6"/>
    <w:rsid w:val="001D6418"/>
    <w:rsid w:val="001E1753"/>
    <w:rsid w:val="001E551F"/>
    <w:rsid w:val="001E570F"/>
    <w:rsid w:val="001E7B1E"/>
    <w:rsid w:val="001F36B7"/>
    <w:rsid w:val="001F4B34"/>
    <w:rsid w:val="002017E7"/>
    <w:rsid w:val="00206E74"/>
    <w:rsid w:val="0021043B"/>
    <w:rsid w:val="0021138D"/>
    <w:rsid w:val="00213746"/>
    <w:rsid w:val="0021376A"/>
    <w:rsid w:val="00213A9D"/>
    <w:rsid w:val="0021531B"/>
    <w:rsid w:val="00215F46"/>
    <w:rsid w:val="0021651F"/>
    <w:rsid w:val="0022754E"/>
    <w:rsid w:val="00231041"/>
    <w:rsid w:val="0023173D"/>
    <w:rsid w:val="00245311"/>
    <w:rsid w:val="002454BC"/>
    <w:rsid w:val="00246CC3"/>
    <w:rsid w:val="00247C46"/>
    <w:rsid w:val="002506F2"/>
    <w:rsid w:val="002643EC"/>
    <w:rsid w:val="00264859"/>
    <w:rsid w:val="00271F45"/>
    <w:rsid w:val="0028296B"/>
    <w:rsid w:val="002868B4"/>
    <w:rsid w:val="002A1CC3"/>
    <w:rsid w:val="002A7305"/>
    <w:rsid w:val="002B0403"/>
    <w:rsid w:val="002B27AF"/>
    <w:rsid w:val="002B3825"/>
    <w:rsid w:val="002C0E2A"/>
    <w:rsid w:val="002C2420"/>
    <w:rsid w:val="002C2476"/>
    <w:rsid w:val="002C3876"/>
    <w:rsid w:val="002C3AFF"/>
    <w:rsid w:val="002C6B08"/>
    <w:rsid w:val="002D1691"/>
    <w:rsid w:val="002D19A6"/>
    <w:rsid w:val="002D54F4"/>
    <w:rsid w:val="002D660F"/>
    <w:rsid w:val="002D76DC"/>
    <w:rsid w:val="002E177B"/>
    <w:rsid w:val="002E791C"/>
    <w:rsid w:val="002E7D7D"/>
    <w:rsid w:val="002F4415"/>
    <w:rsid w:val="002F75C2"/>
    <w:rsid w:val="00300729"/>
    <w:rsid w:val="00306CA5"/>
    <w:rsid w:val="00311BD4"/>
    <w:rsid w:val="0031768B"/>
    <w:rsid w:val="003212CE"/>
    <w:rsid w:val="003215CE"/>
    <w:rsid w:val="00337558"/>
    <w:rsid w:val="003378C4"/>
    <w:rsid w:val="00337AA4"/>
    <w:rsid w:val="00337E92"/>
    <w:rsid w:val="00343714"/>
    <w:rsid w:val="00344244"/>
    <w:rsid w:val="0035335A"/>
    <w:rsid w:val="00353D08"/>
    <w:rsid w:val="00354DCF"/>
    <w:rsid w:val="00356F1D"/>
    <w:rsid w:val="00357F30"/>
    <w:rsid w:val="003624FA"/>
    <w:rsid w:val="003674A8"/>
    <w:rsid w:val="00370B86"/>
    <w:rsid w:val="00375D1F"/>
    <w:rsid w:val="0037784D"/>
    <w:rsid w:val="00381549"/>
    <w:rsid w:val="003833F8"/>
    <w:rsid w:val="00383E5B"/>
    <w:rsid w:val="00384053"/>
    <w:rsid w:val="003B1A82"/>
    <w:rsid w:val="003B41F3"/>
    <w:rsid w:val="003B6C14"/>
    <w:rsid w:val="003C03F2"/>
    <w:rsid w:val="003C0A9C"/>
    <w:rsid w:val="003C4F25"/>
    <w:rsid w:val="003D0791"/>
    <w:rsid w:val="003D1C11"/>
    <w:rsid w:val="003D516F"/>
    <w:rsid w:val="003D7502"/>
    <w:rsid w:val="003E1DA6"/>
    <w:rsid w:val="003E5993"/>
    <w:rsid w:val="003E734A"/>
    <w:rsid w:val="003E75C2"/>
    <w:rsid w:val="003F5D17"/>
    <w:rsid w:val="004009FA"/>
    <w:rsid w:val="00405802"/>
    <w:rsid w:val="00405D8F"/>
    <w:rsid w:val="004172E1"/>
    <w:rsid w:val="00420345"/>
    <w:rsid w:val="00421BD3"/>
    <w:rsid w:val="00422013"/>
    <w:rsid w:val="00424001"/>
    <w:rsid w:val="004307EF"/>
    <w:rsid w:val="00430B01"/>
    <w:rsid w:val="004313EA"/>
    <w:rsid w:val="00436114"/>
    <w:rsid w:val="00444EE9"/>
    <w:rsid w:val="004662F5"/>
    <w:rsid w:val="00467BC2"/>
    <w:rsid w:val="00470182"/>
    <w:rsid w:val="004764E0"/>
    <w:rsid w:val="00477971"/>
    <w:rsid w:val="0048045D"/>
    <w:rsid w:val="004804A9"/>
    <w:rsid w:val="0048145C"/>
    <w:rsid w:val="004844A7"/>
    <w:rsid w:val="00486A1F"/>
    <w:rsid w:val="00496643"/>
    <w:rsid w:val="004A05B2"/>
    <w:rsid w:val="004A3D30"/>
    <w:rsid w:val="004A539B"/>
    <w:rsid w:val="004A6989"/>
    <w:rsid w:val="004B66A5"/>
    <w:rsid w:val="004C419D"/>
    <w:rsid w:val="004D1E9C"/>
    <w:rsid w:val="004D46A4"/>
    <w:rsid w:val="004D4AF4"/>
    <w:rsid w:val="004E44DD"/>
    <w:rsid w:val="004E7477"/>
    <w:rsid w:val="004F0817"/>
    <w:rsid w:val="004F21A1"/>
    <w:rsid w:val="004F2B2B"/>
    <w:rsid w:val="00502FDF"/>
    <w:rsid w:val="00503319"/>
    <w:rsid w:val="0050475A"/>
    <w:rsid w:val="005047F3"/>
    <w:rsid w:val="00504ED6"/>
    <w:rsid w:val="00506105"/>
    <w:rsid w:val="00511652"/>
    <w:rsid w:val="005120CC"/>
    <w:rsid w:val="0051389E"/>
    <w:rsid w:val="00516E39"/>
    <w:rsid w:val="00517353"/>
    <w:rsid w:val="005209AC"/>
    <w:rsid w:val="005242D9"/>
    <w:rsid w:val="00524599"/>
    <w:rsid w:val="00526B9F"/>
    <w:rsid w:val="0052795D"/>
    <w:rsid w:val="005464E9"/>
    <w:rsid w:val="005508E4"/>
    <w:rsid w:val="00552414"/>
    <w:rsid w:val="005627A3"/>
    <w:rsid w:val="005679A4"/>
    <w:rsid w:val="005710B6"/>
    <w:rsid w:val="005715BB"/>
    <w:rsid w:val="00572C38"/>
    <w:rsid w:val="00572E3C"/>
    <w:rsid w:val="00575C1A"/>
    <w:rsid w:val="0057765B"/>
    <w:rsid w:val="005828E4"/>
    <w:rsid w:val="00585249"/>
    <w:rsid w:val="0059396C"/>
    <w:rsid w:val="005A27A0"/>
    <w:rsid w:val="005A2888"/>
    <w:rsid w:val="005A493F"/>
    <w:rsid w:val="005A4BAC"/>
    <w:rsid w:val="005C6A10"/>
    <w:rsid w:val="005D2AEB"/>
    <w:rsid w:val="005D3622"/>
    <w:rsid w:val="005D3CBC"/>
    <w:rsid w:val="005E04C7"/>
    <w:rsid w:val="005E1E9D"/>
    <w:rsid w:val="005F0293"/>
    <w:rsid w:val="005F31B5"/>
    <w:rsid w:val="006022B4"/>
    <w:rsid w:val="00602FB6"/>
    <w:rsid w:val="00605A35"/>
    <w:rsid w:val="006078F6"/>
    <w:rsid w:val="0061364B"/>
    <w:rsid w:val="00617672"/>
    <w:rsid w:val="00621C61"/>
    <w:rsid w:val="0062220E"/>
    <w:rsid w:val="006265B9"/>
    <w:rsid w:val="00627DB7"/>
    <w:rsid w:val="006309B8"/>
    <w:rsid w:val="00630F21"/>
    <w:rsid w:val="00632A0F"/>
    <w:rsid w:val="00636DE9"/>
    <w:rsid w:val="00640673"/>
    <w:rsid w:val="00641440"/>
    <w:rsid w:val="0064378A"/>
    <w:rsid w:val="00645481"/>
    <w:rsid w:val="006458E8"/>
    <w:rsid w:val="00646FBF"/>
    <w:rsid w:val="006502A4"/>
    <w:rsid w:val="00675C5F"/>
    <w:rsid w:val="00676E4D"/>
    <w:rsid w:val="0067786A"/>
    <w:rsid w:val="006806D6"/>
    <w:rsid w:val="00686FD6"/>
    <w:rsid w:val="0069108A"/>
    <w:rsid w:val="00693D25"/>
    <w:rsid w:val="00694B6C"/>
    <w:rsid w:val="00695B75"/>
    <w:rsid w:val="006A09F2"/>
    <w:rsid w:val="006A0D0D"/>
    <w:rsid w:val="006A2120"/>
    <w:rsid w:val="006A5EDB"/>
    <w:rsid w:val="006B060E"/>
    <w:rsid w:val="006B30A9"/>
    <w:rsid w:val="006B479D"/>
    <w:rsid w:val="006C2A21"/>
    <w:rsid w:val="006C6289"/>
    <w:rsid w:val="006C67FD"/>
    <w:rsid w:val="006D3EB0"/>
    <w:rsid w:val="006E2C34"/>
    <w:rsid w:val="006E3F50"/>
    <w:rsid w:val="006F1CA1"/>
    <w:rsid w:val="006F44AE"/>
    <w:rsid w:val="00700F02"/>
    <w:rsid w:val="00702F49"/>
    <w:rsid w:val="007043EB"/>
    <w:rsid w:val="007056DB"/>
    <w:rsid w:val="00706CB5"/>
    <w:rsid w:val="0071490F"/>
    <w:rsid w:val="0071702F"/>
    <w:rsid w:val="0072079E"/>
    <w:rsid w:val="0072401A"/>
    <w:rsid w:val="007268F3"/>
    <w:rsid w:val="007315C2"/>
    <w:rsid w:val="00734469"/>
    <w:rsid w:val="0074516F"/>
    <w:rsid w:val="00746EDF"/>
    <w:rsid w:val="00747E69"/>
    <w:rsid w:val="00752622"/>
    <w:rsid w:val="00756BA3"/>
    <w:rsid w:val="00770E3E"/>
    <w:rsid w:val="007800B3"/>
    <w:rsid w:val="00782626"/>
    <w:rsid w:val="00783133"/>
    <w:rsid w:val="007863C7"/>
    <w:rsid w:val="00792611"/>
    <w:rsid w:val="00795334"/>
    <w:rsid w:val="00795F97"/>
    <w:rsid w:val="00797D3F"/>
    <w:rsid w:val="007A1C13"/>
    <w:rsid w:val="007A46E9"/>
    <w:rsid w:val="007B0A59"/>
    <w:rsid w:val="007B19FC"/>
    <w:rsid w:val="007C178A"/>
    <w:rsid w:val="007C7F03"/>
    <w:rsid w:val="007D1E7F"/>
    <w:rsid w:val="007D39C9"/>
    <w:rsid w:val="007D5B6A"/>
    <w:rsid w:val="007E0EAE"/>
    <w:rsid w:val="007E1682"/>
    <w:rsid w:val="007E7CD6"/>
    <w:rsid w:val="007F2286"/>
    <w:rsid w:val="007F3C34"/>
    <w:rsid w:val="007F5D49"/>
    <w:rsid w:val="007F7538"/>
    <w:rsid w:val="00805BBB"/>
    <w:rsid w:val="008151AF"/>
    <w:rsid w:val="00815441"/>
    <w:rsid w:val="00816B13"/>
    <w:rsid w:val="0082556C"/>
    <w:rsid w:val="008268AF"/>
    <w:rsid w:val="008272BD"/>
    <w:rsid w:val="008400D2"/>
    <w:rsid w:val="00846547"/>
    <w:rsid w:val="00851DC2"/>
    <w:rsid w:val="00857EAE"/>
    <w:rsid w:val="00861DF6"/>
    <w:rsid w:val="0086504E"/>
    <w:rsid w:val="008656D1"/>
    <w:rsid w:val="0087565C"/>
    <w:rsid w:val="0088621A"/>
    <w:rsid w:val="00887C82"/>
    <w:rsid w:val="008918B5"/>
    <w:rsid w:val="00894259"/>
    <w:rsid w:val="00896C57"/>
    <w:rsid w:val="008A466C"/>
    <w:rsid w:val="008B6111"/>
    <w:rsid w:val="008C07F4"/>
    <w:rsid w:val="008C4E49"/>
    <w:rsid w:val="008C6A0A"/>
    <w:rsid w:val="008C7C5B"/>
    <w:rsid w:val="008D1B5A"/>
    <w:rsid w:val="008D2300"/>
    <w:rsid w:val="008E23AA"/>
    <w:rsid w:val="008E49FA"/>
    <w:rsid w:val="008E7FBF"/>
    <w:rsid w:val="008F0558"/>
    <w:rsid w:val="008F214C"/>
    <w:rsid w:val="008F2520"/>
    <w:rsid w:val="008F582B"/>
    <w:rsid w:val="008F75C6"/>
    <w:rsid w:val="008F7669"/>
    <w:rsid w:val="00901FC2"/>
    <w:rsid w:val="00904BD3"/>
    <w:rsid w:val="009056D5"/>
    <w:rsid w:val="00911D9A"/>
    <w:rsid w:val="0091219A"/>
    <w:rsid w:val="00913155"/>
    <w:rsid w:val="00916D61"/>
    <w:rsid w:val="00925482"/>
    <w:rsid w:val="00930DC6"/>
    <w:rsid w:val="00931290"/>
    <w:rsid w:val="0093143F"/>
    <w:rsid w:val="00936054"/>
    <w:rsid w:val="009364AA"/>
    <w:rsid w:val="009377FA"/>
    <w:rsid w:val="0094229D"/>
    <w:rsid w:val="00946FA1"/>
    <w:rsid w:val="00952478"/>
    <w:rsid w:val="00960572"/>
    <w:rsid w:val="00965209"/>
    <w:rsid w:val="0096767D"/>
    <w:rsid w:val="0097103E"/>
    <w:rsid w:val="00975286"/>
    <w:rsid w:val="00976F4B"/>
    <w:rsid w:val="009771F0"/>
    <w:rsid w:val="0099048E"/>
    <w:rsid w:val="00996A26"/>
    <w:rsid w:val="009A245F"/>
    <w:rsid w:val="009B40A5"/>
    <w:rsid w:val="009C32CF"/>
    <w:rsid w:val="009C3B64"/>
    <w:rsid w:val="009D0210"/>
    <w:rsid w:val="009D2B83"/>
    <w:rsid w:val="009D3D1E"/>
    <w:rsid w:val="009D76DE"/>
    <w:rsid w:val="009E16FA"/>
    <w:rsid w:val="009E7737"/>
    <w:rsid w:val="009F3D5C"/>
    <w:rsid w:val="009F5480"/>
    <w:rsid w:val="00A07ABF"/>
    <w:rsid w:val="00A13505"/>
    <w:rsid w:val="00A1672F"/>
    <w:rsid w:val="00A1691D"/>
    <w:rsid w:val="00A1762A"/>
    <w:rsid w:val="00A32287"/>
    <w:rsid w:val="00A336FA"/>
    <w:rsid w:val="00A4144D"/>
    <w:rsid w:val="00A45395"/>
    <w:rsid w:val="00A5223D"/>
    <w:rsid w:val="00A52241"/>
    <w:rsid w:val="00A57181"/>
    <w:rsid w:val="00A60256"/>
    <w:rsid w:val="00A649C5"/>
    <w:rsid w:val="00A705C4"/>
    <w:rsid w:val="00A713FD"/>
    <w:rsid w:val="00A74CDB"/>
    <w:rsid w:val="00A76E96"/>
    <w:rsid w:val="00A831E1"/>
    <w:rsid w:val="00A95AD9"/>
    <w:rsid w:val="00A96267"/>
    <w:rsid w:val="00A96CDA"/>
    <w:rsid w:val="00A96D43"/>
    <w:rsid w:val="00AA0D7F"/>
    <w:rsid w:val="00AA3437"/>
    <w:rsid w:val="00AA355C"/>
    <w:rsid w:val="00AB244B"/>
    <w:rsid w:val="00AB47EA"/>
    <w:rsid w:val="00AB4DE9"/>
    <w:rsid w:val="00AC0871"/>
    <w:rsid w:val="00AC260F"/>
    <w:rsid w:val="00AC5053"/>
    <w:rsid w:val="00AC7256"/>
    <w:rsid w:val="00AD1AFD"/>
    <w:rsid w:val="00AD433E"/>
    <w:rsid w:val="00AD635A"/>
    <w:rsid w:val="00AE07B3"/>
    <w:rsid w:val="00AE1E45"/>
    <w:rsid w:val="00AE2812"/>
    <w:rsid w:val="00AF45CE"/>
    <w:rsid w:val="00AF55C7"/>
    <w:rsid w:val="00AF6CC6"/>
    <w:rsid w:val="00B027CA"/>
    <w:rsid w:val="00B060A5"/>
    <w:rsid w:val="00B07D65"/>
    <w:rsid w:val="00B100D4"/>
    <w:rsid w:val="00B10687"/>
    <w:rsid w:val="00B16D61"/>
    <w:rsid w:val="00B2377A"/>
    <w:rsid w:val="00B30692"/>
    <w:rsid w:val="00B307F3"/>
    <w:rsid w:val="00B30A3B"/>
    <w:rsid w:val="00B31843"/>
    <w:rsid w:val="00B34498"/>
    <w:rsid w:val="00B37AE0"/>
    <w:rsid w:val="00B37CE5"/>
    <w:rsid w:val="00B45AC5"/>
    <w:rsid w:val="00B5064A"/>
    <w:rsid w:val="00B50ABD"/>
    <w:rsid w:val="00B51D35"/>
    <w:rsid w:val="00B52E98"/>
    <w:rsid w:val="00B5334C"/>
    <w:rsid w:val="00B556E7"/>
    <w:rsid w:val="00B66FCB"/>
    <w:rsid w:val="00B671BB"/>
    <w:rsid w:val="00B73AE6"/>
    <w:rsid w:val="00B76CEC"/>
    <w:rsid w:val="00B84B90"/>
    <w:rsid w:val="00B852C9"/>
    <w:rsid w:val="00B953E4"/>
    <w:rsid w:val="00B9779C"/>
    <w:rsid w:val="00B97C45"/>
    <w:rsid w:val="00BA3AB3"/>
    <w:rsid w:val="00BA5FB2"/>
    <w:rsid w:val="00BA6827"/>
    <w:rsid w:val="00BB088E"/>
    <w:rsid w:val="00BB4B25"/>
    <w:rsid w:val="00BB4EEB"/>
    <w:rsid w:val="00BB597B"/>
    <w:rsid w:val="00BC5A3D"/>
    <w:rsid w:val="00BD0126"/>
    <w:rsid w:val="00BD04B1"/>
    <w:rsid w:val="00BD48E7"/>
    <w:rsid w:val="00BE5858"/>
    <w:rsid w:val="00C04950"/>
    <w:rsid w:val="00C05501"/>
    <w:rsid w:val="00C11488"/>
    <w:rsid w:val="00C25258"/>
    <w:rsid w:val="00C30F26"/>
    <w:rsid w:val="00C34832"/>
    <w:rsid w:val="00C36B85"/>
    <w:rsid w:val="00C3739F"/>
    <w:rsid w:val="00C40E43"/>
    <w:rsid w:val="00C41F47"/>
    <w:rsid w:val="00C42893"/>
    <w:rsid w:val="00C43918"/>
    <w:rsid w:val="00C456FF"/>
    <w:rsid w:val="00C47008"/>
    <w:rsid w:val="00C50204"/>
    <w:rsid w:val="00C52439"/>
    <w:rsid w:val="00C52673"/>
    <w:rsid w:val="00C54B2A"/>
    <w:rsid w:val="00C6245F"/>
    <w:rsid w:val="00C6416C"/>
    <w:rsid w:val="00C657D7"/>
    <w:rsid w:val="00C6795F"/>
    <w:rsid w:val="00C80552"/>
    <w:rsid w:val="00C81DD8"/>
    <w:rsid w:val="00C869AD"/>
    <w:rsid w:val="00C87D1C"/>
    <w:rsid w:val="00C9245D"/>
    <w:rsid w:val="00C9435D"/>
    <w:rsid w:val="00C94E31"/>
    <w:rsid w:val="00C95048"/>
    <w:rsid w:val="00C969ED"/>
    <w:rsid w:val="00CA0AD6"/>
    <w:rsid w:val="00CA3852"/>
    <w:rsid w:val="00CA547C"/>
    <w:rsid w:val="00CA56AC"/>
    <w:rsid w:val="00CA666D"/>
    <w:rsid w:val="00CA7565"/>
    <w:rsid w:val="00CB4369"/>
    <w:rsid w:val="00CB490D"/>
    <w:rsid w:val="00CB5786"/>
    <w:rsid w:val="00CB7303"/>
    <w:rsid w:val="00CC27C0"/>
    <w:rsid w:val="00CC3C65"/>
    <w:rsid w:val="00CC432B"/>
    <w:rsid w:val="00CC5D4E"/>
    <w:rsid w:val="00CD091C"/>
    <w:rsid w:val="00CD2856"/>
    <w:rsid w:val="00CD45D1"/>
    <w:rsid w:val="00CD6ABB"/>
    <w:rsid w:val="00CD6D39"/>
    <w:rsid w:val="00CE00F6"/>
    <w:rsid w:val="00CE1665"/>
    <w:rsid w:val="00CE4AD8"/>
    <w:rsid w:val="00CE5F9E"/>
    <w:rsid w:val="00CF2FA9"/>
    <w:rsid w:val="00D01A94"/>
    <w:rsid w:val="00D026B9"/>
    <w:rsid w:val="00D1274C"/>
    <w:rsid w:val="00D14A09"/>
    <w:rsid w:val="00D159EA"/>
    <w:rsid w:val="00D3296B"/>
    <w:rsid w:val="00D37FFB"/>
    <w:rsid w:val="00D41B0D"/>
    <w:rsid w:val="00D43551"/>
    <w:rsid w:val="00D43EA9"/>
    <w:rsid w:val="00D446C2"/>
    <w:rsid w:val="00D46420"/>
    <w:rsid w:val="00D46DC6"/>
    <w:rsid w:val="00D47395"/>
    <w:rsid w:val="00D530F3"/>
    <w:rsid w:val="00D539D4"/>
    <w:rsid w:val="00D65753"/>
    <w:rsid w:val="00D731D4"/>
    <w:rsid w:val="00D7660A"/>
    <w:rsid w:val="00D90475"/>
    <w:rsid w:val="00D91E06"/>
    <w:rsid w:val="00D92F39"/>
    <w:rsid w:val="00D960C6"/>
    <w:rsid w:val="00DA19BD"/>
    <w:rsid w:val="00DA44B8"/>
    <w:rsid w:val="00DA4713"/>
    <w:rsid w:val="00DA5DA9"/>
    <w:rsid w:val="00DB1E24"/>
    <w:rsid w:val="00DB4A33"/>
    <w:rsid w:val="00DB616D"/>
    <w:rsid w:val="00DC34E6"/>
    <w:rsid w:val="00DC445D"/>
    <w:rsid w:val="00DC58BA"/>
    <w:rsid w:val="00DD1DA2"/>
    <w:rsid w:val="00DD60DA"/>
    <w:rsid w:val="00DE34E9"/>
    <w:rsid w:val="00DF0E93"/>
    <w:rsid w:val="00DF2B0C"/>
    <w:rsid w:val="00E06B73"/>
    <w:rsid w:val="00E07D15"/>
    <w:rsid w:val="00E1150D"/>
    <w:rsid w:val="00E12437"/>
    <w:rsid w:val="00E12491"/>
    <w:rsid w:val="00E168C1"/>
    <w:rsid w:val="00E20762"/>
    <w:rsid w:val="00E20C42"/>
    <w:rsid w:val="00E312AE"/>
    <w:rsid w:val="00E34191"/>
    <w:rsid w:val="00E349FB"/>
    <w:rsid w:val="00E35C51"/>
    <w:rsid w:val="00E41BBD"/>
    <w:rsid w:val="00E44716"/>
    <w:rsid w:val="00E45585"/>
    <w:rsid w:val="00E52698"/>
    <w:rsid w:val="00E551C9"/>
    <w:rsid w:val="00E56506"/>
    <w:rsid w:val="00E56D5F"/>
    <w:rsid w:val="00E62C31"/>
    <w:rsid w:val="00E66A4B"/>
    <w:rsid w:val="00E7171B"/>
    <w:rsid w:val="00E743D6"/>
    <w:rsid w:val="00E767F4"/>
    <w:rsid w:val="00E76CE6"/>
    <w:rsid w:val="00E80481"/>
    <w:rsid w:val="00E80CFF"/>
    <w:rsid w:val="00E82BDD"/>
    <w:rsid w:val="00E8401D"/>
    <w:rsid w:val="00E85071"/>
    <w:rsid w:val="00E856A1"/>
    <w:rsid w:val="00E86A0D"/>
    <w:rsid w:val="00E973FD"/>
    <w:rsid w:val="00EA2046"/>
    <w:rsid w:val="00EB7CE7"/>
    <w:rsid w:val="00EC7294"/>
    <w:rsid w:val="00ED4DD7"/>
    <w:rsid w:val="00ED5F23"/>
    <w:rsid w:val="00ED5FBF"/>
    <w:rsid w:val="00EE2DA3"/>
    <w:rsid w:val="00EF0C22"/>
    <w:rsid w:val="00EF0D0E"/>
    <w:rsid w:val="00EF2CCD"/>
    <w:rsid w:val="00EF3FCA"/>
    <w:rsid w:val="00EF6203"/>
    <w:rsid w:val="00EF779F"/>
    <w:rsid w:val="00F032E6"/>
    <w:rsid w:val="00F040E1"/>
    <w:rsid w:val="00F04D1E"/>
    <w:rsid w:val="00F1516A"/>
    <w:rsid w:val="00F213ED"/>
    <w:rsid w:val="00F217CE"/>
    <w:rsid w:val="00F2741B"/>
    <w:rsid w:val="00F2751F"/>
    <w:rsid w:val="00F30B40"/>
    <w:rsid w:val="00F3425F"/>
    <w:rsid w:val="00F34F13"/>
    <w:rsid w:val="00F363F0"/>
    <w:rsid w:val="00F36A07"/>
    <w:rsid w:val="00F37587"/>
    <w:rsid w:val="00F40C1A"/>
    <w:rsid w:val="00F40C7A"/>
    <w:rsid w:val="00F42784"/>
    <w:rsid w:val="00F526EF"/>
    <w:rsid w:val="00F54387"/>
    <w:rsid w:val="00F56153"/>
    <w:rsid w:val="00F57C5D"/>
    <w:rsid w:val="00F61B51"/>
    <w:rsid w:val="00F64A55"/>
    <w:rsid w:val="00F71670"/>
    <w:rsid w:val="00F7368C"/>
    <w:rsid w:val="00F738C2"/>
    <w:rsid w:val="00F74411"/>
    <w:rsid w:val="00F753F9"/>
    <w:rsid w:val="00F80203"/>
    <w:rsid w:val="00F84718"/>
    <w:rsid w:val="00F85555"/>
    <w:rsid w:val="00F91054"/>
    <w:rsid w:val="00F92132"/>
    <w:rsid w:val="00F947ED"/>
    <w:rsid w:val="00F94AE9"/>
    <w:rsid w:val="00F950E8"/>
    <w:rsid w:val="00F95BA8"/>
    <w:rsid w:val="00F9699A"/>
    <w:rsid w:val="00FA3A89"/>
    <w:rsid w:val="00FB1E6D"/>
    <w:rsid w:val="00FB64FB"/>
    <w:rsid w:val="00FC179E"/>
    <w:rsid w:val="00FC5CAA"/>
    <w:rsid w:val="00FC62AD"/>
    <w:rsid w:val="00FD10D7"/>
    <w:rsid w:val="00FD5B16"/>
    <w:rsid w:val="00FE3DF0"/>
    <w:rsid w:val="00FE46B6"/>
    <w:rsid w:val="00FE528F"/>
    <w:rsid w:val="00FE57A2"/>
    <w:rsid w:val="00FE6988"/>
    <w:rsid w:val="00FF4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9EE"/>
    <w:pPr>
      <w:spacing w:after="200" w:line="276" w:lineRule="auto"/>
    </w:pPr>
    <w:rPr>
      <w:rFonts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172E1"/>
    <w:pPr>
      <w:ind w:left="720"/>
    </w:pPr>
  </w:style>
  <w:style w:type="character" w:customStyle="1" w:styleId="notranslate">
    <w:name w:val="notranslate"/>
    <w:uiPriority w:val="99"/>
    <w:rsid w:val="000B499B"/>
    <w:rPr>
      <w:rFonts w:cs="Times New Roman"/>
    </w:rPr>
  </w:style>
  <w:style w:type="character" w:styleId="Hyperlink">
    <w:name w:val="Hyperlink"/>
    <w:uiPriority w:val="99"/>
    <w:rsid w:val="000E4B6B"/>
    <w:rPr>
      <w:rFonts w:cs="Times New Roman"/>
      <w:color w:val="0000FF"/>
      <w:u w:val="single"/>
    </w:rPr>
  </w:style>
  <w:style w:type="character" w:styleId="CommentReference">
    <w:name w:val="annotation reference"/>
    <w:uiPriority w:val="99"/>
    <w:semiHidden/>
    <w:rsid w:val="005D2AEB"/>
    <w:rPr>
      <w:rFonts w:cs="Times New Roman"/>
      <w:sz w:val="16"/>
      <w:szCs w:val="16"/>
    </w:rPr>
  </w:style>
  <w:style w:type="paragraph" w:styleId="CommentText">
    <w:name w:val="annotation text"/>
    <w:basedOn w:val="Normal"/>
    <w:link w:val="CommentTextChar"/>
    <w:uiPriority w:val="99"/>
    <w:semiHidden/>
    <w:rsid w:val="005D2AEB"/>
    <w:pPr>
      <w:spacing w:after="0" w:line="240" w:lineRule="auto"/>
    </w:pPr>
    <w:rPr>
      <w:rFonts w:cs="Times New Roman"/>
      <w:sz w:val="20"/>
      <w:szCs w:val="20"/>
      <w:lang w:val="en-US" w:eastAsia="en-GB"/>
    </w:rPr>
  </w:style>
  <w:style w:type="character" w:customStyle="1" w:styleId="CommentTextChar">
    <w:name w:val="Comment Text Char"/>
    <w:link w:val="CommentText"/>
    <w:uiPriority w:val="99"/>
    <w:locked/>
    <w:rsid w:val="005D2AEB"/>
    <w:rPr>
      <w:rFonts w:ascii="Times New Roman" w:hAnsi="Times New Roman" w:cs="Times New Roman"/>
      <w:sz w:val="20"/>
      <w:szCs w:val="20"/>
      <w:lang w:eastAsia="en-GB"/>
    </w:rPr>
  </w:style>
  <w:style w:type="paragraph" w:styleId="BalloonText">
    <w:name w:val="Balloon Text"/>
    <w:basedOn w:val="Normal"/>
    <w:link w:val="BalloonTextChar"/>
    <w:uiPriority w:val="99"/>
    <w:semiHidden/>
    <w:rsid w:val="005D2AEB"/>
    <w:pPr>
      <w:spacing w:after="0" w:line="240" w:lineRule="auto"/>
    </w:pPr>
    <w:rPr>
      <w:rFonts w:ascii="Tahoma" w:hAnsi="Tahoma" w:cs="Tahoma"/>
      <w:sz w:val="16"/>
      <w:szCs w:val="16"/>
      <w:lang w:val="en-US"/>
    </w:rPr>
  </w:style>
  <w:style w:type="character" w:customStyle="1" w:styleId="BalloonTextChar">
    <w:name w:val="Balloon Text Char"/>
    <w:link w:val="BalloonText"/>
    <w:uiPriority w:val="99"/>
    <w:semiHidden/>
    <w:locked/>
    <w:rsid w:val="005D2AEB"/>
    <w:rPr>
      <w:rFonts w:ascii="Tahoma" w:hAnsi="Tahoma" w:cs="Tahoma"/>
      <w:sz w:val="16"/>
      <w:szCs w:val="16"/>
    </w:rPr>
  </w:style>
  <w:style w:type="paragraph" w:styleId="HTMLPreformatted">
    <w:name w:val="HTML Preformatted"/>
    <w:basedOn w:val="Normal"/>
    <w:link w:val="HTMLPreformattedChar"/>
    <w:uiPriority w:val="99"/>
    <w:semiHidden/>
    <w:rsid w:val="0002790F"/>
    <w:pPr>
      <w:spacing w:after="0" w:line="240" w:lineRule="auto"/>
    </w:pPr>
    <w:rPr>
      <w:rFonts w:ascii="Consolas" w:hAnsi="Consolas" w:cs="Consolas"/>
      <w:sz w:val="20"/>
      <w:szCs w:val="20"/>
      <w:lang w:val="en-US"/>
    </w:rPr>
  </w:style>
  <w:style w:type="character" w:customStyle="1" w:styleId="HTMLPreformattedChar">
    <w:name w:val="HTML Preformatted Char"/>
    <w:link w:val="HTMLPreformatted"/>
    <w:uiPriority w:val="99"/>
    <w:semiHidden/>
    <w:locked/>
    <w:rsid w:val="0002790F"/>
    <w:rPr>
      <w:rFonts w:ascii="Consolas" w:hAnsi="Consolas" w:cs="Consolas"/>
      <w:sz w:val="20"/>
      <w:szCs w:val="20"/>
    </w:rPr>
  </w:style>
  <w:style w:type="paragraph" w:styleId="Footer">
    <w:name w:val="footer"/>
    <w:basedOn w:val="Normal"/>
    <w:link w:val="FooterChar"/>
    <w:uiPriority w:val="99"/>
    <w:rsid w:val="003D516F"/>
    <w:pPr>
      <w:tabs>
        <w:tab w:val="center" w:pos="4320"/>
        <w:tab w:val="right" w:pos="8640"/>
      </w:tabs>
    </w:pPr>
  </w:style>
  <w:style w:type="character" w:customStyle="1" w:styleId="FooterChar">
    <w:name w:val="Footer Char"/>
    <w:link w:val="Footer"/>
    <w:uiPriority w:val="99"/>
    <w:semiHidden/>
    <w:locked/>
    <w:rsid w:val="0099048E"/>
    <w:rPr>
      <w:rFonts w:cs="Calibri"/>
      <w:lang w:val="en-GB"/>
    </w:rPr>
  </w:style>
  <w:style w:type="character" w:styleId="PageNumber">
    <w:name w:val="page number"/>
    <w:uiPriority w:val="99"/>
    <w:rsid w:val="003D516F"/>
    <w:rPr>
      <w:rFonts w:cs="Times New Roman"/>
    </w:rPr>
  </w:style>
  <w:style w:type="paragraph" w:styleId="CommentSubject">
    <w:name w:val="annotation subject"/>
    <w:basedOn w:val="CommentText"/>
    <w:next w:val="CommentText"/>
    <w:link w:val="CommentSubjectChar"/>
    <w:uiPriority w:val="99"/>
    <w:semiHidden/>
    <w:rsid w:val="00D92F39"/>
    <w:pPr>
      <w:spacing w:after="200"/>
    </w:pPr>
    <w:rPr>
      <w:rFonts w:cs="Calibri"/>
      <w:b/>
      <w:bCs/>
      <w:lang w:val="en-GB" w:eastAsia="en-US"/>
    </w:rPr>
  </w:style>
  <w:style w:type="character" w:customStyle="1" w:styleId="CommentSubjectChar">
    <w:name w:val="Comment Subject Char"/>
    <w:link w:val="CommentSubject"/>
    <w:uiPriority w:val="99"/>
    <w:semiHidden/>
    <w:locked/>
    <w:rsid w:val="00D92F39"/>
    <w:rPr>
      <w:rFonts w:ascii="Times New Roman" w:hAnsi="Times New Roman" w:cs="Calibri"/>
      <w:b/>
      <w:bCs/>
      <w:sz w:val="20"/>
      <w:szCs w:val="20"/>
      <w:lang w:val="en-GB" w:eastAsia="en-GB"/>
    </w:rPr>
  </w:style>
  <w:style w:type="paragraph" w:styleId="Header">
    <w:name w:val="header"/>
    <w:basedOn w:val="Normal"/>
    <w:link w:val="HeaderChar"/>
    <w:uiPriority w:val="99"/>
    <w:unhideWhenUsed/>
    <w:rsid w:val="005209AC"/>
    <w:pPr>
      <w:tabs>
        <w:tab w:val="center" w:pos="4513"/>
        <w:tab w:val="right" w:pos="9026"/>
      </w:tabs>
    </w:pPr>
  </w:style>
  <w:style w:type="character" w:customStyle="1" w:styleId="HeaderChar">
    <w:name w:val="Header Char"/>
    <w:link w:val="Header"/>
    <w:uiPriority w:val="99"/>
    <w:rsid w:val="005209AC"/>
    <w:rPr>
      <w:rFonts w:cs="Calibri"/>
      <w:sz w:val="22"/>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9EE"/>
    <w:pPr>
      <w:spacing w:after="200" w:line="276" w:lineRule="auto"/>
    </w:pPr>
    <w:rPr>
      <w:rFonts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172E1"/>
    <w:pPr>
      <w:ind w:left="720"/>
    </w:pPr>
  </w:style>
  <w:style w:type="character" w:customStyle="1" w:styleId="notranslate">
    <w:name w:val="notranslate"/>
    <w:uiPriority w:val="99"/>
    <w:rsid w:val="000B499B"/>
    <w:rPr>
      <w:rFonts w:cs="Times New Roman"/>
    </w:rPr>
  </w:style>
  <w:style w:type="character" w:styleId="Hyperlink">
    <w:name w:val="Hyperlink"/>
    <w:uiPriority w:val="99"/>
    <w:rsid w:val="000E4B6B"/>
    <w:rPr>
      <w:rFonts w:cs="Times New Roman"/>
      <w:color w:val="0000FF"/>
      <w:u w:val="single"/>
    </w:rPr>
  </w:style>
  <w:style w:type="character" w:styleId="CommentReference">
    <w:name w:val="annotation reference"/>
    <w:uiPriority w:val="99"/>
    <w:semiHidden/>
    <w:rsid w:val="005D2AEB"/>
    <w:rPr>
      <w:rFonts w:cs="Times New Roman"/>
      <w:sz w:val="16"/>
      <w:szCs w:val="16"/>
    </w:rPr>
  </w:style>
  <w:style w:type="paragraph" w:styleId="CommentText">
    <w:name w:val="annotation text"/>
    <w:basedOn w:val="Normal"/>
    <w:link w:val="CommentTextChar"/>
    <w:uiPriority w:val="99"/>
    <w:semiHidden/>
    <w:rsid w:val="005D2AEB"/>
    <w:pPr>
      <w:spacing w:after="0" w:line="240" w:lineRule="auto"/>
    </w:pPr>
    <w:rPr>
      <w:rFonts w:cs="Times New Roman"/>
      <w:sz w:val="20"/>
      <w:szCs w:val="20"/>
      <w:lang w:val="en-US" w:eastAsia="en-GB"/>
    </w:rPr>
  </w:style>
  <w:style w:type="character" w:customStyle="1" w:styleId="CommentTextChar">
    <w:name w:val="Comment Text Char"/>
    <w:link w:val="CommentText"/>
    <w:uiPriority w:val="99"/>
    <w:locked/>
    <w:rsid w:val="005D2AEB"/>
    <w:rPr>
      <w:rFonts w:ascii="Times New Roman" w:hAnsi="Times New Roman" w:cs="Times New Roman"/>
      <w:sz w:val="20"/>
      <w:szCs w:val="20"/>
      <w:lang w:eastAsia="en-GB"/>
    </w:rPr>
  </w:style>
  <w:style w:type="paragraph" w:styleId="BalloonText">
    <w:name w:val="Balloon Text"/>
    <w:basedOn w:val="Normal"/>
    <w:link w:val="BalloonTextChar"/>
    <w:uiPriority w:val="99"/>
    <w:semiHidden/>
    <w:rsid w:val="005D2AEB"/>
    <w:pPr>
      <w:spacing w:after="0" w:line="240" w:lineRule="auto"/>
    </w:pPr>
    <w:rPr>
      <w:rFonts w:ascii="Tahoma" w:hAnsi="Tahoma" w:cs="Tahoma"/>
      <w:sz w:val="16"/>
      <w:szCs w:val="16"/>
      <w:lang w:val="en-US"/>
    </w:rPr>
  </w:style>
  <w:style w:type="character" w:customStyle="1" w:styleId="BalloonTextChar">
    <w:name w:val="Balloon Text Char"/>
    <w:link w:val="BalloonText"/>
    <w:uiPriority w:val="99"/>
    <w:semiHidden/>
    <w:locked/>
    <w:rsid w:val="005D2AEB"/>
    <w:rPr>
      <w:rFonts w:ascii="Tahoma" w:hAnsi="Tahoma" w:cs="Tahoma"/>
      <w:sz w:val="16"/>
      <w:szCs w:val="16"/>
    </w:rPr>
  </w:style>
  <w:style w:type="paragraph" w:styleId="HTMLPreformatted">
    <w:name w:val="HTML Preformatted"/>
    <w:basedOn w:val="Normal"/>
    <w:link w:val="HTMLPreformattedChar"/>
    <w:uiPriority w:val="99"/>
    <w:semiHidden/>
    <w:rsid w:val="0002790F"/>
    <w:pPr>
      <w:spacing w:after="0" w:line="240" w:lineRule="auto"/>
    </w:pPr>
    <w:rPr>
      <w:rFonts w:ascii="Consolas" w:hAnsi="Consolas" w:cs="Consolas"/>
      <w:sz w:val="20"/>
      <w:szCs w:val="20"/>
      <w:lang w:val="en-US"/>
    </w:rPr>
  </w:style>
  <w:style w:type="character" w:customStyle="1" w:styleId="HTMLPreformattedChar">
    <w:name w:val="HTML Preformatted Char"/>
    <w:link w:val="HTMLPreformatted"/>
    <w:uiPriority w:val="99"/>
    <w:semiHidden/>
    <w:locked/>
    <w:rsid w:val="0002790F"/>
    <w:rPr>
      <w:rFonts w:ascii="Consolas" w:hAnsi="Consolas" w:cs="Consolas"/>
      <w:sz w:val="20"/>
      <w:szCs w:val="20"/>
    </w:rPr>
  </w:style>
  <w:style w:type="paragraph" w:styleId="Footer">
    <w:name w:val="footer"/>
    <w:basedOn w:val="Normal"/>
    <w:link w:val="FooterChar"/>
    <w:uiPriority w:val="99"/>
    <w:rsid w:val="003D516F"/>
    <w:pPr>
      <w:tabs>
        <w:tab w:val="center" w:pos="4320"/>
        <w:tab w:val="right" w:pos="8640"/>
      </w:tabs>
    </w:pPr>
  </w:style>
  <w:style w:type="character" w:customStyle="1" w:styleId="FooterChar">
    <w:name w:val="Footer Char"/>
    <w:link w:val="Footer"/>
    <w:uiPriority w:val="99"/>
    <w:semiHidden/>
    <w:locked/>
    <w:rsid w:val="0099048E"/>
    <w:rPr>
      <w:rFonts w:cs="Calibri"/>
      <w:lang w:val="en-GB"/>
    </w:rPr>
  </w:style>
  <w:style w:type="character" w:styleId="PageNumber">
    <w:name w:val="page number"/>
    <w:uiPriority w:val="99"/>
    <w:rsid w:val="003D516F"/>
    <w:rPr>
      <w:rFonts w:cs="Times New Roman"/>
    </w:rPr>
  </w:style>
  <w:style w:type="paragraph" w:styleId="CommentSubject">
    <w:name w:val="annotation subject"/>
    <w:basedOn w:val="CommentText"/>
    <w:next w:val="CommentText"/>
    <w:link w:val="CommentSubjectChar"/>
    <w:uiPriority w:val="99"/>
    <w:semiHidden/>
    <w:rsid w:val="00D92F39"/>
    <w:pPr>
      <w:spacing w:after="200"/>
    </w:pPr>
    <w:rPr>
      <w:rFonts w:cs="Calibri"/>
      <w:b/>
      <w:bCs/>
      <w:lang w:val="en-GB" w:eastAsia="en-US"/>
    </w:rPr>
  </w:style>
  <w:style w:type="character" w:customStyle="1" w:styleId="CommentSubjectChar">
    <w:name w:val="Comment Subject Char"/>
    <w:link w:val="CommentSubject"/>
    <w:uiPriority w:val="99"/>
    <w:semiHidden/>
    <w:locked/>
    <w:rsid w:val="00D92F39"/>
    <w:rPr>
      <w:rFonts w:ascii="Times New Roman" w:hAnsi="Times New Roman" w:cs="Calibri"/>
      <w:b/>
      <w:bCs/>
      <w:sz w:val="20"/>
      <w:szCs w:val="20"/>
      <w:lang w:val="en-GB" w:eastAsia="en-GB"/>
    </w:rPr>
  </w:style>
  <w:style w:type="paragraph" w:styleId="Header">
    <w:name w:val="header"/>
    <w:basedOn w:val="Normal"/>
    <w:link w:val="HeaderChar"/>
    <w:uiPriority w:val="99"/>
    <w:unhideWhenUsed/>
    <w:rsid w:val="005209AC"/>
    <w:pPr>
      <w:tabs>
        <w:tab w:val="center" w:pos="4513"/>
        <w:tab w:val="right" w:pos="9026"/>
      </w:tabs>
    </w:pPr>
  </w:style>
  <w:style w:type="character" w:customStyle="1" w:styleId="HeaderChar">
    <w:name w:val="Header Char"/>
    <w:link w:val="Header"/>
    <w:uiPriority w:val="99"/>
    <w:rsid w:val="005209AC"/>
    <w:rPr>
      <w:rFonts w:cs="Calibr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78334">
      <w:bodyDiv w:val="1"/>
      <w:marLeft w:val="0"/>
      <w:marRight w:val="0"/>
      <w:marTop w:val="0"/>
      <w:marBottom w:val="0"/>
      <w:divBdr>
        <w:top w:val="none" w:sz="0" w:space="0" w:color="auto"/>
        <w:left w:val="none" w:sz="0" w:space="0" w:color="auto"/>
        <w:bottom w:val="none" w:sz="0" w:space="0" w:color="auto"/>
        <w:right w:val="none" w:sz="0" w:space="0" w:color="auto"/>
      </w:divBdr>
    </w:div>
    <w:div w:id="373117492">
      <w:bodyDiv w:val="1"/>
      <w:marLeft w:val="0"/>
      <w:marRight w:val="0"/>
      <w:marTop w:val="0"/>
      <w:marBottom w:val="0"/>
      <w:divBdr>
        <w:top w:val="none" w:sz="0" w:space="0" w:color="auto"/>
        <w:left w:val="none" w:sz="0" w:space="0" w:color="auto"/>
        <w:bottom w:val="none" w:sz="0" w:space="0" w:color="auto"/>
        <w:right w:val="none" w:sz="0" w:space="0" w:color="auto"/>
      </w:divBdr>
    </w:div>
    <w:div w:id="583144225">
      <w:bodyDiv w:val="1"/>
      <w:marLeft w:val="0"/>
      <w:marRight w:val="0"/>
      <w:marTop w:val="0"/>
      <w:marBottom w:val="0"/>
      <w:divBdr>
        <w:top w:val="none" w:sz="0" w:space="0" w:color="auto"/>
        <w:left w:val="none" w:sz="0" w:space="0" w:color="auto"/>
        <w:bottom w:val="none" w:sz="0" w:space="0" w:color="auto"/>
        <w:right w:val="none" w:sz="0" w:space="0" w:color="auto"/>
      </w:divBdr>
    </w:div>
    <w:div w:id="600723856">
      <w:bodyDiv w:val="1"/>
      <w:marLeft w:val="0"/>
      <w:marRight w:val="0"/>
      <w:marTop w:val="0"/>
      <w:marBottom w:val="0"/>
      <w:divBdr>
        <w:top w:val="none" w:sz="0" w:space="0" w:color="auto"/>
        <w:left w:val="none" w:sz="0" w:space="0" w:color="auto"/>
        <w:bottom w:val="none" w:sz="0" w:space="0" w:color="auto"/>
        <w:right w:val="none" w:sz="0" w:space="0" w:color="auto"/>
      </w:divBdr>
    </w:div>
    <w:div w:id="754518866">
      <w:bodyDiv w:val="1"/>
      <w:marLeft w:val="0"/>
      <w:marRight w:val="0"/>
      <w:marTop w:val="0"/>
      <w:marBottom w:val="0"/>
      <w:divBdr>
        <w:top w:val="none" w:sz="0" w:space="0" w:color="auto"/>
        <w:left w:val="none" w:sz="0" w:space="0" w:color="auto"/>
        <w:bottom w:val="none" w:sz="0" w:space="0" w:color="auto"/>
        <w:right w:val="none" w:sz="0" w:space="0" w:color="auto"/>
      </w:divBdr>
    </w:div>
    <w:div w:id="865869824">
      <w:marLeft w:val="0"/>
      <w:marRight w:val="0"/>
      <w:marTop w:val="0"/>
      <w:marBottom w:val="0"/>
      <w:divBdr>
        <w:top w:val="none" w:sz="0" w:space="0" w:color="auto"/>
        <w:left w:val="none" w:sz="0" w:space="0" w:color="auto"/>
        <w:bottom w:val="none" w:sz="0" w:space="0" w:color="auto"/>
        <w:right w:val="none" w:sz="0" w:space="0" w:color="auto"/>
      </w:divBdr>
    </w:div>
    <w:div w:id="865869826">
      <w:marLeft w:val="0"/>
      <w:marRight w:val="0"/>
      <w:marTop w:val="0"/>
      <w:marBottom w:val="0"/>
      <w:divBdr>
        <w:top w:val="none" w:sz="0" w:space="0" w:color="auto"/>
        <w:left w:val="none" w:sz="0" w:space="0" w:color="auto"/>
        <w:bottom w:val="none" w:sz="0" w:space="0" w:color="auto"/>
        <w:right w:val="none" w:sz="0" w:space="0" w:color="auto"/>
      </w:divBdr>
    </w:div>
    <w:div w:id="865869828">
      <w:marLeft w:val="0"/>
      <w:marRight w:val="0"/>
      <w:marTop w:val="0"/>
      <w:marBottom w:val="0"/>
      <w:divBdr>
        <w:top w:val="none" w:sz="0" w:space="0" w:color="auto"/>
        <w:left w:val="none" w:sz="0" w:space="0" w:color="auto"/>
        <w:bottom w:val="none" w:sz="0" w:space="0" w:color="auto"/>
        <w:right w:val="none" w:sz="0" w:space="0" w:color="auto"/>
      </w:divBdr>
    </w:div>
    <w:div w:id="865869838">
      <w:marLeft w:val="0"/>
      <w:marRight w:val="0"/>
      <w:marTop w:val="0"/>
      <w:marBottom w:val="0"/>
      <w:divBdr>
        <w:top w:val="none" w:sz="0" w:space="0" w:color="auto"/>
        <w:left w:val="none" w:sz="0" w:space="0" w:color="auto"/>
        <w:bottom w:val="none" w:sz="0" w:space="0" w:color="auto"/>
        <w:right w:val="none" w:sz="0" w:space="0" w:color="auto"/>
      </w:divBdr>
    </w:div>
    <w:div w:id="865869839">
      <w:marLeft w:val="0"/>
      <w:marRight w:val="0"/>
      <w:marTop w:val="0"/>
      <w:marBottom w:val="0"/>
      <w:divBdr>
        <w:top w:val="none" w:sz="0" w:space="0" w:color="auto"/>
        <w:left w:val="none" w:sz="0" w:space="0" w:color="auto"/>
        <w:bottom w:val="none" w:sz="0" w:space="0" w:color="auto"/>
        <w:right w:val="none" w:sz="0" w:space="0" w:color="auto"/>
      </w:divBdr>
      <w:divsChild>
        <w:div w:id="865869831">
          <w:marLeft w:val="547"/>
          <w:marRight w:val="0"/>
          <w:marTop w:val="106"/>
          <w:marBottom w:val="0"/>
          <w:divBdr>
            <w:top w:val="none" w:sz="0" w:space="0" w:color="auto"/>
            <w:left w:val="none" w:sz="0" w:space="0" w:color="auto"/>
            <w:bottom w:val="none" w:sz="0" w:space="0" w:color="auto"/>
            <w:right w:val="none" w:sz="0" w:space="0" w:color="auto"/>
          </w:divBdr>
        </w:div>
        <w:div w:id="865869832">
          <w:marLeft w:val="547"/>
          <w:marRight w:val="0"/>
          <w:marTop w:val="106"/>
          <w:marBottom w:val="0"/>
          <w:divBdr>
            <w:top w:val="none" w:sz="0" w:space="0" w:color="auto"/>
            <w:left w:val="none" w:sz="0" w:space="0" w:color="auto"/>
            <w:bottom w:val="none" w:sz="0" w:space="0" w:color="auto"/>
            <w:right w:val="none" w:sz="0" w:space="0" w:color="auto"/>
          </w:divBdr>
        </w:div>
        <w:div w:id="865869833">
          <w:marLeft w:val="547"/>
          <w:marRight w:val="0"/>
          <w:marTop w:val="106"/>
          <w:marBottom w:val="0"/>
          <w:divBdr>
            <w:top w:val="none" w:sz="0" w:space="0" w:color="auto"/>
            <w:left w:val="none" w:sz="0" w:space="0" w:color="auto"/>
            <w:bottom w:val="none" w:sz="0" w:space="0" w:color="auto"/>
            <w:right w:val="none" w:sz="0" w:space="0" w:color="auto"/>
          </w:divBdr>
        </w:div>
        <w:div w:id="865869842">
          <w:marLeft w:val="547"/>
          <w:marRight w:val="0"/>
          <w:marTop w:val="106"/>
          <w:marBottom w:val="0"/>
          <w:divBdr>
            <w:top w:val="none" w:sz="0" w:space="0" w:color="auto"/>
            <w:left w:val="none" w:sz="0" w:space="0" w:color="auto"/>
            <w:bottom w:val="none" w:sz="0" w:space="0" w:color="auto"/>
            <w:right w:val="none" w:sz="0" w:space="0" w:color="auto"/>
          </w:divBdr>
        </w:div>
        <w:div w:id="865869850">
          <w:marLeft w:val="547"/>
          <w:marRight w:val="0"/>
          <w:marTop w:val="106"/>
          <w:marBottom w:val="0"/>
          <w:divBdr>
            <w:top w:val="none" w:sz="0" w:space="0" w:color="auto"/>
            <w:left w:val="none" w:sz="0" w:space="0" w:color="auto"/>
            <w:bottom w:val="none" w:sz="0" w:space="0" w:color="auto"/>
            <w:right w:val="none" w:sz="0" w:space="0" w:color="auto"/>
          </w:divBdr>
        </w:div>
        <w:div w:id="865869854">
          <w:marLeft w:val="547"/>
          <w:marRight w:val="0"/>
          <w:marTop w:val="106"/>
          <w:marBottom w:val="0"/>
          <w:divBdr>
            <w:top w:val="none" w:sz="0" w:space="0" w:color="auto"/>
            <w:left w:val="none" w:sz="0" w:space="0" w:color="auto"/>
            <w:bottom w:val="none" w:sz="0" w:space="0" w:color="auto"/>
            <w:right w:val="none" w:sz="0" w:space="0" w:color="auto"/>
          </w:divBdr>
        </w:div>
        <w:div w:id="865869859">
          <w:marLeft w:val="547"/>
          <w:marRight w:val="0"/>
          <w:marTop w:val="106"/>
          <w:marBottom w:val="0"/>
          <w:divBdr>
            <w:top w:val="none" w:sz="0" w:space="0" w:color="auto"/>
            <w:left w:val="none" w:sz="0" w:space="0" w:color="auto"/>
            <w:bottom w:val="none" w:sz="0" w:space="0" w:color="auto"/>
            <w:right w:val="none" w:sz="0" w:space="0" w:color="auto"/>
          </w:divBdr>
        </w:div>
        <w:div w:id="865869860">
          <w:marLeft w:val="547"/>
          <w:marRight w:val="0"/>
          <w:marTop w:val="106"/>
          <w:marBottom w:val="0"/>
          <w:divBdr>
            <w:top w:val="none" w:sz="0" w:space="0" w:color="auto"/>
            <w:left w:val="none" w:sz="0" w:space="0" w:color="auto"/>
            <w:bottom w:val="none" w:sz="0" w:space="0" w:color="auto"/>
            <w:right w:val="none" w:sz="0" w:space="0" w:color="auto"/>
          </w:divBdr>
        </w:div>
        <w:div w:id="865869870">
          <w:marLeft w:val="547"/>
          <w:marRight w:val="0"/>
          <w:marTop w:val="106"/>
          <w:marBottom w:val="0"/>
          <w:divBdr>
            <w:top w:val="none" w:sz="0" w:space="0" w:color="auto"/>
            <w:left w:val="none" w:sz="0" w:space="0" w:color="auto"/>
            <w:bottom w:val="none" w:sz="0" w:space="0" w:color="auto"/>
            <w:right w:val="none" w:sz="0" w:space="0" w:color="auto"/>
          </w:divBdr>
        </w:div>
        <w:div w:id="865869873">
          <w:marLeft w:val="547"/>
          <w:marRight w:val="0"/>
          <w:marTop w:val="106"/>
          <w:marBottom w:val="0"/>
          <w:divBdr>
            <w:top w:val="none" w:sz="0" w:space="0" w:color="auto"/>
            <w:left w:val="none" w:sz="0" w:space="0" w:color="auto"/>
            <w:bottom w:val="none" w:sz="0" w:space="0" w:color="auto"/>
            <w:right w:val="none" w:sz="0" w:space="0" w:color="auto"/>
          </w:divBdr>
        </w:div>
      </w:divsChild>
    </w:div>
    <w:div w:id="865869840">
      <w:marLeft w:val="0"/>
      <w:marRight w:val="0"/>
      <w:marTop w:val="0"/>
      <w:marBottom w:val="0"/>
      <w:divBdr>
        <w:top w:val="none" w:sz="0" w:space="0" w:color="auto"/>
        <w:left w:val="none" w:sz="0" w:space="0" w:color="auto"/>
        <w:bottom w:val="none" w:sz="0" w:space="0" w:color="auto"/>
        <w:right w:val="none" w:sz="0" w:space="0" w:color="auto"/>
      </w:divBdr>
    </w:div>
    <w:div w:id="865869841">
      <w:marLeft w:val="0"/>
      <w:marRight w:val="0"/>
      <w:marTop w:val="0"/>
      <w:marBottom w:val="0"/>
      <w:divBdr>
        <w:top w:val="none" w:sz="0" w:space="0" w:color="auto"/>
        <w:left w:val="none" w:sz="0" w:space="0" w:color="auto"/>
        <w:bottom w:val="none" w:sz="0" w:space="0" w:color="auto"/>
        <w:right w:val="none" w:sz="0" w:space="0" w:color="auto"/>
      </w:divBdr>
    </w:div>
    <w:div w:id="865869843">
      <w:marLeft w:val="0"/>
      <w:marRight w:val="0"/>
      <w:marTop w:val="0"/>
      <w:marBottom w:val="0"/>
      <w:divBdr>
        <w:top w:val="none" w:sz="0" w:space="0" w:color="auto"/>
        <w:left w:val="none" w:sz="0" w:space="0" w:color="auto"/>
        <w:bottom w:val="none" w:sz="0" w:space="0" w:color="auto"/>
        <w:right w:val="none" w:sz="0" w:space="0" w:color="auto"/>
      </w:divBdr>
    </w:div>
    <w:div w:id="865869846">
      <w:marLeft w:val="0"/>
      <w:marRight w:val="0"/>
      <w:marTop w:val="0"/>
      <w:marBottom w:val="0"/>
      <w:divBdr>
        <w:top w:val="none" w:sz="0" w:space="0" w:color="auto"/>
        <w:left w:val="none" w:sz="0" w:space="0" w:color="auto"/>
        <w:bottom w:val="none" w:sz="0" w:space="0" w:color="auto"/>
        <w:right w:val="none" w:sz="0" w:space="0" w:color="auto"/>
      </w:divBdr>
    </w:div>
    <w:div w:id="865869848">
      <w:marLeft w:val="0"/>
      <w:marRight w:val="0"/>
      <w:marTop w:val="0"/>
      <w:marBottom w:val="0"/>
      <w:divBdr>
        <w:top w:val="none" w:sz="0" w:space="0" w:color="auto"/>
        <w:left w:val="none" w:sz="0" w:space="0" w:color="auto"/>
        <w:bottom w:val="none" w:sz="0" w:space="0" w:color="auto"/>
        <w:right w:val="none" w:sz="0" w:space="0" w:color="auto"/>
      </w:divBdr>
    </w:div>
    <w:div w:id="865869849">
      <w:marLeft w:val="0"/>
      <w:marRight w:val="0"/>
      <w:marTop w:val="0"/>
      <w:marBottom w:val="0"/>
      <w:divBdr>
        <w:top w:val="none" w:sz="0" w:space="0" w:color="auto"/>
        <w:left w:val="none" w:sz="0" w:space="0" w:color="auto"/>
        <w:bottom w:val="none" w:sz="0" w:space="0" w:color="auto"/>
        <w:right w:val="none" w:sz="0" w:space="0" w:color="auto"/>
      </w:divBdr>
    </w:div>
    <w:div w:id="865869852">
      <w:marLeft w:val="0"/>
      <w:marRight w:val="0"/>
      <w:marTop w:val="0"/>
      <w:marBottom w:val="0"/>
      <w:divBdr>
        <w:top w:val="none" w:sz="0" w:space="0" w:color="auto"/>
        <w:left w:val="none" w:sz="0" w:space="0" w:color="auto"/>
        <w:bottom w:val="none" w:sz="0" w:space="0" w:color="auto"/>
        <w:right w:val="none" w:sz="0" w:space="0" w:color="auto"/>
      </w:divBdr>
    </w:div>
    <w:div w:id="865869853">
      <w:marLeft w:val="0"/>
      <w:marRight w:val="0"/>
      <w:marTop w:val="0"/>
      <w:marBottom w:val="0"/>
      <w:divBdr>
        <w:top w:val="none" w:sz="0" w:space="0" w:color="auto"/>
        <w:left w:val="none" w:sz="0" w:space="0" w:color="auto"/>
        <w:bottom w:val="none" w:sz="0" w:space="0" w:color="auto"/>
        <w:right w:val="none" w:sz="0" w:space="0" w:color="auto"/>
      </w:divBdr>
    </w:div>
    <w:div w:id="865869855">
      <w:marLeft w:val="0"/>
      <w:marRight w:val="0"/>
      <w:marTop w:val="0"/>
      <w:marBottom w:val="0"/>
      <w:divBdr>
        <w:top w:val="none" w:sz="0" w:space="0" w:color="auto"/>
        <w:left w:val="none" w:sz="0" w:space="0" w:color="auto"/>
        <w:bottom w:val="none" w:sz="0" w:space="0" w:color="auto"/>
        <w:right w:val="none" w:sz="0" w:space="0" w:color="auto"/>
      </w:divBdr>
    </w:div>
    <w:div w:id="865869856">
      <w:marLeft w:val="0"/>
      <w:marRight w:val="0"/>
      <w:marTop w:val="0"/>
      <w:marBottom w:val="0"/>
      <w:divBdr>
        <w:top w:val="none" w:sz="0" w:space="0" w:color="auto"/>
        <w:left w:val="none" w:sz="0" w:space="0" w:color="auto"/>
        <w:bottom w:val="none" w:sz="0" w:space="0" w:color="auto"/>
        <w:right w:val="none" w:sz="0" w:space="0" w:color="auto"/>
      </w:divBdr>
      <w:divsChild>
        <w:div w:id="865869825">
          <w:marLeft w:val="547"/>
          <w:marRight w:val="0"/>
          <w:marTop w:val="106"/>
          <w:marBottom w:val="0"/>
          <w:divBdr>
            <w:top w:val="none" w:sz="0" w:space="0" w:color="auto"/>
            <w:left w:val="none" w:sz="0" w:space="0" w:color="auto"/>
            <w:bottom w:val="none" w:sz="0" w:space="0" w:color="auto"/>
            <w:right w:val="none" w:sz="0" w:space="0" w:color="auto"/>
          </w:divBdr>
        </w:div>
        <w:div w:id="865869827">
          <w:marLeft w:val="547"/>
          <w:marRight w:val="0"/>
          <w:marTop w:val="106"/>
          <w:marBottom w:val="0"/>
          <w:divBdr>
            <w:top w:val="none" w:sz="0" w:space="0" w:color="auto"/>
            <w:left w:val="none" w:sz="0" w:space="0" w:color="auto"/>
            <w:bottom w:val="none" w:sz="0" w:space="0" w:color="auto"/>
            <w:right w:val="none" w:sz="0" w:space="0" w:color="auto"/>
          </w:divBdr>
        </w:div>
        <w:div w:id="865869837">
          <w:marLeft w:val="547"/>
          <w:marRight w:val="0"/>
          <w:marTop w:val="106"/>
          <w:marBottom w:val="0"/>
          <w:divBdr>
            <w:top w:val="none" w:sz="0" w:space="0" w:color="auto"/>
            <w:left w:val="none" w:sz="0" w:space="0" w:color="auto"/>
            <w:bottom w:val="none" w:sz="0" w:space="0" w:color="auto"/>
            <w:right w:val="none" w:sz="0" w:space="0" w:color="auto"/>
          </w:divBdr>
        </w:div>
        <w:div w:id="865869845">
          <w:marLeft w:val="547"/>
          <w:marRight w:val="0"/>
          <w:marTop w:val="106"/>
          <w:marBottom w:val="0"/>
          <w:divBdr>
            <w:top w:val="none" w:sz="0" w:space="0" w:color="auto"/>
            <w:left w:val="none" w:sz="0" w:space="0" w:color="auto"/>
            <w:bottom w:val="none" w:sz="0" w:space="0" w:color="auto"/>
            <w:right w:val="none" w:sz="0" w:space="0" w:color="auto"/>
          </w:divBdr>
        </w:div>
        <w:div w:id="865869847">
          <w:marLeft w:val="547"/>
          <w:marRight w:val="0"/>
          <w:marTop w:val="106"/>
          <w:marBottom w:val="0"/>
          <w:divBdr>
            <w:top w:val="none" w:sz="0" w:space="0" w:color="auto"/>
            <w:left w:val="none" w:sz="0" w:space="0" w:color="auto"/>
            <w:bottom w:val="none" w:sz="0" w:space="0" w:color="auto"/>
            <w:right w:val="none" w:sz="0" w:space="0" w:color="auto"/>
          </w:divBdr>
        </w:div>
        <w:div w:id="865869862">
          <w:marLeft w:val="547"/>
          <w:marRight w:val="0"/>
          <w:marTop w:val="106"/>
          <w:marBottom w:val="0"/>
          <w:divBdr>
            <w:top w:val="none" w:sz="0" w:space="0" w:color="auto"/>
            <w:left w:val="none" w:sz="0" w:space="0" w:color="auto"/>
            <w:bottom w:val="none" w:sz="0" w:space="0" w:color="auto"/>
            <w:right w:val="none" w:sz="0" w:space="0" w:color="auto"/>
          </w:divBdr>
        </w:div>
        <w:div w:id="865869866">
          <w:marLeft w:val="547"/>
          <w:marRight w:val="0"/>
          <w:marTop w:val="106"/>
          <w:marBottom w:val="0"/>
          <w:divBdr>
            <w:top w:val="none" w:sz="0" w:space="0" w:color="auto"/>
            <w:left w:val="none" w:sz="0" w:space="0" w:color="auto"/>
            <w:bottom w:val="none" w:sz="0" w:space="0" w:color="auto"/>
            <w:right w:val="none" w:sz="0" w:space="0" w:color="auto"/>
          </w:divBdr>
        </w:div>
        <w:div w:id="865869874">
          <w:marLeft w:val="547"/>
          <w:marRight w:val="0"/>
          <w:marTop w:val="106"/>
          <w:marBottom w:val="0"/>
          <w:divBdr>
            <w:top w:val="none" w:sz="0" w:space="0" w:color="auto"/>
            <w:left w:val="none" w:sz="0" w:space="0" w:color="auto"/>
            <w:bottom w:val="none" w:sz="0" w:space="0" w:color="auto"/>
            <w:right w:val="none" w:sz="0" w:space="0" w:color="auto"/>
          </w:divBdr>
        </w:div>
        <w:div w:id="865869875">
          <w:marLeft w:val="547"/>
          <w:marRight w:val="0"/>
          <w:marTop w:val="106"/>
          <w:marBottom w:val="0"/>
          <w:divBdr>
            <w:top w:val="none" w:sz="0" w:space="0" w:color="auto"/>
            <w:left w:val="none" w:sz="0" w:space="0" w:color="auto"/>
            <w:bottom w:val="none" w:sz="0" w:space="0" w:color="auto"/>
            <w:right w:val="none" w:sz="0" w:space="0" w:color="auto"/>
          </w:divBdr>
        </w:div>
      </w:divsChild>
    </w:div>
    <w:div w:id="865869857">
      <w:marLeft w:val="0"/>
      <w:marRight w:val="0"/>
      <w:marTop w:val="0"/>
      <w:marBottom w:val="0"/>
      <w:divBdr>
        <w:top w:val="none" w:sz="0" w:space="0" w:color="auto"/>
        <w:left w:val="none" w:sz="0" w:space="0" w:color="auto"/>
        <w:bottom w:val="none" w:sz="0" w:space="0" w:color="auto"/>
        <w:right w:val="none" w:sz="0" w:space="0" w:color="auto"/>
      </w:divBdr>
    </w:div>
    <w:div w:id="865869861">
      <w:marLeft w:val="0"/>
      <w:marRight w:val="0"/>
      <w:marTop w:val="0"/>
      <w:marBottom w:val="0"/>
      <w:divBdr>
        <w:top w:val="none" w:sz="0" w:space="0" w:color="auto"/>
        <w:left w:val="none" w:sz="0" w:space="0" w:color="auto"/>
        <w:bottom w:val="none" w:sz="0" w:space="0" w:color="auto"/>
        <w:right w:val="none" w:sz="0" w:space="0" w:color="auto"/>
      </w:divBdr>
    </w:div>
    <w:div w:id="865869863">
      <w:marLeft w:val="0"/>
      <w:marRight w:val="0"/>
      <w:marTop w:val="0"/>
      <w:marBottom w:val="0"/>
      <w:divBdr>
        <w:top w:val="none" w:sz="0" w:space="0" w:color="auto"/>
        <w:left w:val="none" w:sz="0" w:space="0" w:color="auto"/>
        <w:bottom w:val="none" w:sz="0" w:space="0" w:color="auto"/>
        <w:right w:val="none" w:sz="0" w:space="0" w:color="auto"/>
      </w:divBdr>
    </w:div>
    <w:div w:id="865869864">
      <w:marLeft w:val="0"/>
      <w:marRight w:val="0"/>
      <w:marTop w:val="0"/>
      <w:marBottom w:val="0"/>
      <w:divBdr>
        <w:top w:val="none" w:sz="0" w:space="0" w:color="auto"/>
        <w:left w:val="none" w:sz="0" w:space="0" w:color="auto"/>
        <w:bottom w:val="none" w:sz="0" w:space="0" w:color="auto"/>
        <w:right w:val="none" w:sz="0" w:space="0" w:color="auto"/>
      </w:divBdr>
    </w:div>
    <w:div w:id="865869865">
      <w:marLeft w:val="0"/>
      <w:marRight w:val="0"/>
      <w:marTop w:val="0"/>
      <w:marBottom w:val="0"/>
      <w:divBdr>
        <w:top w:val="none" w:sz="0" w:space="0" w:color="auto"/>
        <w:left w:val="none" w:sz="0" w:space="0" w:color="auto"/>
        <w:bottom w:val="none" w:sz="0" w:space="0" w:color="auto"/>
        <w:right w:val="none" w:sz="0" w:space="0" w:color="auto"/>
      </w:divBdr>
    </w:div>
    <w:div w:id="865869867">
      <w:marLeft w:val="0"/>
      <w:marRight w:val="0"/>
      <w:marTop w:val="0"/>
      <w:marBottom w:val="0"/>
      <w:divBdr>
        <w:top w:val="none" w:sz="0" w:space="0" w:color="auto"/>
        <w:left w:val="none" w:sz="0" w:space="0" w:color="auto"/>
        <w:bottom w:val="none" w:sz="0" w:space="0" w:color="auto"/>
        <w:right w:val="none" w:sz="0" w:space="0" w:color="auto"/>
      </w:divBdr>
    </w:div>
    <w:div w:id="865869868">
      <w:marLeft w:val="0"/>
      <w:marRight w:val="0"/>
      <w:marTop w:val="0"/>
      <w:marBottom w:val="0"/>
      <w:divBdr>
        <w:top w:val="none" w:sz="0" w:space="0" w:color="auto"/>
        <w:left w:val="none" w:sz="0" w:space="0" w:color="auto"/>
        <w:bottom w:val="none" w:sz="0" w:space="0" w:color="auto"/>
        <w:right w:val="none" w:sz="0" w:space="0" w:color="auto"/>
      </w:divBdr>
    </w:div>
    <w:div w:id="865869869">
      <w:marLeft w:val="0"/>
      <w:marRight w:val="0"/>
      <w:marTop w:val="0"/>
      <w:marBottom w:val="0"/>
      <w:divBdr>
        <w:top w:val="none" w:sz="0" w:space="0" w:color="auto"/>
        <w:left w:val="none" w:sz="0" w:space="0" w:color="auto"/>
        <w:bottom w:val="none" w:sz="0" w:space="0" w:color="auto"/>
        <w:right w:val="none" w:sz="0" w:space="0" w:color="auto"/>
      </w:divBdr>
    </w:div>
    <w:div w:id="865869872">
      <w:marLeft w:val="0"/>
      <w:marRight w:val="0"/>
      <w:marTop w:val="0"/>
      <w:marBottom w:val="0"/>
      <w:divBdr>
        <w:top w:val="none" w:sz="0" w:space="0" w:color="auto"/>
        <w:left w:val="none" w:sz="0" w:space="0" w:color="auto"/>
        <w:bottom w:val="none" w:sz="0" w:space="0" w:color="auto"/>
        <w:right w:val="none" w:sz="0" w:space="0" w:color="auto"/>
      </w:divBdr>
      <w:divsChild>
        <w:div w:id="865869829">
          <w:marLeft w:val="547"/>
          <w:marRight w:val="0"/>
          <w:marTop w:val="106"/>
          <w:marBottom w:val="0"/>
          <w:divBdr>
            <w:top w:val="none" w:sz="0" w:space="0" w:color="auto"/>
            <w:left w:val="none" w:sz="0" w:space="0" w:color="auto"/>
            <w:bottom w:val="none" w:sz="0" w:space="0" w:color="auto"/>
            <w:right w:val="none" w:sz="0" w:space="0" w:color="auto"/>
          </w:divBdr>
        </w:div>
        <w:div w:id="865869830">
          <w:marLeft w:val="547"/>
          <w:marRight w:val="0"/>
          <w:marTop w:val="106"/>
          <w:marBottom w:val="0"/>
          <w:divBdr>
            <w:top w:val="none" w:sz="0" w:space="0" w:color="auto"/>
            <w:left w:val="none" w:sz="0" w:space="0" w:color="auto"/>
            <w:bottom w:val="none" w:sz="0" w:space="0" w:color="auto"/>
            <w:right w:val="none" w:sz="0" w:space="0" w:color="auto"/>
          </w:divBdr>
        </w:div>
        <w:div w:id="865869834">
          <w:marLeft w:val="547"/>
          <w:marRight w:val="0"/>
          <w:marTop w:val="106"/>
          <w:marBottom w:val="0"/>
          <w:divBdr>
            <w:top w:val="none" w:sz="0" w:space="0" w:color="auto"/>
            <w:left w:val="none" w:sz="0" w:space="0" w:color="auto"/>
            <w:bottom w:val="none" w:sz="0" w:space="0" w:color="auto"/>
            <w:right w:val="none" w:sz="0" w:space="0" w:color="auto"/>
          </w:divBdr>
        </w:div>
        <w:div w:id="865869835">
          <w:marLeft w:val="547"/>
          <w:marRight w:val="0"/>
          <w:marTop w:val="106"/>
          <w:marBottom w:val="0"/>
          <w:divBdr>
            <w:top w:val="none" w:sz="0" w:space="0" w:color="auto"/>
            <w:left w:val="none" w:sz="0" w:space="0" w:color="auto"/>
            <w:bottom w:val="none" w:sz="0" w:space="0" w:color="auto"/>
            <w:right w:val="none" w:sz="0" w:space="0" w:color="auto"/>
          </w:divBdr>
        </w:div>
        <w:div w:id="865869836">
          <w:marLeft w:val="547"/>
          <w:marRight w:val="0"/>
          <w:marTop w:val="106"/>
          <w:marBottom w:val="0"/>
          <w:divBdr>
            <w:top w:val="none" w:sz="0" w:space="0" w:color="auto"/>
            <w:left w:val="none" w:sz="0" w:space="0" w:color="auto"/>
            <w:bottom w:val="none" w:sz="0" w:space="0" w:color="auto"/>
            <w:right w:val="none" w:sz="0" w:space="0" w:color="auto"/>
          </w:divBdr>
        </w:div>
        <w:div w:id="865869844">
          <w:marLeft w:val="547"/>
          <w:marRight w:val="0"/>
          <w:marTop w:val="106"/>
          <w:marBottom w:val="0"/>
          <w:divBdr>
            <w:top w:val="none" w:sz="0" w:space="0" w:color="auto"/>
            <w:left w:val="none" w:sz="0" w:space="0" w:color="auto"/>
            <w:bottom w:val="none" w:sz="0" w:space="0" w:color="auto"/>
            <w:right w:val="none" w:sz="0" w:space="0" w:color="auto"/>
          </w:divBdr>
        </w:div>
        <w:div w:id="865869851">
          <w:marLeft w:val="547"/>
          <w:marRight w:val="0"/>
          <w:marTop w:val="106"/>
          <w:marBottom w:val="0"/>
          <w:divBdr>
            <w:top w:val="none" w:sz="0" w:space="0" w:color="auto"/>
            <w:left w:val="none" w:sz="0" w:space="0" w:color="auto"/>
            <w:bottom w:val="none" w:sz="0" w:space="0" w:color="auto"/>
            <w:right w:val="none" w:sz="0" w:space="0" w:color="auto"/>
          </w:divBdr>
        </w:div>
        <w:div w:id="865869858">
          <w:marLeft w:val="547"/>
          <w:marRight w:val="0"/>
          <w:marTop w:val="106"/>
          <w:marBottom w:val="0"/>
          <w:divBdr>
            <w:top w:val="none" w:sz="0" w:space="0" w:color="auto"/>
            <w:left w:val="none" w:sz="0" w:space="0" w:color="auto"/>
            <w:bottom w:val="none" w:sz="0" w:space="0" w:color="auto"/>
            <w:right w:val="none" w:sz="0" w:space="0" w:color="auto"/>
          </w:divBdr>
        </w:div>
        <w:div w:id="865869871">
          <w:marLeft w:val="547"/>
          <w:marRight w:val="0"/>
          <w:marTop w:val="106"/>
          <w:marBottom w:val="0"/>
          <w:divBdr>
            <w:top w:val="none" w:sz="0" w:space="0" w:color="auto"/>
            <w:left w:val="none" w:sz="0" w:space="0" w:color="auto"/>
            <w:bottom w:val="none" w:sz="0" w:space="0" w:color="auto"/>
            <w:right w:val="none" w:sz="0" w:space="0" w:color="auto"/>
          </w:divBdr>
        </w:div>
      </w:divsChild>
    </w:div>
    <w:div w:id="865869876">
      <w:marLeft w:val="0"/>
      <w:marRight w:val="0"/>
      <w:marTop w:val="0"/>
      <w:marBottom w:val="0"/>
      <w:divBdr>
        <w:top w:val="none" w:sz="0" w:space="0" w:color="auto"/>
        <w:left w:val="none" w:sz="0" w:space="0" w:color="auto"/>
        <w:bottom w:val="none" w:sz="0" w:space="0" w:color="auto"/>
        <w:right w:val="none" w:sz="0" w:space="0" w:color="auto"/>
      </w:divBdr>
    </w:div>
    <w:div w:id="865869877">
      <w:marLeft w:val="0"/>
      <w:marRight w:val="0"/>
      <w:marTop w:val="0"/>
      <w:marBottom w:val="0"/>
      <w:divBdr>
        <w:top w:val="none" w:sz="0" w:space="0" w:color="auto"/>
        <w:left w:val="none" w:sz="0" w:space="0" w:color="auto"/>
        <w:bottom w:val="none" w:sz="0" w:space="0" w:color="auto"/>
        <w:right w:val="none" w:sz="0" w:space="0" w:color="auto"/>
      </w:divBdr>
    </w:div>
    <w:div w:id="973558048">
      <w:bodyDiv w:val="1"/>
      <w:marLeft w:val="0"/>
      <w:marRight w:val="0"/>
      <w:marTop w:val="0"/>
      <w:marBottom w:val="0"/>
      <w:divBdr>
        <w:top w:val="none" w:sz="0" w:space="0" w:color="auto"/>
        <w:left w:val="none" w:sz="0" w:space="0" w:color="auto"/>
        <w:bottom w:val="none" w:sz="0" w:space="0" w:color="auto"/>
        <w:right w:val="none" w:sz="0" w:space="0" w:color="auto"/>
      </w:divBdr>
    </w:div>
    <w:div w:id="1139999447">
      <w:bodyDiv w:val="1"/>
      <w:marLeft w:val="0"/>
      <w:marRight w:val="0"/>
      <w:marTop w:val="0"/>
      <w:marBottom w:val="0"/>
      <w:divBdr>
        <w:top w:val="none" w:sz="0" w:space="0" w:color="auto"/>
        <w:left w:val="none" w:sz="0" w:space="0" w:color="auto"/>
        <w:bottom w:val="none" w:sz="0" w:space="0" w:color="auto"/>
        <w:right w:val="none" w:sz="0" w:space="0" w:color="auto"/>
      </w:divBdr>
    </w:div>
    <w:div w:id="1142698498">
      <w:bodyDiv w:val="1"/>
      <w:marLeft w:val="0"/>
      <w:marRight w:val="0"/>
      <w:marTop w:val="0"/>
      <w:marBottom w:val="0"/>
      <w:divBdr>
        <w:top w:val="none" w:sz="0" w:space="0" w:color="auto"/>
        <w:left w:val="none" w:sz="0" w:space="0" w:color="auto"/>
        <w:bottom w:val="none" w:sz="0" w:space="0" w:color="auto"/>
        <w:right w:val="none" w:sz="0" w:space="0" w:color="auto"/>
      </w:divBdr>
    </w:div>
    <w:div w:id="1154838717">
      <w:bodyDiv w:val="1"/>
      <w:marLeft w:val="0"/>
      <w:marRight w:val="0"/>
      <w:marTop w:val="0"/>
      <w:marBottom w:val="0"/>
      <w:divBdr>
        <w:top w:val="none" w:sz="0" w:space="0" w:color="auto"/>
        <w:left w:val="none" w:sz="0" w:space="0" w:color="auto"/>
        <w:bottom w:val="none" w:sz="0" w:space="0" w:color="auto"/>
        <w:right w:val="none" w:sz="0" w:space="0" w:color="auto"/>
      </w:divBdr>
    </w:div>
    <w:div w:id="1640453105">
      <w:bodyDiv w:val="1"/>
      <w:marLeft w:val="0"/>
      <w:marRight w:val="0"/>
      <w:marTop w:val="0"/>
      <w:marBottom w:val="0"/>
      <w:divBdr>
        <w:top w:val="none" w:sz="0" w:space="0" w:color="auto"/>
        <w:left w:val="none" w:sz="0" w:space="0" w:color="auto"/>
        <w:bottom w:val="none" w:sz="0" w:space="0" w:color="auto"/>
        <w:right w:val="none" w:sz="0" w:space="0" w:color="auto"/>
      </w:divBdr>
    </w:div>
    <w:div w:id="1737972719">
      <w:bodyDiv w:val="1"/>
      <w:marLeft w:val="0"/>
      <w:marRight w:val="0"/>
      <w:marTop w:val="0"/>
      <w:marBottom w:val="0"/>
      <w:divBdr>
        <w:top w:val="none" w:sz="0" w:space="0" w:color="auto"/>
        <w:left w:val="none" w:sz="0" w:space="0" w:color="auto"/>
        <w:bottom w:val="none" w:sz="0" w:space="0" w:color="auto"/>
        <w:right w:val="none" w:sz="0" w:space="0" w:color="auto"/>
      </w:divBdr>
    </w:div>
    <w:div w:id="186050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0-www.embase.com.library.ucc.ie/search/results" TargetMode="External"/><Relationship Id="rId18" Type="http://schemas.openxmlformats.org/officeDocument/2006/relationships/hyperlink" Target="http://0-www.embase.com.library.ucc.ie/search/results" TargetMode="External"/><Relationship Id="rId26" Type="http://schemas.openxmlformats.org/officeDocument/2006/relationships/hyperlink" Target="http://www.nice.org.uk" TargetMode="External"/><Relationship Id="rId3" Type="http://schemas.openxmlformats.org/officeDocument/2006/relationships/styles" Target="styles.xml"/><Relationship Id="rId21" Type="http://schemas.openxmlformats.org/officeDocument/2006/relationships/hyperlink" Target="http://0-www.embase.com.library.ucc.ie/search/results"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0-www.embase.com.library.ucc.ie/search/results" TargetMode="External"/><Relationship Id="rId17" Type="http://schemas.openxmlformats.org/officeDocument/2006/relationships/hyperlink" Target="http://0-www.embase.com.library.ucc.ie/search/results" TargetMode="External"/><Relationship Id="rId25" Type="http://schemas.openxmlformats.org/officeDocument/2006/relationships/hyperlink" Target="http://0-www.embase.com.library.ucc.ie/search/results" TargetMode="External"/><Relationship Id="rId33" Type="http://schemas.openxmlformats.org/officeDocument/2006/relationships/hyperlink" Target="http://guidance.nice.org.uk/CG113" TargetMode="External"/><Relationship Id="rId2" Type="http://schemas.openxmlformats.org/officeDocument/2006/relationships/numbering" Target="numbering.xml"/><Relationship Id="rId16" Type="http://schemas.openxmlformats.org/officeDocument/2006/relationships/hyperlink" Target="http://0-www.embase.com.library.ucc.ie/search/results" TargetMode="External"/><Relationship Id="rId20" Type="http://schemas.openxmlformats.org/officeDocument/2006/relationships/hyperlink" Target="http://0-www.embase.com.library.ucc.ie/search/results" TargetMode="External"/><Relationship Id="rId29" Type="http://schemas.openxmlformats.org/officeDocument/2006/relationships/hyperlink" Target="http://0-www.embase.com.library.ucc.ie/search/resul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0-www.embase.com.library.ucc.ie/search/results" TargetMode="External"/><Relationship Id="rId24" Type="http://schemas.openxmlformats.org/officeDocument/2006/relationships/hyperlink" Target="http://0-www.embase.com.library.ucc.ie/search/results?subaction=viewrecord&amp;id=L44956798&amp;from=clipboard&amp;L44956798" TargetMode="External"/><Relationship Id="rId32" Type="http://schemas.openxmlformats.org/officeDocument/2006/relationships/hyperlink" Target="http://www.who.int/medicines/areas/quality_safety/Scoping_WHO_GLs_PersistPainAdults_webversion.pdf" TargetMode="External"/><Relationship Id="rId5" Type="http://schemas.openxmlformats.org/officeDocument/2006/relationships/settings" Target="settings.xml"/><Relationship Id="rId15" Type="http://schemas.openxmlformats.org/officeDocument/2006/relationships/hyperlink" Target="http://0-www.embase.com.library.ucc.ie/search/results" TargetMode="External"/><Relationship Id="rId23" Type="http://schemas.openxmlformats.org/officeDocument/2006/relationships/hyperlink" Target="http://0-www.embase.com.library.ucc.ie/search/results?subaction=viewrecord&amp;id=L358740034&amp;from=clipboard&amp;L358740034" TargetMode="External"/><Relationship Id="rId28" Type="http://schemas.openxmlformats.org/officeDocument/2006/relationships/hyperlink" Target="http://0-www.embase.com.library.ucc.ie/search/results" TargetMode="External"/><Relationship Id="rId36" Type="http://schemas.openxmlformats.org/officeDocument/2006/relationships/theme" Target="theme/theme1.xml"/><Relationship Id="rId10" Type="http://schemas.openxmlformats.org/officeDocument/2006/relationships/hyperlink" Target="http://0-www.embase.com.library.ucc.ie/search/results" TargetMode="External"/><Relationship Id="rId19" Type="http://schemas.openxmlformats.org/officeDocument/2006/relationships/hyperlink" Target="http://0-www.embase.com.library.ucc.ie/search/results" TargetMode="External"/><Relationship Id="rId31" Type="http://schemas.openxmlformats.org/officeDocument/2006/relationships/hyperlink" Target="http://0-www.embase.com.library.ucc.ie/search/results" TargetMode="External"/><Relationship Id="rId4" Type="http://schemas.microsoft.com/office/2007/relationships/stylesWithEffects" Target="stylesWithEffects.xml"/><Relationship Id="rId9" Type="http://schemas.openxmlformats.org/officeDocument/2006/relationships/hyperlink" Target="http://ageing.oxfordjournals.org" TargetMode="External"/><Relationship Id="rId14" Type="http://schemas.openxmlformats.org/officeDocument/2006/relationships/hyperlink" Target="http://0-www.embase.com.library.ucc.ie/search/results" TargetMode="External"/><Relationship Id="rId22" Type="http://schemas.openxmlformats.org/officeDocument/2006/relationships/hyperlink" Target="http://0-www.embase.com.library.ucc.ie/search/results" TargetMode="External"/><Relationship Id="rId27" Type="http://schemas.openxmlformats.org/officeDocument/2006/relationships/hyperlink" Target="http://onlinelibrary.wiley.com/o/cochrane/clabout/articles/UPPERGI/frame.html" TargetMode="External"/><Relationship Id="rId30" Type="http://schemas.openxmlformats.org/officeDocument/2006/relationships/hyperlink" Target="http://0-www.embase.com.library.ucc.ie/search/result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FEBBA-0AFF-4CC0-A481-26B4DF4F8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46</Pages>
  <Words>14888</Words>
  <Characters>95253</Characters>
  <Application>Microsoft Office Word</Application>
  <DocSecurity>0</DocSecurity>
  <Lines>793</Lines>
  <Paragraphs>219</Paragraphs>
  <ScaleCrop>false</ScaleCrop>
  <HeadingPairs>
    <vt:vector size="2" baseType="variant">
      <vt:variant>
        <vt:lpstr>Title</vt:lpstr>
      </vt:variant>
      <vt:variant>
        <vt:i4>1</vt:i4>
      </vt:variant>
    </vt:vector>
  </HeadingPairs>
  <TitlesOfParts>
    <vt:vector size="1" baseType="lpstr">
      <vt:lpstr>Title: STOPP &amp; START criteria for potentially inappropriate prescribing in older people: Version 2</vt:lpstr>
    </vt:vector>
  </TitlesOfParts>
  <Company>University College Cork</Company>
  <LinksUpToDate>false</LinksUpToDate>
  <CharactersWithSpaces>109922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STOPP &amp; START criteria for potentially inappropriate prescribing in older people: Version 2</dc:title>
  <dc:creator>Dixons Travel</dc:creator>
  <cp:lastModifiedBy>AK_Bright</cp:lastModifiedBy>
  <cp:revision>4</cp:revision>
  <cp:lastPrinted>2014-02-22T21:20:00Z</cp:lastPrinted>
  <dcterms:created xsi:type="dcterms:W3CDTF">2014-10-15T07:03:00Z</dcterms:created>
  <dcterms:modified xsi:type="dcterms:W3CDTF">2014-10-15T07:08:00Z</dcterms:modified>
</cp:coreProperties>
</file>