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Representing the Dynamics of Translation with Dynamic RDGs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information in an mRNA transcript is decoded by the ribosome in </w:t>
        <w:br/>
        <w:t xml:space="preserve">order to create proteins.  The advent of ribosome profiling has shown </w:t>
        <w:br/>
        <w:t xml:space="preserve">that a single transcript may have multiple alternative start sites which </w:t>
        <w:br/>
        <w:t xml:space="preserve">lead to transcripts with complex translon architectures. Each translon </w:t>
        <w:br/>
        <w:t xml:space="preserve">can serve to produce a functional peptide, regulate the translation of </w:t>
        <w:br/>
        <w:t xml:space="preserve">other translons or may even perform both functions. Ribosome Decision </w:t>
        <w:br/>
        <w:t xml:space="preserve">Graphs (RDGs) (Tierney et al., 2024) allow the representation of the </w:t>
        <w:br/>
        <w:t xml:space="preserve">choices of a ribosome as it reads a transcript, by presenting translon </w:t>
        <w:br/>
        <w:t>architecture as a single graph object.</w:t>
        <w:br/>
        <w:br/>
        <w:t xml:space="preserve">Here we present Dynamic RDGs as an update to this concept. These extend </w:t>
        <w:br/>
        <w:t xml:space="preserve">the usefulness of the original RDGs by providing information about the </w:t>
        <w:br/>
        <w:t xml:space="preserve">proportion of ribosomes that choose a particular path. They differ also </w:t>
        <w:br/>
        <w:t xml:space="preserve">by considering the particular state and nucleotide position of the </w:t>
        <w:br/>
        <w:t xml:space="preserve">ribosome as a unique position in a theoretical ribosomal phase space. </w:t>
        <w:br/>
        <w:t xml:space="preserve">Paths of ribosomes are mapped onto this space, which can be infinitely </w:t>
        <w:br/>
        <w:t xml:space="preserve">extended to include all possible states of the ribosome. We show how </w:t>
        <w:br/>
        <w:t xml:space="preserve">this framework can be used to model the progression of ribosomes through </w:t>
        <w:br/>
        <w:t xml:space="preserve">different states as they move along the transcript. We also present a </w:t>
        <w:br/>
        <w:t xml:space="preserve">package that enables the easy generation, manipulation and visualisation </w:t>
        <w:br/>
        <w:t>of these graph structures.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218</Words>
  <Characters>1177</Characters>
  <CharactersWithSpaces>1414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2026-06-12T19:48:46Z</dcterms:created>
  <dc:creator/>
  <dc:description/>
  <dc:language>en-US</dc:language>
  <cp:lastModifiedBy/>
  <dcterms:modified xsi:type="dcterms:W3CDTF">2026-06-12T19:49:55Z</dcterms:modified>
  <cp:revision>1</cp:revision>
  <dc:subject/>
  <dc:title/>
</cp:coreProperties>
</file>