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861751" w14:textId="12EB4660" w:rsidR="0073502D" w:rsidRDefault="0073502D">
      <w:pPr>
        <w:rPr>
          <w:lang w:val="en-US"/>
        </w:rPr>
      </w:pPr>
      <w:r w:rsidRPr="0073502D">
        <w:rPr>
          <w:lang w:val="en-US"/>
        </w:rPr>
        <w:t>Uncovering a cellular mechanism that enhances mRNA vaccines</w:t>
      </w:r>
    </w:p>
    <w:p w14:paraId="0E1E21CE" w14:textId="77777777" w:rsidR="0073502D" w:rsidRDefault="0073502D">
      <w:pPr>
        <w:rPr>
          <w:lang w:val="en-US"/>
        </w:rPr>
      </w:pPr>
    </w:p>
    <w:p w14:paraId="26E4B548" w14:textId="19508EE1" w:rsidR="00B476AD" w:rsidRPr="007A31D1" w:rsidRDefault="007A31D1">
      <w:pPr>
        <w:rPr>
          <w:lang w:val="en-US"/>
        </w:rPr>
      </w:pPr>
      <w:r w:rsidRPr="007A31D1">
        <w:rPr>
          <w:lang w:val="en-US"/>
        </w:rPr>
        <w:t xml:space="preserve">TENT5 proteins function as non-canonical poly(A) polymerases that selectively re-adenylate mRNAs encoding secreted proteins, enhancing their stability and translation. Following our previous work on TENT5 function in immunity, we investigated how TENT5A influences the efficacy of mRNA therapeutics. Using primary macrophages and vaccines encoding viral and parasitic antigens, we assessed mRNA poly(A) tail dynamics, antigen output, and immune response. We also evaluated the spatial dependency of re-adenylation in the </w:t>
      </w:r>
      <w:r>
        <w:rPr>
          <w:lang w:val="en-US"/>
        </w:rPr>
        <w:t>endoplasmic reticulum (</w:t>
      </w:r>
      <w:r w:rsidRPr="007A31D1">
        <w:rPr>
          <w:lang w:val="en-US"/>
        </w:rPr>
        <w:t>ER</w:t>
      </w:r>
      <w:r>
        <w:rPr>
          <w:lang w:val="en-US"/>
        </w:rPr>
        <w:t>)</w:t>
      </w:r>
      <w:r w:rsidRPr="007A31D1">
        <w:rPr>
          <w:lang w:val="en-US"/>
        </w:rPr>
        <w:t xml:space="preserve"> by disrupting the interaction with FNDC3, a docking protein critical for TENT5A localisation. Upon delivery, TENT5A-dependent re-adenylation enhanced mRNA stability, resulting in increased antigen production and elevated IgG levels. The ER localisation of TENT5A via FNDC3 proved essential for this process, highlighting a previously unrecognised spatial dimension of post-transcriptional regulation. To further explore translational outcomes, we applied </w:t>
      </w:r>
      <w:r>
        <w:rPr>
          <w:lang w:val="en-US"/>
        </w:rPr>
        <w:t xml:space="preserve">the </w:t>
      </w:r>
      <w:r w:rsidRPr="007A31D1">
        <w:rPr>
          <w:lang w:val="en-US"/>
        </w:rPr>
        <w:t xml:space="preserve">ribosome </w:t>
      </w:r>
      <w:r>
        <w:rPr>
          <w:lang w:val="en-US"/>
        </w:rPr>
        <w:t>profiling (Ribo-seq)</w:t>
      </w:r>
      <w:r w:rsidRPr="007A31D1">
        <w:rPr>
          <w:lang w:val="en-US"/>
        </w:rPr>
        <w:t xml:space="preserve"> method to quantify ribosome occupancy and distribution across different mRNA constructs. Interestingly, our </w:t>
      </w:r>
      <w:r>
        <w:rPr>
          <w:lang w:val="en-US"/>
        </w:rPr>
        <w:t>Ribo-seq data</w:t>
      </w:r>
      <w:r w:rsidRPr="007A31D1">
        <w:rPr>
          <w:lang w:val="en-US"/>
        </w:rPr>
        <w:t xml:space="preserve"> revealed distinct translational dynamics between two clinically approved SARS-CoV-2 vaccines, suggesting that subtle differences in mRNA design affect translational efficiency in vivo.</w:t>
      </w:r>
    </w:p>
    <w:sectPr w:rsidR="00B476AD" w:rsidRPr="007A31D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5FFD"/>
    <w:rsid w:val="00062BBF"/>
    <w:rsid w:val="000A250B"/>
    <w:rsid w:val="000A5FFD"/>
    <w:rsid w:val="003247DC"/>
    <w:rsid w:val="0073502D"/>
    <w:rsid w:val="007A31D1"/>
    <w:rsid w:val="00B476AD"/>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00FA8"/>
  <w15:chartTrackingRefBased/>
  <w15:docId w15:val="{BC3BA566-05BA-44E7-A0BC-3C372605F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0A5F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0A5F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0A5FFD"/>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0A5FFD"/>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0A5FFD"/>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0A5FFD"/>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0A5FFD"/>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0A5FFD"/>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0A5FFD"/>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0A5FFD"/>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0A5FFD"/>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0A5FFD"/>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0A5FFD"/>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0A5FFD"/>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0A5FFD"/>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0A5FFD"/>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0A5FFD"/>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0A5FFD"/>
    <w:rPr>
      <w:rFonts w:eastAsiaTheme="majorEastAsia" w:cstheme="majorBidi"/>
      <w:color w:val="272727" w:themeColor="text1" w:themeTint="D8"/>
    </w:rPr>
  </w:style>
  <w:style w:type="paragraph" w:styleId="Tytu">
    <w:name w:val="Title"/>
    <w:basedOn w:val="Normalny"/>
    <w:next w:val="Normalny"/>
    <w:link w:val="TytuZnak"/>
    <w:uiPriority w:val="10"/>
    <w:qFormat/>
    <w:rsid w:val="000A5F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0A5FFD"/>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0A5FFD"/>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0A5FFD"/>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0A5FFD"/>
    <w:pPr>
      <w:spacing w:before="160"/>
      <w:jc w:val="center"/>
    </w:pPr>
    <w:rPr>
      <w:i/>
      <w:iCs/>
      <w:color w:val="404040" w:themeColor="text1" w:themeTint="BF"/>
    </w:rPr>
  </w:style>
  <w:style w:type="character" w:customStyle="1" w:styleId="CytatZnak">
    <w:name w:val="Cytat Znak"/>
    <w:basedOn w:val="Domylnaczcionkaakapitu"/>
    <w:link w:val="Cytat"/>
    <w:uiPriority w:val="29"/>
    <w:rsid w:val="000A5FFD"/>
    <w:rPr>
      <w:i/>
      <w:iCs/>
      <w:color w:val="404040" w:themeColor="text1" w:themeTint="BF"/>
    </w:rPr>
  </w:style>
  <w:style w:type="paragraph" w:styleId="Akapitzlist">
    <w:name w:val="List Paragraph"/>
    <w:basedOn w:val="Normalny"/>
    <w:uiPriority w:val="34"/>
    <w:qFormat/>
    <w:rsid w:val="000A5FFD"/>
    <w:pPr>
      <w:ind w:left="720"/>
      <w:contextualSpacing/>
    </w:pPr>
  </w:style>
  <w:style w:type="character" w:styleId="Wyrnienieintensywne">
    <w:name w:val="Intense Emphasis"/>
    <w:basedOn w:val="Domylnaczcionkaakapitu"/>
    <w:uiPriority w:val="21"/>
    <w:qFormat/>
    <w:rsid w:val="000A5FFD"/>
    <w:rPr>
      <w:i/>
      <w:iCs/>
      <w:color w:val="0F4761" w:themeColor="accent1" w:themeShade="BF"/>
    </w:rPr>
  </w:style>
  <w:style w:type="paragraph" w:styleId="Cytatintensywny">
    <w:name w:val="Intense Quote"/>
    <w:basedOn w:val="Normalny"/>
    <w:next w:val="Normalny"/>
    <w:link w:val="CytatintensywnyZnak"/>
    <w:uiPriority w:val="30"/>
    <w:qFormat/>
    <w:rsid w:val="000A5F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0A5FFD"/>
    <w:rPr>
      <w:i/>
      <w:iCs/>
      <w:color w:val="0F4761" w:themeColor="accent1" w:themeShade="BF"/>
    </w:rPr>
  </w:style>
  <w:style w:type="character" w:styleId="Odwoanieintensywne">
    <w:name w:val="Intense Reference"/>
    <w:basedOn w:val="Domylnaczcionkaakapitu"/>
    <w:uiPriority w:val="32"/>
    <w:qFormat/>
    <w:rsid w:val="000A5F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1</Pages>
  <Words>200</Words>
  <Characters>1205</Characters>
  <Application>Microsoft Office Word</Application>
  <DocSecurity>0</DocSecurity>
  <Lines>10</Lines>
  <Paragraphs>2</Paragraphs>
  <ScaleCrop>false</ScaleCrop>
  <Company/>
  <LinksUpToDate>false</LinksUpToDate>
  <CharactersWithSpaces>1403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Wiktoria Orzeł</dc:creator>
  <cp:keywords/>
  <dc:description/>
  <cp:lastModifiedBy>Wiktoria Orzeł</cp:lastModifiedBy>
  <cp:revision>3</cp:revision>
  <dcterms:created xsi:type="dcterms:W3CDTF">2026-06-02T09:11:00Z</dcterms:created>
  <dcterms:modified xsi:type="dcterms:W3CDTF">2026-06-02T11:06:00Z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59c1ca0c-8680-4934-9149-9438512048f4</vt:lpwstr>
  </property>
</Properties>
</file>