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 xml:space="preserve">AAV-based gene therapy using protein-coding circRNA </w:t>
      </w:r>
    </w:p>
    <w:p>
      <w:pPr>
        <w:pStyle w:val="BodyText"/>
        <w:bidi w:val="0"/>
        <w:spacing w:lineRule="auto" w:line="276" w:before="0" w:after="140"/>
        <w:jc w:val="start"/>
        <w:rPr/>
      </w:pPr>
      <w:r>
        <w:rPr/>
      </w:r>
    </w:p>
    <w:p>
      <w:pPr>
        <w:pStyle w:val="BodyText"/>
        <w:bidi w:val="0"/>
        <w:spacing w:lineRule="auto" w:line="276" w:before="0" w:after="140"/>
        <w:jc w:val="start"/>
        <w:rPr/>
      </w:pPr>
      <w:r>
        <w:rPr/>
        <w:t xml:space="preserve">Circular RNAs (circRNAs) are endogenous RNA transcripts characterized by intrinsic resistance to exonucleolytic degradation, resulting in prolonged intracellular stability compared to linear mRNA. Although endogenously expressed circRNAs are typically non-coding, flaws in statistical analyses may have in some cases falsely classified a subset of circRNAs as protein-coding, underscoring the importance of rigorous evaluation of the coding potential of non-canonical RNA species. </w:t>
      </w:r>
    </w:p>
    <w:p>
      <w:pPr>
        <w:pStyle w:val="BodyText"/>
        <w:bidi w:val="0"/>
        <w:spacing w:lineRule="auto" w:line="276" w:before="0" w:after="140"/>
        <w:jc w:val="start"/>
        <w:rPr/>
      </w:pPr>
      <w:r>
        <w:rPr/>
        <w:t xml:space="preserve">However, recent advances in circRNA engineering have enabled effective cap-independent translation of circRNAs and positioned the circRNA technology as a promising next-generation therapeutic modality capable of durable protein expression at low doses. </w:t>
      </w:r>
    </w:p>
    <w:p>
      <w:pPr>
        <w:pStyle w:val="BodyText"/>
        <w:bidi w:val="0"/>
        <w:spacing w:lineRule="auto" w:line="276" w:before="0" w:after="140"/>
        <w:jc w:val="start"/>
        <w:rPr/>
      </w:pPr>
      <w:r>
        <w:rPr/>
        <w:t xml:space="preserve">At Circio, we are developing circVec, a modular gene expression platform engineered to enhance payload expression through intracellular generation of protein-coding circRNA. circVec leverages spliceosome-mediated circRNA biogenesis from viral and non-viral DNA vectors, enabling sustained gene expression through the intrinsic stability and exonuclease resistance of circRNA transcripts. Systematic optimization of circVec architecture identified key regulatory elements that markedly improve expression efficiency. The latest-generation construct, circVec4.0, achieves up to 37x higher protein expression compared with early constructs and outperforms conventional linear mRNA expression vectors (mVec) in both expression magnitude and durability. </w:t>
      </w:r>
    </w:p>
    <w:p>
      <w:pPr>
        <w:pStyle w:val="BodyText"/>
        <w:bidi w:val="0"/>
        <w:spacing w:lineRule="auto" w:line="276" w:before="0" w:after="140"/>
        <w:jc w:val="start"/>
        <w:rPr/>
      </w:pPr>
      <w:r>
        <w:rPr/>
        <w:t xml:space="preserve">In vivo, circVec enables robust, dose-dependent enhancement of AAV transgene expression across tissues, serotypes, and promoters. In both heart and eye, circVec-AAV vectors yield markedly higher luciferase expression than mVec-AAV across all dose levels with a significant increase of RNA steady state levels. These findings indicate that the enhanced expression is driven primarily by increased RNA stability and transcript accumulation rather than improved transduction efficiency. Moreover, circVec shows higher on-tissue expression, likely due to reduced circRNA stability in the liver, and despite the enhanced expression profile, cellular stress pathways, such as the unfolded protein response (UPR), are unaffected or less activated compared to the benchmark mVec-AAV. </w:t>
      </w:r>
    </w:p>
    <w:p>
      <w:pPr>
        <w:pStyle w:val="BodyText"/>
        <w:bidi w:val="0"/>
        <w:spacing w:lineRule="auto" w:line="276" w:before="0" w:after="140"/>
        <w:jc w:val="start"/>
        <w:rPr/>
      </w:pPr>
      <w:r>
        <w:rPr/>
        <w:t>The therapeutic efficacy of adeno-associated virus (AAV) gene therapy is often constrained by inefficient and variable transgene expression, necessitating high clinical doses which can cause severe toxicities and narrow the therapeutic window. However, by using circVec-based AAV gene expression as a next-generation gene therapy platform, may enable substantial transgene expression enhancements with reduced cellular stress and dose reduction potential, supporting the development of safer and more effective therapies for rare and chronic diseases, particularly within the heart and eye.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374</Words>
  <Characters>2528</Characters>
  <CharactersWithSpaces>2901</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2026-06-19T15:10:17Z</dcterms:created>
  <dc:creator/>
  <dc:description/>
  <dc:language>en-US</dc:language>
  <cp:lastModifiedBy/>
  <dcterms:modified xsi:type="dcterms:W3CDTF">2026-06-19T15:10:53Z</dcterms:modified>
  <cp:revision>1</cp:revision>
  <dc:subject/>
  <dc:title/>
</cp:coreProperties>
</file>