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56" w:before="0" w:after="160"/>
        <w:ind w:hanging="0" w:start="0" w:end="0"/>
        <w:jc w:val="start"/>
        <w:rPr>
          <w:rFonts w:ascii="Aptos;sans-serif" w:hAnsi="Aptos;sans-serif"/>
          <w:b/>
          <w:bCs/>
          <w:sz w:val="22"/>
        </w:rPr>
      </w:pPr>
      <w:r>
        <w:rPr>
          <w:rFonts w:ascii="Aptos;sans-serif" w:hAnsi="Aptos;sans-serif"/>
          <w:b/>
          <w:bCs/>
          <w:sz w:val="22"/>
        </w:rPr>
        <w:t xml:space="preserve">An evolutionary conserved translon mediates start site selection in </w:t>
      </w:r>
      <w:r>
        <w:rPr>
          <w:rFonts w:ascii="Aptos;sans-serif" w:hAnsi="Aptos;sans-serif"/>
          <w:b/>
          <w:bCs/>
          <w:i/>
          <w:sz w:val="22"/>
        </w:rPr>
        <w:t>BAG1</w:t>
      </w:r>
      <w:r>
        <w:rPr>
          <w:rFonts w:ascii="Aptos;sans-serif" w:hAnsi="Aptos;sans-serif"/>
          <w:b/>
          <w:bCs/>
          <w:sz w:val="22"/>
        </w:rPr>
        <w:t xml:space="preserve"> mRNA.</w:t>
      </w:r>
    </w:p>
    <w:p>
      <w:pPr>
        <w:pStyle w:val="BodyText"/>
        <w:bidi w:val="0"/>
        <w:spacing w:lineRule="auto" w:line="256" w:before="0" w:after="160"/>
        <w:ind w:hanging="0" w:start="0" w:end="0"/>
        <w:jc w:val="both"/>
        <w:rPr>
          <w:rFonts w:ascii="Aptos;sans-serif" w:hAnsi="Aptos;sans-serif"/>
          <w:sz w:val="22"/>
        </w:rPr>
      </w:pPr>
      <w:r>
        <w:rPr>
          <w:rFonts w:ascii="Aptos;sans-serif" w:hAnsi="Aptos;sans-serif"/>
          <w:sz w:val="22"/>
        </w:rPr>
        <w:t xml:space="preserve">In </w:t>
      </w:r>
      <w:r>
        <w:rPr>
          <w:rFonts w:ascii="Aptos;sans-serif" w:hAnsi="Aptos;sans-serif"/>
          <w:i/>
          <w:sz w:val="22"/>
        </w:rPr>
        <w:t>BAG1</w:t>
      </w:r>
      <w:r>
        <w:rPr>
          <w:rFonts w:ascii="Aptos;sans-serif" w:hAnsi="Aptos;sans-serif"/>
          <w:sz w:val="22"/>
        </w:rPr>
        <w:t xml:space="preserve"> (</w:t>
      </w:r>
      <w:r>
        <w:rPr>
          <w:rFonts w:ascii="Aptos;sans-serif" w:hAnsi="Aptos;sans-serif"/>
          <w:i/>
          <w:sz w:val="22"/>
        </w:rPr>
        <w:t>BCL2-associated athanogene</w:t>
      </w:r>
      <w:r>
        <w:rPr>
          <w:rFonts w:ascii="Aptos;sans-serif" w:hAnsi="Aptos;sans-serif"/>
          <w:sz w:val="22"/>
        </w:rPr>
        <w:t xml:space="preserve">) mRNA, at least three start codons initiate translation within the main protein coding frame, generating protein isoforms with alternative N-termini. The efficiency of start site selection determines the relative abundance of these isoforms, which differ in their subcellular localisation and binding partners. Regulation of start site selection in </w:t>
      </w:r>
      <w:r>
        <w:rPr>
          <w:rFonts w:ascii="Aptos;sans-serif" w:hAnsi="Aptos;sans-serif"/>
          <w:i/>
          <w:sz w:val="22"/>
        </w:rPr>
        <w:t>BAG1</w:t>
      </w:r>
      <w:r>
        <w:rPr>
          <w:rFonts w:ascii="Aptos;sans-serif" w:hAnsi="Aptos;sans-serif"/>
          <w:sz w:val="22"/>
        </w:rPr>
        <w:t xml:space="preserve"> mRNA has been extensively studied under normal and stress conditions, revealing a complex interplay between RNA secondary structure and translon architecture.</w:t>
      </w:r>
    </w:p>
    <w:p>
      <w:pPr>
        <w:pStyle w:val="BodyText"/>
        <w:bidi w:val="0"/>
        <w:spacing w:lineRule="auto" w:line="256" w:before="0" w:after="160"/>
        <w:ind w:hanging="0" w:start="0" w:end="0"/>
        <w:jc w:val="both"/>
        <w:rPr>
          <w:rFonts w:ascii="Aptos;sans-serif" w:hAnsi="Aptos;sans-serif"/>
          <w:sz w:val="22"/>
        </w:rPr>
      </w:pPr>
      <w:r>
        <w:rPr>
          <w:rFonts w:ascii="Aptos;sans-serif" w:hAnsi="Aptos;sans-serif"/>
          <w:sz w:val="22"/>
        </w:rPr>
        <w:t xml:space="preserve">Leveraging the recent wealth of aggregated ribosome profiling data, we identify a role for a 16-codon translon (nested within the 5′ region of the sequence encoding the longest BAG1 protein isoform, and upstream of the sequence encoding the shorter isoforms) in selection of translation initiation sites within the </w:t>
      </w:r>
      <w:r>
        <w:rPr>
          <w:rFonts w:ascii="Aptos;sans-serif" w:hAnsi="Aptos;sans-serif"/>
          <w:i/>
          <w:sz w:val="22"/>
        </w:rPr>
        <w:t>BAG1</w:t>
      </w:r>
      <w:r>
        <w:rPr>
          <w:rFonts w:ascii="Aptos;sans-serif" w:hAnsi="Aptos;sans-serif"/>
          <w:sz w:val="22"/>
        </w:rPr>
        <w:t xml:space="preserve"> protein coding frame. Aggregated ribosome profiling data reveal extensive translation of this short translon from the AUG most proximal to the 5′ end of </w:t>
      </w:r>
      <w:r>
        <w:rPr>
          <w:rFonts w:ascii="Aptos;sans-serif" w:hAnsi="Aptos;sans-serif"/>
          <w:i/>
          <w:sz w:val="22"/>
        </w:rPr>
        <w:t>BAG1</w:t>
      </w:r>
      <w:r>
        <w:rPr>
          <w:rFonts w:ascii="Aptos;sans-serif" w:hAnsi="Aptos;sans-serif"/>
          <w:sz w:val="22"/>
        </w:rPr>
        <w:t xml:space="preserve"> mRNA. Notably, the sequence conservation of this translon exceeds that of the </w:t>
      </w:r>
      <w:r>
        <w:rPr>
          <w:rFonts w:ascii="Aptos;sans-serif" w:hAnsi="Aptos;sans-serif"/>
          <w:i/>
          <w:sz w:val="22"/>
        </w:rPr>
        <w:t>BAG1</w:t>
      </w:r>
      <w:r>
        <w:rPr>
          <w:rFonts w:ascii="Aptos;sans-serif" w:hAnsi="Aptos;sans-serif"/>
          <w:sz w:val="22"/>
        </w:rPr>
        <w:t xml:space="preserve"> coding sequence across the first part of the coding region.</w:t>
      </w:r>
    </w:p>
    <w:p>
      <w:pPr>
        <w:pStyle w:val="BodyText"/>
        <w:bidi w:val="0"/>
        <w:spacing w:lineRule="auto" w:line="256" w:before="0" w:after="160"/>
        <w:ind w:hanging="0" w:start="0" w:end="0"/>
        <w:jc w:val="both"/>
        <w:rPr>
          <w:rFonts w:ascii="Aptos;sans-serif" w:hAnsi="Aptos;sans-serif"/>
          <w:sz w:val="22"/>
        </w:rPr>
      </w:pPr>
      <w:r>
        <w:rPr>
          <w:rFonts w:ascii="Aptos;sans-serif" w:hAnsi="Aptos;sans-serif"/>
          <w:sz w:val="22"/>
        </w:rPr>
        <w:t xml:space="preserve">We show that translation of the conserved 16-codon translon exerts complex effects on start site selection in </w:t>
      </w:r>
      <w:r>
        <w:rPr>
          <w:rFonts w:ascii="Aptos;sans-serif" w:hAnsi="Aptos;sans-serif"/>
          <w:i/>
          <w:sz w:val="22"/>
        </w:rPr>
        <w:t>BAG1</w:t>
      </w:r>
      <w:r>
        <w:rPr>
          <w:rFonts w:ascii="Aptos;sans-serif" w:hAnsi="Aptos;sans-serif"/>
          <w:sz w:val="22"/>
        </w:rPr>
        <w:t xml:space="preserve"> mRNA. While its translation inhibits initiation at AUG1 in the BAG1 encoding frame, it also facilitates translation from AUG2 in the BAG1 encoding frame through reinitiation. In addition, the short translon appears to have a stimulatory effect on upstream CUG-initiated translation, as evidenced by TCP-seq data.</w:t>
      </w:r>
    </w:p>
    <w:p>
      <w:pPr>
        <w:pStyle w:val="BodyText"/>
        <w:bidi w:val="0"/>
        <w:spacing w:lineRule="auto" w:line="256" w:before="0" w:after="160"/>
        <w:ind w:hanging="0" w:start="0" w:end="0"/>
        <w:jc w:val="both"/>
        <w:rPr>
          <w:rFonts w:ascii="Aptos;sans-serif" w:hAnsi="Aptos;sans-serif"/>
          <w:sz w:val="22"/>
        </w:rPr>
      </w:pPr>
      <w:r>
        <w:rPr>
          <w:rFonts w:ascii="Aptos;sans-serif" w:hAnsi="Aptos;sans-serif"/>
          <w:sz w:val="22"/>
        </w:rPr>
        <w:t xml:space="preserve">Taken together, we have characterised a highly conserved, efficient translon and we present evidence for its role in coordinating start site selection in </w:t>
      </w:r>
      <w:r>
        <w:rPr>
          <w:rFonts w:ascii="Aptos;sans-serif" w:hAnsi="Aptos;sans-serif"/>
          <w:i/>
          <w:sz w:val="22"/>
        </w:rPr>
        <w:t>BAG1</w:t>
      </w:r>
      <w:r>
        <w:rPr>
          <w:rFonts w:ascii="Aptos;sans-serif" w:hAnsi="Aptos;sans-serif"/>
          <w:sz w:val="22"/>
        </w:rPr>
        <w:t xml:space="preserve"> mRNA both upstream and downstream of itself.</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ptos">
    <w:altName w:val="sans-serif"/>
    <w:charset w:val="01" w:characterSet="utf-8"/>
    <w:family w:val="auto"/>
    <w:pitch w:val="default"/>
  </w:font>
</w:fonts>
</file>

<file path=word/settings.xml><?xml version="1.0" encoding="utf-8"?>
<w:settings xmlns:w="http://schemas.openxmlformats.org/wordprocessingml/2006/main">
  <w:zoom w:percent="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277</Words>
  <Characters>1604</Characters>
  <CharactersWithSpaces>1876</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2026-05-13T11:40:49Z</dcterms:created>
  <dc:creator/>
  <dc:description/>
  <dc:language>en-US</dc:language>
  <cp:lastModifiedBy/>
  <dcterms:modified xsi:type="dcterms:W3CDTF">2026-05-13T11:41:25Z</dcterms:modified>
  <cp:revision>1</cp:revision>
  <dc:subject/>
  <dc:title/>
</cp:coreProperties>
</file>