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Non-canonical translation events in the yeast </w:t>
      </w:r>
      <w:r>
        <w:rPr>
          <w:i/>
          <w:iCs/>
        </w:rPr>
        <w:t>Saccharomyces cerevisiae</w:t>
      </w:r>
    </w:p>
    <w:p>
      <w:pPr>
        <w:pStyle w:val="Normal"/>
        <w:bidi w:val="0"/>
        <w:jc w:val="start"/>
        <w:rPr/>
      </w:pPr>
      <w:r>
        <w:rPr/>
      </w:r>
    </w:p>
    <w:p>
      <w:pPr>
        <w:pStyle w:val="Normal"/>
        <w:bidi w:val="0"/>
        <w:jc w:val="start"/>
        <w:rPr/>
      </w:pPr>
      <w:r>
        <w:rPr/>
        <w:t xml:space="preserve">In addition to standard mechanisms, translation regulation also involves non-canonical events, including non-AUG initiation, stop-codon readthrough or programmed ribosomal frameshifting. These events result in the the production of protein variants with different characteristics, such as subcellular localization or function, thus expanding the translatome and the proteome diversity and regulating protein synthesis in different cellular or environmental conditions. The identification of such rare non-canonical events, which are more common than previously predicted, has been enabled by the availability of a growing number of Ribo-seq datasets. </w:t>
      </w:r>
    </w:p>
    <w:p>
      <w:pPr>
        <w:pStyle w:val="Normal"/>
        <w:bidi w:val="0"/>
        <w:jc w:val="start"/>
        <w:rPr/>
      </w:pPr>
      <w:r>
        <w:rPr/>
        <w:t>Analysis of large Ribo-seq dataset collections for yeast Saccharomyces cerevisiae using the RiboCrypt browser revealed several unexpected findings. Notably, we observed a characteristic signature of translation termination on standard stop codons within the ORFs. The presence of specific termination signature enabled the detection of potential translation termination events in many protein-coding genes. Using standard biochemical assays, we have observed premature ribosome dissociation occurring in some cases with an efficiency as high as 40% and most often at positions near-cognate to stop codons. Our preliminary results suggest that the mechanism responsible for this phenomenon does not depend on ribosome release factors but to some extent is linked to Ribosome-associated protein Quality Control (RQC) mechanism.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205</Words>
  <Characters>1344</Characters>
  <CharactersWithSpaces>1547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2026-06-07T17:42:07Z</dcterms:created>
  <dc:creator/>
  <dc:description/>
  <dc:language>en-US</dc:language>
  <cp:lastModifiedBy/>
  <dcterms:modified xsi:type="dcterms:W3CDTF">2026-06-07T17:43:18Z</dcterms:modified>
  <cp:revision>3</cp:revision>
  <dc:subject/>
  <dc:title/>
</cp:coreProperties>
</file>