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31" w:before="0" w:after="0"/>
        <w:ind w:hanging="0" w:start="0" w:end="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Peptideins and the hidden coding landscape of the 5′ UTR</w:t>
      </w:r>
    </w:p>
    <w:p>
      <w:pPr>
        <w:pStyle w:val="Normal"/>
        <w:spacing w:lineRule="auto" w:line="331" w:before="240" w:after="240"/>
        <w:ind w:hanging="0" w:start="0" w:end="0"/>
        <w:rPr>
          <w:rFonts w:ascii="Aptos;Aptos EmbeddedFont;Aptos MSFontService;Calibri;Helvetica;sans-serif" w:hAnsi="Aptos;Aptos EmbeddedFont;Aptos MSFontService;Calibri;Helvetica;sans-serif"/>
          <w:color w:val="000000"/>
          <w:sz w:val="24"/>
        </w:rPr>
      </w:pPr>
      <w:r>
        <w:rPr>
          <w:rFonts w:ascii="Aptos;Aptos EmbeddedFont;Aptos MSFontService;Calibri;Helvetica;sans-serif" w:hAnsi="Aptos;Aptos EmbeddedFont;Aptos MSFontService;Calibri;Helvetica;sans-serif"/>
          <w:color w:val="000000"/>
          <w:sz w:val="24"/>
        </w:rPr>
        <w:t>Advances in ribosome profiling, proteogenomics and immunopeptidomics have revealed a vast population of translated molecules that remain largely invisible to gene annotation. Although experimentally detected, they lack sufficient evidence to be classified as proteins under current frameworks. To address this component of the ‘dark proteome’, we recently proposed the term peptidein: an experimentally detected translation product for which biological function cannot yet be confidently inferred.</w:t>
      </w:r>
    </w:p>
    <w:p>
      <w:pPr>
        <w:pStyle w:val="Normal"/>
        <w:spacing w:lineRule="auto" w:line="331" w:before="240" w:after="240"/>
        <w:ind w:hanging="0" w:start="0" w:end="0"/>
        <w:rPr>
          <w:rFonts w:ascii="Aptos;Aptos EmbeddedFont;Aptos MSFontService;Calibri;Helvetica;sans-serif" w:hAnsi="Aptos;Aptos EmbeddedFont;Aptos MSFontService;Calibri;Helvetica;sans-serif"/>
          <w:color w:val="000000"/>
          <w:sz w:val="24"/>
        </w:rPr>
      </w:pPr>
      <w:r>
        <w:rPr>
          <w:rFonts w:ascii="Aptos;Aptos EmbeddedFont;Aptos MSFontService;Calibri;Helvetica;sans-serif" w:hAnsi="Aptos;Aptos EmbeddedFont;Aptos MSFontService;Calibri;Helvetica;sans-serif"/>
          <w:color w:val="000000"/>
          <w:sz w:val="24"/>
        </w:rPr>
        <w:t>Where do peptideins come from? The majority identified thus far originate from regions of the genome that have historically been viewed as non-coding, particularly the 5′ untranslated regions (5′ UTRs) of mRNAs, where thousands of upstream open reading frames (uORFs) are now known to be translated in human. Thus, I will argue that understanding peptideins requires a broader framework for understanding transcript architecture. The 5′ UTR is not merely a regulatory sequence positioned upstream of a coding sequence (CDS). Rather, it is a dynamic translational compartment whose structure is determined by transcription start site (TSS) selection, alternative splicing and the translation of upstream open reading frames (uORFs). Together, these processes generate alternative transcript leaders with distinct translational properties, allowing a single gene to occupy multiple translational states.</w:t>
      </w:r>
    </w:p>
    <w:p>
      <w:pPr>
        <w:pStyle w:val="Normal"/>
        <w:spacing w:lineRule="auto" w:line="331" w:before="240" w:after="240"/>
        <w:ind w:hanging="0" w:start="0" w:end="0"/>
        <w:rPr>
          <w:rFonts w:ascii="Aptos;Aptos EmbeddedFont;Aptos MSFontService;Calibri;Helvetica;sans-serif" w:hAnsi="Aptos;Aptos EmbeddedFont;Aptos MSFontService;Calibri;Helvetica;sans-serif"/>
          <w:color w:val="000000"/>
          <w:sz w:val="24"/>
        </w:rPr>
      </w:pPr>
      <w:r>
        <w:rPr>
          <w:rFonts w:ascii="Aptos;Aptos EmbeddedFont;Aptos MSFontService;Calibri;Helvetica;sans-serif" w:hAnsi="Aptos;Aptos EmbeddedFont;Aptos MSFontService;Calibri;Helvetica;sans-serif"/>
          <w:color w:val="000000"/>
          <w:sz w:val="24"/>
        </w:rPr>
        <w:t>Particular emphasis will be placed on the relationship between transcription start site (TSS) switching and uORF translation. By modifying the sequence encountered by the scanning ribosome, alternative transcript architectures can alter both the translation of canonical proteins and the expression of 5′ UTR-derived translons. This creates a direct link between transcript architecture, protein dosage control and the production of peptideins. I will discuss evidence suggesting that such mechanisms are widespread throughout the human genome and may represent a fundamental - yet still largely underappreciated - layer of gene regulation.</w:t>
      </w:r>
    </w:p>
    <w:p>
      <w:pPr>
        <w:pStyle w:val="Normal"/>
        <w:spacing w:lineRule="auto" w:line="331" w:before="240" w:after="240"/>
        <w:ind w:hanging="0" w:start="0" w:end="0"/>
        <w:rPr>
          <w:rFonts w:ascii="Aptos;Aptos EmbeddedFont;Aptos MSFontService;Calibri;Helvetica;sans-serif" w:hAnsi="Aptos;Aptos EmbeddedFont;Aptos MSFontService;Calibri;Helvetica;sans-serif"/>
          <w:color w:val="000000"/>
          <w:sz w:val="24"/>
        </w:rPr>
      </w:pPr>
      <w:r>
        <w:rPr>
          <w:rFonts w:ascii="Aptos;Aptos EmbeddedFont;Aptos MSFontService;Calibri;Helvetica;sans-serif" w:hAnsi="Aptos;Aptos EmbeddedFont;Aptos MSFontService;Calibri;Helvetica;sans-serif"/>
          <w:color w:val="000000"/>
          <w:sz w:val="24"/>
        </w:rPr>
        <w:t>Finally, I will explore the implications of this framework for evolution and disease. The 5′ UTR appears to provide a fertile substrate for the emergence of novel CDS, with peptideins potentially representing evolutionary intermediates between regulatory translons and established proteins. At the same time, dysregulation of transcript architecture is increasingly implicated in cancer and other diseases, creating new opportunities for biomarker discovery and immunotherapeutic targeting. Collectively, these observations suggest that the hidden coding landscape of the 5′ UTR is not a biological curiosity, but a major source of proteomic and functional diversity whose significance is only beginning to be understood.</w:t>
      </w:r>
    </w:p>
    <w:p>
      <w:pPr>
        <w:pStyle w:val="BodyText"/>
        <w:bidi w:val="0"/>
        <w:spacing w:lineRule="auto" w:line="331" w:before="0" w:after="0"/>
        <w:ind w:hanging="0" w:start="0" w:end="0"/>
        <w:rPr>
          <w:rFonts w:ascii="Arial;sans-serif" w:hAnsi="Arial;sans-serif"/>
          <w:b w:val="false"/>
          <w:i w:val="false"/>
          <w:i w:val="false"/>
          <w:caps w:val="false"/>
          <w:smallCaps w:val="false"/>
          <w:strike w:val="false"/>
          <w:dstrike w:val="false"/>
          <w:color w:val="000000"/>
          <w:sz w:val="22"/>
          <w:u w:val="none"/>
          <w:effect w:val="none"/>
          <w:shd w:fill="auto" w:val="clear"/>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Arial">
    <w:altName w:val="sans-serif"/>
    <w:charset w:val="01" w:characterSet="utf-8"/>
    <w:family w:val="roman"/>
    <w:pitch w:val="variable"/>
  </w:font>
  <w:font w:name="Aptos">
    <w:altName w:val="Aptos EmbeddedFont"/>
    <w:charset w:val="01" w:characterSet="utf-8"/>
    <w:family w:val="auto"/>
    <w:pitch w:val="default"/>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392</Words>
  <Characters>2430</Characters>
  <CharactersWithSpaces>2816</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2026-06-04T10:57:03Z</dcterms:created>
  <dc:creator/>
  <dc:description/>
  <dc:language>en-US</dc:language>
  <cp:lastModifiedBy/>
  <dcterms:modified xsi:type="dcterms:W3CDTF">2026-06-07T17:42:03Z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