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ind w:hanging="0" w:start="0" w:end="0"/>
        <w:jc w:val="start"/>
        <w:rPr>
          <w:rFonts w:ascii="gg sans;Noto Sans;Helvetica Neue;Helvetica;Arial;sans-serif" w:hAnsi="gg sans;Noto Sans;Helvetica Neue;Helvetica;Arial;sans-serif"/>
          <w:b w:val="false"/>
          <w:i w:val="false"/>
          <w:caps w:val="false"/>
          <w:smallCaps w:val="false"/>
          <w:spacing w:val="0"/>
          <w:sz w:val="24"/>
        </w:rPr>
      </w:pPr>
      <w:r>
        <w:rPr>
          <w:rFonts w:ascii="gg sans;Noto Sans;Helvetica Neue;Helvetica;Arial;sans-serif" w:hAnsi="gg sans;Noto Sans;Helvetica Neue;Helvetica;Arial;sans-serif"/>
          <w:b w:val="false"/>
          <w:i w:val="false"/>
          <w:caps w:val="false"/>
          <w:smallCaps w:val="false"/>
          <w:spacing w:val="0"/>
          <w:sz w:val="24"/>
        </w:rPr>
        <w:t>Practical tools for genome engineering with CRISPR</w:t>
      </w:r>
    </w:p>
    <w:p>
      <w:pPr>
        <w:pStyle w:val="Normal"/>
        <w:widowControl/>
        <w:bidi w:val="0"/>
        <w:ind w:hanging="0" w:start="0" w:end="0"/>
        <w:jc w:val="start"/>
        <w:rPr>
          <w:rFonts w:ascii="gg sans;Noto Sans;Helvetica Neue;Helvetica;Arial;sans-serif" w:hAnsi="gg sans;Noto Sans;Helvetica Neue;Helvetica;Arial;sans-serif"/>
          <w:b w:val="false"/>
          <w:i w:val="false"/>
          <w:caps w:val="false"/>
          <w:smallCaps w:val="false"/>
          <w:spacing w:val="0"/>
          <w:sz w:val="24"/>
        </w:rPr>
      </w:pPr>
      <w:r>
        <w:rPr>
          <w:rFonts w:ascii="gg sans;Noto Sans;Helvetica Neue;Helvetica;Arial;sans-serif" w:hAnsi="gg sans;Noto Sans;Helvetica Neue;Helvetica;Arial;sans-serif"/>
          <w:b w:val="false"/>
          <w:i w:val="false"/>
          <w:caps w:val="false"/>
          <w:smallCaps w:val="false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gg sans;Noto Sans;Helvetica Neue;Helvetica;Arial;sans-serif" w:hAnsi="gg sans;Noto Sans;Helvetica Neue;Helvetica;Arial;sans-serif"/>
          <w:b w:val="false"/>
          <w:i w:val="false"/>
          <w:caps w:val="false"/>
          <w:smallCaps w:val="false"/>
          <w:spacing w:val="0"/>
          <w:sz w:val="24"/>
        </w:rPr>
      </w:pPr>
      <w:r>
        <w:rPr>
          <w:rFonts w:ascii="gg sans;Noto Sans;Helvetica Neue;Helvetica;Arial;sans-serif" w:hAnsi="gg sans;Noto Sans;Helvetica Neue;Helvetica;Arial;sans-serif"/>
          <w:b w:val="false"/>
          <w:i w:val="false"/>
          <w:caps w:val="false"/>
          <w:smallCaps w:val="false"/>
          <w:spacing w:val="0"/>
          <w:sz w:val="24"/>
        </w:rPr>
        <w:t>Moving CRISPR from basic discovery to research in the RNA space, requires tools that prioritize precision, safety, and lab-ready outputs. This talk provides a rapid overview of the crisprtools.org suite, a free, interconnected ecosystem designed to solve daily genome engineering bottlenecks. We will briefly highlight how to move from rapid guide design (CHOPCHOP) to rigorous, bulge-aware safety screening (CHOPOFF), and demonstrate automated, nuclease-resistant HDR template generation for precision edits (SNIPSNP). Highlighting utility for RNA translational research, we will also showcase Dual Cas13a, a specialized tool for building highly mismatch-sensitive RNA detection and diagnostic assays. Finally, we will introduce OVERHANG, a dedicated platform for community troubleshooting. Attendees will discover how to quickly integrate these tools to save time and improve experimental outcomes at the bench.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g sans">
    <w:altName w:val="Noto Sans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131</Words>
  <Characters>834</Characters>
  <CharactersWithSpaces>963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2026-06-07T17:59:51Z</dcterms:created>
  <dc:creator/>
  <dc:description/>
  <dc:language>en-US</dc:language>
  <cp:lastModifiedBy/>
  <dcterms:modified xsi:type="dcterms:W3CDTF">2026-06-07T18:00:17Z</dcterms:modified>
  <cp:revision>1</cp:revision>
  <dc:subject/>
  <dc:title/>
</cp:coreProperties>
</file>