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Recovering Hidden Translation Signals from Noisy Ribosome Profiling Data</w:t>
      </w:r>
    </w:p>
    <w:p>
      <w:pPr>
        <w:pStyle w:val="Normal"/>
        <w:bidi w:val="0"/>
        <w:jc w:val="center"/>
        <w:rPr>
          <w:b w:val="false"/>
          <w:bCs w:val="false"/>
          <w:i/>
          <w:i/>
          <w:iCs/>
          <w:sz w:val="20"/>
          <w:u w:val="none"/>
        </w:rPr>
      </w:pPr>
      <w:r>
        <w:rPr>
          <w:b w:val="false"/>
          <w:bCs w:val="false"/>
          <w:i/>
          <w:iCs/>
          <w:sz w:val="20"/>
          <w:u w:val="none"/>
        </w:rPr>
      </w:r>
    </w:p>
    <w:p>
      <w:pPr>
        <w:pStyle w:val="Normal"/>
        <w:bidi w:val="0"/>
        <w:jc w:val="start"/>
        <w:rPr/>
      </w:pPr>
      <w:r>
        <w:rPr/>
      </w:r>
    </w:p>
    <w:p>
      <w:pPr>
        <w:pStyle w:val="BodyText"/>
        <w:bidi w:val="0"/>
        <w:jc w:val="start"/>
        <w:rPr/>
      </w:pPr>
      <w:r>
        <w:rPr/>
        <w:t xml:space="preserve">Ribosome profiling (RiboSeq) provides a nucleotide-resolution snapshot of ribosome movement along transcripts. Because ribosomes decode mRNA in three-nucleotide increments, translation is expected to exhibit a characteristic three-nucleotide periodicity corresponding to the translated reading frame. In practice, however, this periodicity is often weak or obscured due to experimental biases introduced during library preparation, sequencing, and downstream processing steps such as A-site assignment. Furthermore, simultaneous translation of overlapping reading frames can produce composite signals that complicate the identification of </w:t>
      </w:r>
      <w:r>
        <w:rPr/>
        <w:t xml:space="preserve">bone-fide </w:t>
      </w:r>
      <w:r>
        <w:rPr/>
        <w:t>translated regions, many of which play important regulatory roles and contribute to cellular stress responses.</w:t>
      </w:r>
    </w:p>
    <w:p>
      <w:pPr>
        <w:pStyle w:val="BodyText"/>
        <w:bidi w:val="0"/>
        <w:spacing w:lineRule="auto" w:line="276" w:before="0" w:after="140"/>
        <w:jc w:val="start"/>
        <w:rPr/>
      </w:pPr>
      <w:r>
        <w:rPr/>
        <w:t xml:space="preserve">To address these challenges, we developed two complementary algorithms, </w:t>
      </w:r>
      <w:r>
        <w:rPr>
          <w:rStyle w:val="Strong"/>
        </w:rPr>
        <w:t>Ribo</w:t>
      </w:r>
      <w:r>
        <w:rPr>
          <w:rStyle w:val="Strong"/>
        </w:rPr>
        <w:t>Scout</w:t>
      </w:r>
      <w:r>
        <w:rPr/>
        <w:t xml:space="preserve"> and </w:t>
      </w:r>
      <w:r>
        <w:rPr>
          <w:rStyle w:val="Strong"/>
        </w:rPr>
        <w:t>RiboRefine</w:t>
      </w:r>
      <w:r>
        <w:rPr/>
        <w:t>, that exploit translation signatures learned from predominantly non-overlapping translated regions. RiboFrame uses these signatures together with local RiboSeq profiles as input features to a random forest classifier for identifying translated reading frames. RiboRefine uses the same learned signatures to optimize a linear transformation that suppresses systematic noise while preserving biologically meaningful translational patterns.</w:t>
      </w:r>
    </w:p>
    <w:p>
      <w:pPr>
        <w:pStyle w:val="BodyText"/>
        <w:bidi w:val="0"/>
        <w:spacing w:lineRule="auto" w:line="276" w:before="0" w:after="140"/>
        <w:jc w:val="start"/>
        <w:rPr/>
      </w:pPr>
      <w:r>
        <w:rPr/>
        <w:t xml:space="preserve">Using synthetic datasets that emulate </w:t>
      </w:r>
      <w:r>
        <w:rPr/>
        <w:t>RiboSeq signals</w:t>
      </w:r>
      <w:r>
        <w:rPr/>
        <w:t>, both methods demonstrate strong performance. Ribo</w:t>
      </w:r>
      <w:r>
        <w:rPr/>
        <w:t>Scout</w:t>
      </w:r>
      <w:r>
        <w:rPr/>
        <w:t xml:space="preserve"> accurately identifies translated reading frames, while RiboRefine substantially enhances periodic translation signals without distorting underlying ribosome occupancy trends. Together, these approaches provide a framework for improving the interpretation of ribosome profiling data and facilitating the detection of internal and overlapping ORFs that may otherwise remain hidden within noisy translational landscapes.</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26"/>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77</TotalTime>
  <Application>LibreOffice/24.2.7.2$Linux_X86_64 LibreOffice_project/420$Build-2</Application>
  <AppVersion>15.0000</AppVersion>
  <Pages>1</Pages>
  <Words>230</Words>
  <Characters>1666</Characters>
  <CharactersWithSpaces>1892</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2026-06-05T12:59:27Z</dcterms:created>
  <dc:creator/>
  <dc:description/>
  <dc:language>en-US</dc:language>
  <cp:lastModifiedBy/>
  <dcterms:modified xsi:type="dcterms:W3CDTF">2026-06-08T17:35:00Z</dcterms:modified>
  <cp:revision>23</cp:revision>
  <dc:subject/>
  <dc:title/>
</cp:coreProperties>
</file>