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hyperlink r:id="rId7" w:history="1"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Secretaria de Estado de Saúde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parceria com a </w:t>
      </w:r>
      <w:hyperlink r:id="rId8" w:history="1"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Controladoria Geral do Estado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passou a divulgar, em abril,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>
        <w:rPr>
          <w:rStyle w:val="Refdenotadefim"/>
          <w:rFonts w:ascii="Times New Roman" w:eastAsia="Times New Roman" w:hAnsi="Times New Roman" w:cs="Times New Roman"/>
          <w:color w:val="000000"/>
          <w:sz w:val="24"/>
          <w:szCs w:val="24"/>
        </w:rPr>
        <w:endnoteReference w:id="1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sobre </w:t>
      </w:r>
      <w:hyperlink r:id="rId9" w:history="1"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casos confirmados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hyperlink r:id="rId10" w:history="1"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óbitos confirmados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novo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coronavírus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(COVID-19). Tal iniciativa foi adotada em função da decisão de se imprimir maior transparência sobre os dados dos boletins epidemiológicos e resultados das ações de governo no enfrentamento à pandemia.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entanto, a disponibilização de acesso irrestrito a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traz à tona a necessidade de encontrar o ponto de equilíbrio entre a maximização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utilidade da base de dados </w:t>
      </w:r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versus</w:t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minimização do risco de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re-i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dentificação</w:t>
      </w:r>
      <w:proofErr w:type="spellEnd"/>
      <w:r>
        <w:rPr>
          <w:rStyle w:val="Refdenotadefim"/>
          <w:rFonts w:ascii="Times New Roman" w:eastAsia="Times New Roman" w:hAnsi="Times New Roman" w:cs="Times New Roman"/>
          <w:color w:val="000000"/>
          <w:sz w:val="24"/>
          <w:szCs w:val="24"/>
        </w:rPr>
        <w:endnoteReference w:id="2"/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Esse dilema tem sido objeto de extensa discussão no âmbito acadêmic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e profissional</w:t>
      </w:r>
      <w:r>
        <w:rPr>
          <w:rStyle w:val="Refdenotaderodap"/>
          <w:rFonts w:ascii="Times New Roman" w:eastAsia="Times New Roman" w:hAnsi="Times New Roman" w:cs="Times New Roman"/>
          <w:color w:val="000000"/>
          <w:sz w:val="24"/>
          <w:szCs w:val="24"/>
        </w:rPr>
        <w:footnoteReference w:id="1"/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, e vem se tornando cada vez mais relevante em virtude do fortalecimento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um lado, da política de publicação de dados abertos governamentais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outro, da política de proteção de dados pessoais.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Open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Brasil (OKBR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Style w:val="Refdenotaderodap"/>
          <w:rFonts w:ascii="Times New Roman" w:eastAsia="Times New Roman" w:hAnsi="Times New Roman" w:cs="Times New Roman"/>
          <w:color w:val="000000"/>
          <w:sz w:val="24"/>
          <w:szCs w:val="24"/>
        </w:rPr>
        <w:footnoteReference w:id="2"/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reconhece a necessidade do equilíbrio em sua avaliação semanal sobre a transparência dos dados da COVID-19 divulgados por governos estaduais.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Sua </w:t>
      </w:r>
      <w:hyperlink r:id="rId11" w:history="1"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metodologia de avaliação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observa que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Cs w:val="24"/>
        </w:rPr>
      </w:pP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</w:t>
      </w:r>
      <w:proofErr w:type="gramStart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a</w:t>
      </w:r>
      <w:proofErr w:type="gramEnd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divulgação </w:t>
      </w:r>
      <w:proofErr w:type="spellStart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anonimizada</w:t>
      </w:r>
      <w:proofErr w:type="spellEnd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de dados relativos a cada caso, separadamente, é importante para a construção de um panorama mais preciso sobre o avanço do novo </w:t>
      </w:r>
      <w:proofErr w:type="spellStart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coronavírus</w:t>
      </w:r>
      <w:proofErr w:type="spellEnd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no país. </w:t>
      </w:r>
      <w:r w:rsidRPr="00EF0993">
        <w:rPr>
          <w:rFonts w:ascii="Times New Roman" w:eastAsia="Times New Roman" w:hAnsi="Times New Roman" w:cs="Times New Roman"/>
          <w:b/>
          <w:i/>
          <w:color w:val="000000"/>
          <w:szCs w:val="24"/>
        </w:rPr>
        <w:t>Informações sobre sexo, idade, município, possível origem do contágio e tratamento conferido são exemplos de dados que podem ajudar a construir uma boa base de dados de monitoramento</w:t>
      </w: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.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Ao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esmo tempo que defende em seu </w:t>
      </w:r>
      <w:hyperlink r:id="rId12" w:history="1">
        <w:r w:rsidRPr="00EF099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Toolkit</w:t>
        </w:r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de Publicação de </w:t>
        </w:r>
        <w:proofErr w:type="spellStart"/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Microdados</w:t>
        </w:r>
        <w:proofErr w:type="spellEnd"/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Cs w:val="24"/>
        </w:rPr>
      </w:pP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Dados de saúde são considerados dados sensíveis pela Lei Geral de Proteção de</w:t>
      </w:r>
      <w:r w:rsidR="00A47608" w:rsidRPr="00A47608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Dados Pessoais, e, por isso, </w:t>
      </w:r>
      <w:r w:rsidRPr="00EF0993">
        <w:rPr>
          <w:rFonts w:ascii="Times New Roman" w:eastAsia="Times New Roman" w:hAnsi="Times New Roman" w:cs="Times New Roman"/>
          <w:b/>
          <w:i/>
          <w:color w:val="000000"/>
          <w:szCs w:val="24"/>
        </w:rPr>
        <w:t>é necessário ter o máximo de cautela ao coletar e administrar esses dados</w:t>
      </w: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. No caso da disponibilização de dados sobre a Covid-19, a solução mais simples para mitigar os riscos à privacidade se encontra nos diferentes níveis de detalhamento e agregação que podem ser em</w:t>
      </w:r>
      <w:r w:rsidR="00A47608" w:rsidRPr="00A47608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pregados aos dados coletados. </w:t>
      </w:r>
      <w:r w:rsidRPr="00EF0993">
        <w:rPr>
          <w:rFonts w:ascii="Times New Roman" w:eastAsia="Times New Roman" w:hAnsi="Times New Roman" w:cs="Times New Roman"/>
          <w:b/>
          <w:i/>
          <w:color w:val="000000"/>
          <w:szCs w:val="24"/>
        </w:rPr>
        <w:t xml:space="preserve">Quando a publicação vincula diretamente atributos de idade e sexo dos pacientes a seus respectivos locais de internação, por exemplo, isso pode facilitar a </w:t>
      </w:r>
      <w:r w:rsidRPr="00EF0993">
        <w:rPr>
          <w:rFonts w:ascii="Times New Roman" w:eastAsia="Times New Roman" w:hAnsi="Times New Roman" w:cs="Times New Roman"/>
          <w:b/>
          <w:i/>
          <w:color w:val="000000"/>
          <w:szCs w:val="24"/>
        </w:rPr>
        <w:lastRenderedPageBreak/>
        <w:t>identificação de um determinado paciente, sobretudo em municípios pequenos</w:t>
      </w: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. Esse tipo de publicação não é </w:t>
      </w:r>
      <w:proofErr w:type="gramStart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incentivada</w:t>
      </w:r>
      <w:proofErr w:type="gramEnd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pelo ITC-19. No entanto, uma opção para não expor os pacientes e nem deixar de publicar esses dados </w:t>
      </w:r>
      <w:r w:rsidR="00A47608" w:rsidRPr="00A47608">
        <w:rPr>
          <w:rFonts w:ascii="Times New Roman" w:eastAsia="Times New Roman" w:hAnsi="Times New Roman" w:cs="Times New Roman"/>
          <w:i/>
          <w:color w:val="000000"/>
          <w:szCs w:val="24"/>
        </w:rPr>
        <w:t>–</w:t>
      </w: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que são todos igualmente importantes </w:t>
      </w:r>
      <w:r w:rsidR="00A47608" w:rsidRPr="00A47608">
        <w:rPr>
          <w:rFonts w:ascii="Times New Roman" w:eastAsia="Times New Roman" w:hAnsi="Times New Roman" w:cs="Times New Roman"/>
          <w:i/>
          <w:color w:val="000000"/>
          <w:szCs w:val="24"/>
        </w:rPr>
        <w:t>–</w:t>
      </w: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é divulgar o quantitativo de casos por hospital, e, separadamente, publicar os </w:t>
      </w:r>
      <w:proofErr w:type="spellStart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de casos com as informações de idade e sexo. 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Sabe-se que a mera remoção dos atributos de identificação direta de uma pessoa, como nome e CPF, não é suficiente para afastar o risco de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re-identificação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. A Lei Geral de Proteção de Dados prevê</w:t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inclusive que a </w:t>
      </w:r>
      <w:hyperlink r:id="rId13" w:anchor="art5" w:history="1">
        <w:proofErr w:type="spellStart"/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anonimização</w:t>
        </w:r>
        <w:proofErr w:type="spellEnd"/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consiste na utilização de meios técnicos razoáveis e disponíveis no momento do tratamento, por meio dos quais </w:t>
      </w:r>
      <w:r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 dado perde a possibilidade de associação, dire</w:t>
      </w:r>
      <w:r w:rsidR="00A47608"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 ou indireta, a um indivíduo</w:t>
      </w:r>
      <w:r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âmbito internacional, não foi possível identificar experiências análogas com relação à divulgação oficial de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que divulguem, por exemplo, um subconjunto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anonim</w:t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>izado</w:t>
      </w:r>
      <w:proofErr w:type="spellEnd"/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 </w:t>
      </w:r>
      <w:hyperlink r:id="rId14" w:history="1"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variáveis coletadas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pela Organização</w:t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Mundial da Saúde para fins de </w:t>
      </w:r>
      <w:hyperlink r:id="rId15" w:history="1"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monitoramento da 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evolução dos casos de COVID-19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, apesar do interesse de pesquisadores sobre essas informações</w:t>
      </w:r>
      <w:r w:rsidR="00A47608">
        <w:rPr>
          <w:rStyle w:val="Refdenotaderodap"/>
          <w:rFonts w:ascii="Times New Roman" w:eastAsia="Times New Roman" w:hAnsi="Times New Roman" w:cs="Times New Roman"/>
          <w:color w:val="000000"/>
          <w:sz w:val="24"/>
          <w:szCs w:val="24"/>
        </w:rPr>
        <w:footnoteReference w:id="3"/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608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Isso pode ser explicado pelo desafio técnico, legal e ético para disseminação de arquivos de </w:t>
      </w:r>
      <w:proofErr w:type="spellStart"/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como pontuado pela </w:t>
      </w:r>
      <w:hyperlink r:id="rId16" w:history="1">
        <w:proofErr w:type="spellStart"/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International</w:t>
        </w:r>
        <w:proofErr w:type="spellEnd"/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ousehold</w:t>
        </w:r>
        <w:proofErr w:type="spellEnd"/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Survey</w:t>
        </w:r>
        <w:proofErr w:type="spellEnd"/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Network (IHSN)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Do ponto de vista técnico, a IHSN indica alguns mecanismos para mitigação da possibilidade de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reidentificação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, como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A47608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* divulgação da amostragem, em vez do universo dos dados;</w:t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F0993" w:rsidRPr="00A47608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* categorização de medidas de variáveis em novas categorias, especialmente quando valores extremos são raros;</w:t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F0993" w:rsidRPr="00A47608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* combinação de duas variáveis formando uma nova variável agregada;</w:t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F0993" w:rsidRPr="00C55415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541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* remoção de variáveis</w:t>
      </w:r>
    </w:p>
    <w:p w:rsidR="00EF0993" w:rsidRPr="00C55415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Lidamos, portanto, com um contexto em que divulgar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parece ser um problema geral, ao mesmo tempo que relevante e não trivial. Tomando tais </w:t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aspectos em conta, bem como os </w:t>
      </w:r>
      <w:hyperlink r:id="rId17" w:history="1"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conjuntos de dad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os divulgados sobre a COVID-19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, que contém dados pessoais como por exemplo: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classificação</w:t>
      </w:r>
      <w:proofErr w:type="gram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caso (confirmado, suspeito, descartado ou óbito) e suas datas de notificação e de atualização;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idade</w:t>
      </w:r>
      <w:proofErr w:type="gram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sexo</w:t>
      </w:r>
      <w:proofErr w:type="gram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comorbidades</w:t>
      </w:r>
      <w:proofErr w:type="spellEnd"/>
      <w:proofErr w:type="gram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(sim ou não);</w:t>
      </w:r>
    </w:p>
    <w:p w:rsid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município</w:t>
      </w:r>
      <w:proofErr w:type="gram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>de residência</w:t>
      </w:r>
      <w:r w:rsidR="00A47608">
        <w:rPr>
          <w:rStyle w:val="Refdenotaderodap"/>
          <w:rFonts w:ascii="Times New Roman" w:eastAsia="Times New Roman" w:hAnsi="Times New Roman" w:cs="Times New Roman"/>
          <w:color w:val="000000"/>
          <w:sz w:val="24"/>
          <w:szCs w:val="24"/>
        </w:rPr>
        <w:footnoteReference w:id="4"/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608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Solicitamos assistência técnica especializada para, no caso concreto de divulgação de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COVID-19 pelo Estado de Minas Gerais, determinar: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A47608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* </w:t>
      </w:r>
      <w:proofErr w:type="gramStart"/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r w:rsidR="00EF0993"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Como</w:t>
      </w:r>
      <w:proofErr w:type="gramEnd"/>
      <w:r w:rsidR="00EF0993"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mensurar o risco de </w:t>
      </w:r>
      <w:proofErr w:type="spellStart"/>
      <w:r w:rsidR="00EF0993"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re-id</w:t>
      </w: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entificação</w:t>
      </w:r>
      <w:proofErr w:type="spellEnd"/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 tais pacientes?</w:t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993" w:rsidRPr="00A47608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* </w:t>
      </w:r>
      <w:r w:rsidR="00EF0993"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 havendo risco alto, considerado o apetite a risco da organização, quais procedimentos adicionais seriam adequados</w:t>
      </w: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para minimizá-lo?</w:t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993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* </w:t>
      </w:r>
      <w:r w:rsidR="00EF0993"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 havendo risco baixo, considerado o apetite a risco da organização, como avaliar o risco adicional incorrido com a divul</w:t>
      </w: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gação de variáveis adicionais?</w:t>
      </w:r>
    </w:p>
    <w:p w:rsidR="00EF0993" w:rsidRDefault="00EF0993" w:rsidP="00EF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46A7" w:rsidRDefault="00D946A7" w:rsidP="00D946A7">
      <w:pPr>
        <w:pStyle w:val="NormalWeb"/>
      </w:pPr>
      <w:r>
        <w:t>Renovando nossos protestos de estima e consideração, antecipamos agradecimentos pela atenção e retorno a esta consulta.</w:t>
      </w:r>
    </w:p>
    <w:p w:rsidR="00D946A7" w:rsidRDefault="00D946A7" w:rsidP="00D946A7">
      <w:pPr>
        <w:pStyle w:val="NormalWeb"/>
      </w:pPr>
    </w:p>
    <w:p w:rsidR="00D946A7" w:rsidRDefault="00D946A7" w:rsidP="00D946A7">
      <w:pPr>
        <w:pStyle w:val="NormalWeb"/>
      </w:pPr>
      <w:r>
        <w:t>Atenciosamente,</w:t>
      </w:r>
    </w:p>
    <w:p w:rsidR="00D946A7" w:rsidRDefault="00D946A7" w:rsidP="00EF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D946A7" w:rsidRPr="00D946A7" w:rsidRDefault="00D946A7" w:rsidP="00D946A7">
      <w:pPr>
        <w:pStyle w:val="nomesignatrio"/>
        <w:spacing w:before="120" w:beforeAutospacing="0" w:after="120" w:afterAutospacing="0"/>
        <w:ind w:left="120" w:right="120"/>
        <w:jc w:val="center"/>
        <w:rPr>
          <w:b/>
          <w:bCs/>
          <w:color w:val="000000"/>
        </w:rPr>
      </w:pPr>
      <w:r w:rsidRPr="00D946A7">
        <w:rPr>
          <w:rStyle w:val="Forte"/>
          <w:color w:val="000000"/>
        </w:rPr>
        <w:t>André Luiz Guimarães Amorim</w:t>
      </w:r>
    </w:p>
    <w:p w:rsidR="00D946A7" w:rsidRPr="00D946A7" w:rsidRDefault="00D946A7" w:rsidP="00D946A7">
      <w:pPr>
        <w:pStyle w:val="cargosignatrio"/>
        <w:spacing w:before="120" w:beforeAutospacing="0" w:after="120" w:afterAutospacing="0"/>
        <w:ind w:left="120" w:right="120"/>
        <w:jc w:val="center"/>
        <w:rPr>
          <w:color w:val="000000"/>
        </w:rPr>
      </w:pPr>
      <w:r w:rsidRPr="00D946A7">
        <w:rPr>
          <w:color w:val="000000"/>
        </w:rPr>
        <w:t>Especialista em Políticas Públicas e Gestão Governamental</w:t>
      </w:r>
    </w:p>
    <w:p w:rsidR="00D946A7" w:rsidRPr="00D946A7" w:rsidRDefault="00D946A7" w:rsidP="00D946A7">
      <w:pPr>
        <w:pStyle w:val="cargosignatrio"/>
        <w:spacing w:before="120" w:beforeAutospacing="0" w:after="120" w:afterAutospacing="0"/>
        <w:ind w:left="120" w:right="120"/>
        <w:jc w:val="center"/>
        <w:rPr>
          <w:color w:val="000000"/>
        </w:rPr>
      </w:pPr>
      <w:r w:rsidRPr="00D946A7">
        <w:rPr>
          <w:color w:val="000000"/>
        </w:rPr>
        <w:lastRenderedPageBreak/>
        <w:t> </w:t>
      </w:r>
    </w:p>
    <w:p w:rsidR="00D946A7" w:rsidRPr="00D946A7" w:rsidRDefault="00D946A7" w:rsidP="00D946A7">
      <w:pPr>
        <w:pStyle w:val="nomesignatrio"/>
        <w:spacing w:before="120" w:beforeAutospacing="0" w:after="120" w:afterAutospacing="0"/>
        <w:ind w:left="120" w:right="120"/>
        <w:jc w:val="center"/>
        <w:rPr>
          <w:b/>
          <w:bCs/>
          <w:color w:val="000000"/>
        </w:rPr>
      </w:pPr>
      <w:r w:rsidRPr="00D946A7">
        <w:rPr>
          <w:rStyle w:val="Forte"/>
          <w:color w:val="000000"/>
        </w:rPr>
        <w:t>Francisco Alves de Oliveira Júnior</w:t>
      </w:r>
    </w:p>
    <w:p w:rsidR="00D946A7" w:rsidRPr="00D946A7" w:rsidRDefault="00D946A7" w:rsidP="00D946A7">
      <w:pPr>
        <w:pStyle w:val="cargosignatrio"/>
        <w:spacing w:before="120" w:beforeAutospacing="0" w:after="120" w:afterAutospacing="0"/>
        <w:ind w:left="120" w:right="120"/>
        <w:jc w:val="center"/>
        <w:rPr>
          <w:color w:val="000000"/>
        </w:rPr>
      </w:pPr>
      <w:r w:rsidRPr="00D946A7">
        <w:rPr>
          <w:color w:val="000000"/>
        </w:rPr>
        <w:t>Diretor Central de Transparência Ativa</w:t>
      </w:r>
    </w:p>
    <w:p w:rsidR="00D946A7" w:rsidRPr="00D946A7" w:rsidRDefault="00D946A7" w:rsidP="00D946A7">
      <w:pPr>
        <w:pStyle w:val="cargosignatrio"/>
        <w:spacing w:before="120" w:beforeAutospacing="0" w:after="120" w:afterAutospacing="0"/>
        <w:ind w:left="120" w:right="120"/>
        <w:jc w:val="center"/>
        <w:rPr>
          <w:color w:val="000000"/>
        </w:rPr>
      </w:pPr>
      <w:r w:rsidRPr="00D946A7">
        <w:rPr>
          <w:color w:val="000000"/>
        </w:rPr>
        <w:t> </w:t>
      </w:r>
    </w:p>
    <w:p w:rsidR="00D946A7" w:rsidRPr="00D946A7" w:rsidRDefault="00D946A7" w:rsidP="00D946A7">
      <w:pPr>
        <w:pStyle w:val="nomesignatrio"/>
        <w:spacing w:before="120" w:beforeAutospacing="0" w:after="120" w:afterAutospacing="0"/>
        <w:ind w:left="120" w:right="120"/>
        <w:jc w:val="center"/>
        <w:rPr>
          <w:b/>
          <w:bCs/>
          <w:color w:val="000000"/>
        </w:rPr>
      </w:pPr>
      <w:r w:rsidRPr="00D946A7">
        <w:rPr>
          <w:rStyle w:val="Forte"/>
          <w:color w:val="000000"/>
        </w:rPr>
        <w:t>Soraia Ferreira Quirino Dias</w:t>
      </w:r>
    </w:p>
    <w:p w:rsidR="00D946A7" w:rsidRPr="00D946A7" w:rsidRDefault="00D946A7" w:rsidP="00D946A7">
      <w:pPr>
        <w:pStyle w:val="cargosignatrio"/>
        <w:spacing w:before="120" w:beforeAutospacing="0" w:after="120" w:afterAutospacing="0"/>
        <w:ind w:left="120" w:right="120"/>
        <w:jc w:val="center"/>
        <w:rPr>
          <w:color w:val="000000"/>
        </w:rPr>
      </w:pPr>
      <w:r w:rsidRPr="00D946A7">
        <w:rPr>
          <w:color w:val="000000"/>
        </w:rPr>
        <w:t>Superintendência Central de Transparência</w:t>
      </w:r>
    </w:p>
    <w:p w:rsidR="00D946A7" w:rsidRPr="00EF0993" w:rsidRDefault="00D946A7" w:rsidP="00EF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418" w:rsidRDefault="007E1418"/>
    <w:sectPr w:rsidR="007E1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9BB" w:rsidRDefault="005659BB" w:rsidP="00EF0993">
      <w:pPr>
        <w:spacing w:after="0" w:line="240" w:lineRule="auto"/>
      </w:pPr>
      <w:r>
        <w:separator/>
      </w:r>
    </w:p>
  </w:endnote>
  <w:endnote w:type="continuationSeparator" w:id="0">
    <w:p w:rsidR="005659BB" w:rsidRDefault="005659BB" w:rsidP="00EF0993">
      <w:pPr>
        <w:spacing w:after="0" w:line="240" w:lineRule="auto"/>
      </w:pPr>
      <w:r>
        <w:continuationSeparator/>
      </w:r>
    </w:p>
  </w:endnote>
  <w:endnote w:id="1">
    <w:p w:rsidR="00EF0993" w:rsidRPr="006D25D9" w:rsidRDefault="00EF0993" w:rsidP="006D25D9">
      <w:pPr>
        <w:pStyle w:val="Textodenotadefim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D25D9">
        <w:rPr>
          <w:rStyle w:val="Refdenotadefim"/>
          <w:rFonts w:ascii="Times New Roman" w:hAnsi="Times New Roman" w:cs="Times New Roman"/>
          <w:sz w:val="22"/>
          <w:szCs w:val="22"/>
        </w:rPr>
        <w:endnoteRef/>
      </w:r>
      <w:r w:rsidRPr="006D25D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são informações sobre cada unidade de observação de um fenômeno ou evento. No caso em questão, cada linha do arquivo eletrônico contém uma observação de um paciente acometido com o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coronavírus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sendo que as características coletadas estão representadas nas colunas subsequentes às do ID do paciente (valores de cada variável: idade, gênero,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etc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:rsidR="00EF0993" w:rsidRPr="006D25D9" w:rsidRDefault="00EF0993" w:rsidP="006D25D9">
      <w:pPr>
        <w:pStyle w:val="Textodenotadefim"/>
        <w:jc w:val="both"/>
        <w:rPr>
          <w:rFonts w:ascii="Times New Roman" w:hAnsi="Times New Roman" w:cs="Times New Roman"/>
          <w:sz w:val="22"/>
          <w:szCs w:val="22"/>
        </w:rPr>
      </w:pPr>
    </w:p>
  </w:endnote>
  <w:endnote w:id="2">
    <w:p w:rsidR="00EF0993" w:rsidRDefault="00EF0993" w:rsidP="006D25D9">
      <w:pPr>
        <w:pStyle w:val="Textodenotadefim"/>
        <w:jc w:val="both"/>
      </w:pPr>
      <w:r w:rsidRPr="006D25D9">
        <w:rPr>
          <w:rStyle w:val="Refdenotadefim"/>
          <w:rFonts w:ascii="Times New Roman" w:hAnsi="Times New Roman" w:cs="Times New Roman"/>
          <w:sz w:val="22"/>
          <w:szCs w:val="22"/>
        </w:rPr>
        <w:endnoteRef/>
      </w:r>
      <w:r w:rsidRPr="006D25D9">
        <w:rPr>
          <w:rFonts w:ascii="Times New Roman" w:hAnsi="Times New Roman" w:cs="Times New Roman"/>
          <w:sz w:val="22"/>
          <w:szCs w:val="22"/>
        </w:rPr>
        <w:t xml:space="preserve"> </w:t>
      </w:r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Possibilidade de utilizar outras variáveis dos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para identificá-los, de fato. No caso em questão, seria o risco de associação de variáveis como idade, gênero, município de residência, evento de internação e/ou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comorbidade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 outras bases de dados disponíveis, para descobrir o nome ou identificação do paciente.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9BB" w:rsidRDefault="005659BB" w:rsidP="00EF0993">
      <w:pPr>
        <w:spacing w:after="0" w:line="240" w:lineRule="auto"/>
      </w:pPr>
      <w:r>
        <w:separator/>
      </w:r>
    </w:p>
  </w:footnote>
  <w:footnote w:type="continuationSeparator" w:id="0">
    <w:p w:rsidR="005659BB" w:rsidRDefault="005659BB" w:rsidP="00EF0993">
      <w:pPr>
        <w:spacing w:after="0" w:line="240" w:lineRule="auto"/>
      </w:pPr>
      <w:r>
        <w:continuationSeparator/>
      </w:r>
    </w:p>
  </w:footnote>
  <w:footnote w:id="1">
    <w:p w:rsidR="00EF0993" w:rsidRPr="00C55415" w:rsidRDefault="00EF0993" w:rsidP="00EF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D25D9">
        <w:rPr>
          <w:rStyle w:val="Refdenotaderodap"/>
          <w:rFonts w:ascii="Times New Roman" w:hAnsi="Times New Roman" w:cs="Times New Roman"/>
          <w:sz w:val="20"/>
          <w:szCs w:val="20"/>
        </w:rPr>
        <w:footnoteRef/>
      </w:r>
      <w:r w:rsidRPr="00C55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" w:history="1">
        <w:proofErr w:type="spellStart"/>
        <w:r w:rsidR="00C55415" w:rsidRPr="00C5541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G</w:t>
        </w:r>
        <w:r w:rsidRPr="00C55415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>arfinkel</w:t>
        </w:r>
        <w:proofErr w:type="spellEnd"/>
        <w:r w:rsidR="00C55415" w:rsidRPr="00C55415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 xml:space="preserve">, </w:t>
        </w:r>
        <w:r w:rsidRPr="00C55415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>2016</w:t>
        </w:r>
        <w:r w:rsidR="00C55415" w:rsidRPr="00C55415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>.</w:t>
        </w:r>
        <w:r w:rsidRPr="00C55415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 xml:space="preserve"> De-Identifying Govern</w:t>
        </w:r>
        <w:r w:rsidRPr="00C55415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>m</w:t>
        </w:r>
        <w:r w:rsidRPr="00C55415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>ent Datasets (2nd Draft)</w:t>
        </w:r>
      </w:hyperlink>
    </w:p>
    <w:p w:rsidR="00EF0993" w:rsidRPr="00C55415" w:rsidRDefault="00EF0993">
      <w:pPr>
        <w:pStyle w:val="Textodenotaderodap"/>
        <w:rPr>
          <w:rFonts w:ascii="Times New Roman" w:hAnsi="Times New Roman" w:cs="Times New Roman"/>
          <w:lang w:val="en-US"/>
        </w:rPr>
      </w:pPr>
    </w:p>
  </w:footnote>
  <w:footnote w:id="2">
    <w:p w:rsidR="00EF0993" w:rsidRDefault="00EF0993">
      <w:pPr>
        <w:pStyle w:val="Textodenotaderodap"/>
      </w:pPr>
      <w:r w:rsidRPr="006D25D9">
        <w:rPr>
          <w:rStyle w:val="Refdenotaderodap"/>
          <w:rFonts w:ascii="Times New Roman" w:hAnsi="Times New Roman" w:cs="Times New Roman"/>
        </w:rPr>
        <w:footnoteRef/>
      </w:r>
      <w:r w:rsidRPr="006D25D9">
        <w:rPr>
          <w:rFonts w:ascii="Times New Roman" w:hAnsi="Times New Roman" w:cs="Times New Roman"/>
        </w:rPr>
        <w:t xml:space="preserve"> </w:t>
      </w:r>
      <w:r w:rsidRPr="00EF0993">
        <w:rPr>
          <w:rFonts w:ascii="Times New Roman" w:eastAsia="Times New Roman" w:hAnsi="Times New Roman" w:cs="Times New Roman"/>
          <w:color w:val="000000"/>
        </w:rPr>
        <w:t>Organização sem fins lucrativos de promoção do conhecimento livre com enfoque em dados abertos</w:t>
      </w:r>
    </w:p>
  </w:footnote>
  <w:footnote w:id="3">
    <w:p w:rsidR="00A47608" w:rsidRDefault="00A47608">
      <w:pPr>
        <w:pStyle w:val="Textodenotaderodap"/>
        <w:rPr>
          <w:rFonts w:ascii="Times New Roman" w:eastAsia="Times New Roman" w:hAnsi="Times New Roman" w:cs="Times New Roman"/>
          <w:color w:val="000000"/>
          <w:lang w:val="en-US"/>
        </w:rPr>
      </w:pPr>
      <w:r w:rsidRPr="006D25D9">
        <w:rPr>
          <w:rStyle w:val="Refdenotaderodap"/>
        </w:rPr>
        <w:footnoteRef/>
      </w:r>
      <w:r w:rsidRPr="00C55415">
        <w:t xml:space="preserve"> </w:t>
      </w:r>
      <w:hyperlink r:id="rId2" w:history="1">
        <w:r w:rsidRPr="006D25D9">
          <w:rPr>
            <w:rStyle w:val="Hyperlink"/>
            <w:rFonts w:ascii="Times New Roman" w:eastAsia="Times New Roman" w:hAnsi="Times New Roman" w:cs="Times New Roman"/>
            <w:lang w:val="en-US"/>
          </w:rPr>
          <w:t>Epidemiological data from the COVID-19 outbreak, real-time case information</w:t>
        </w:r>
      </w:hyperlink>
    </w:p>
    <w:p w:rsidR="006D25D9" w:rsidRPr="006D25D9" w:rsidRDefault="006D25D9">
      <w:pPr>
        <w:pStyle w:val="Textodenotaderodap"/>
        <w:rPr>
          <w:lang w:val="en-US"/>
        </w:rPr>
      </w:pPr>
    </w:p>
  </w:footnote>
  <w:footnote w:id="4">
    <w:p w:rsidR="00A47608" w:rsidRDefault="00A47608">
      <w:pPr>
        <w:pStyle w:val="Textodenotaderodap"/>
      </w:pPr>
      <w:r w:rsidRPr="006D25D9">
        <w:rPr>
          <w:rStyle w:val="Refdenotaderodap"/>
        </w:rPr>
        <w:footnoteRef/>
      </w:r>
      <w:r w:rsidRPr="006D25D9">
        <w:t xml:space="preserve"> </w:t>
      </w:r>
      <w:r w:rsidRPr="00EF0993">
        <w:rPr>
          <w:rFonts w:ascii="Times New Roman" w:eastAsia="Times New Roman" w:hAnsi="Times New Roman" w:cs="Times New Roman"/>
          <w:color w:val="000000"/>
        </w:rPr>
        <w:t>Existem 853 municípios n</w:t>
      </w:r>
      <w:r w:rsidRPr="006D25D9">
        <w:rPr>
          <w:rFonts w:ascii="Times New Roman" w:eastAsia="Times New Roman" w:hAnsi="Times New Roman" w:cs="Times New Roman"/>
          <w:color w:val="000000"/>
        </w:rPr>
        <w:t xml:space="preserve">o estado de Minas Gerais, </w:t>
      </w:r>
      <w:hyperlink r:id="rId3" w:history="1">
        <w:r w:rsidRPr="006D25D9">
          <w:rPr>
            <w:rStyle w:val="Hyperlink"/>
            <w:rFonts w:ascii="Times New Roman" w:eastAsia="Times New Roman" w:hAnsi="Times New Roman" w:cs="Times New Roman"/>
          </w:rPr>
          <w:t>dos quais 666 possuem menos de 20 mil habitantes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93"/>
    <w:rsid w:val="00342A45"/>
    <w:rsid w:val="005659BB"/>
    <w:rsid w:val="005D0ED7"/>
    <w:rsid w:val="006D25D9"/>
    <w:rsid w:val="007E1418"/>
    <w:rsid w:val="00A47608"/>
    <w:rsid w:val="00C55415"/>
    <w:rsid w:val="00D946A7"/>
    <w:rsid w:val="00DC33D2"/>
    <w:rsid w:val="00E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22C0E-7319-4D27-9A8C-7680A41C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09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F0993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F099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F099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F099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F0993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F0993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F0993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5D0ED7"/>
    <w:rPr>
      <w:color w:val="954F72" w:themeColor="followedHyperlink"/>
      <w:u w:val="single"/>
    </w:rPr>
  </w:style>
  <w:style w:type="paragraph" w:customStyle="1" w:styleId="nomesignatrio">
    <w:name w:val="nome_signatário"/>
    <w:basedOn w:val="Normal"/>
    <w:rsid w:val="00D9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946A7"/>
    <w:rPr>
      <w:b/>
      <w:bCs/>
    </w:rPr>
  </w:style>
  <w:style w:type="paragraph" w:customStyle="1" w:styleId="cargosignatrio">
    <w:name w:val="cargo_signatário"/>
    <w:basedOn w:val="Normal"/>
    <w:rsid w:val="00D9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ge.mg.gov.br/noticias-artigos/740-novos-dados-sobre-a-covid-19-em-mg-disponibilizados-em-formato-aberto" TargetMode="External"/><Relationship Id="rId13" Type="http://schemas.openxmlformats.org/officeDocument/2006/relationships/hyperlink" Target="http://www.planalto.gov.br/ccivil_03/_ato2015-2018/2018/lei/L13709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de.mg.gov.br/coronavirus" TargetMode="External"/><Relationship Id="rId12" Type="http://schemas.openxmlformats.org/officeDocument/2006/relationships/hyperlink" Target="https://transparenciacovid19.ok.org.br/files/Toolkit_1_microdados_basicos.pdf" TargetMode="External"/><Relationship Id="rId17" Type="http://schemas.openxmlformats.org/officeDocument/2006/relationships/hyperlink" Target="http://www.transparencia.dadosabertos.mg.gov.br/organization/secretaria-de-estado-de-sa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hsn.org/dissemination-of-microdata-fil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ransparenciacovid19.ok.org.br/files/Nota_Metodologica_Transparencia_da_Covid-19V.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ho.int/emergencies/diseases/novel-coronavirus-2019/technical-guidance/surveillance-and-case-definitions" TargetMode="External"/><Relationship Id="rId10" Type="http://schemas.openxmlformats.org/officeDocument/2006/relationships/hyperlink" Target="http://www.transparencia.dadosabertos.mg.gov.br/dataset/obitos-confirmados-coronaviru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ransparencia.dadosabertos.mg.gov.br/dataset/casos-confirmados-coronavirus" TargetMode="External"/><Relationship Id="rId14" Type="http://schemas.openxmlformats.org/officeDocument/2006/relationships/hyperlink" Target="https://www.who.int/who-documents-detail/data-dictionary-for-case-based-reporting-for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t.wikipedia.org/wiki/Lista_de_munic%C3%ADpios_de_Minas_Gerais_por_popula%C3%A7%C3%A3o" TargetMode="External"/><Relationship Id="rId2" Type="http://schemas.openxmlformats.org/officeDocument/2006/relationships/hyperlink" Target="https://www.nature.com/articles/s41597-020-0448-0" TargetMode="External"/><Relationship Id="rId1" Type="http://schemas.openxmlformats.org/officeDocument/2006/relationships/hyperlink" Target="https://csrc.nist.gov/publications/detail/sp/800-188/draf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AA475-8527-4A18-BFE7-E9A3DC09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983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Guimarães Amorim</dc:creator>
  <cp:keywords/>
  <dc:description/>
  <cp:lastModifiedBy>André Luiz Guimarães Amorim</cp:lastModifiedBy>
  <cp:revision>7</cp:revision>
  <dcterms:created xsi:type="dcterms:W3CDTF">2020-05-20T22:36:00Z</dcterms:created>
  <dcterms:modified xsi:type="dcterms:W3CDTF">2020-05-26T15:15:00Z</dcterms:modified>
</cp:coreProperties>
</file>