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rPr>
          <w:vertAlign w:val="superscript"/>
        </w:rPr>
        <w:t>1</w:t>
      </w:r>
      <w:r>
        <w:t xml:space="preserve">, </w:t>
      </w:r>
      <w:r>
        <w:t>TRAN Binh-An</w:t>
      </w:r>
      <w:r>
        <w:rPr>
          <w:vertAlign w:val="superscript"/>
        </w:rPr>
        <w:t>2</w:t>
      </w:r>
      <w:r>
        <w:t xml:space="preserve">, and </w:t>
      </w:r>
      <w:r>
        <w:t>NGUYEN Anh-Duy</w:t>
      </w:r>
      <w:r>
        <w:rPr>
          <w:vertAlign w:val="superscript"/>
        </w:rPr>
        <w:t>2</w:t>
      </w:r>
    </w:p>
    <w:p>
      <w:pPr>
        <w:pStyle w:val="address"/>
        <w:jc w:val="center"/>
      </w:pPr>
      <w:r>
        <w:t>1 Nam Can Tho University, Can Tho, Vietnam</w:t>
      </w:r>
    </w:p>
    <w:p>
      <w:pPr>
        <w:pStyle w:val="address"/>
        <w:jc w:val="center"/>
      </w:pPr>
      <w:r>
        <w:t>2 Adhightech Ltd.,Can Tho, Viet Nam</w:t>
      </w:r>
    </w:p>
    <w:p>
      <w:pPr>
        <w:pStyle w:val="address"/>
        <w:jc w:val="center"/>
      </w:pPr>
      <w:r>
        <w:t>nguyenanhduy@adhigtechn.com</w:t>
      </w:r>
    </w:p>
    <w:p w:rsidR="00C24DEF" w:rsidRPr="00EE426C" w:rsidRDefault="009B2539" w:rsidP="00EE426C">
      <w:pPr>
        <w:pStyle w:val="abstract"/>
        <w:spacing w:after="0"/>
        <w:ind w:firstLine="0"/>
      </w:pPr>
      <w:r>
        <w:rPr>
          <w:rFonts w:ascii="Times New Roman" w:hAnsi="Times New Roman"/>
          <w:b/>
          <w:sz w:val="18"/>
        </w:rPr>
        <w:t xml:space="preserve">Abstract. </w:t>
      </w:r>
      <w:r>
        <w:rPr>
          <w:rFonts w:ascii="Times New Roman" w:hAnsi="Times New Roman"/>
          <w:b w:val="0"/>
          <w:sz w:val="18"/>
        </w:rPr>
        <w:t>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sz w:val="18"/>
        </w:rPr>
        <w:t xml:space="preserve">Keywords: </w:t>
      </w:r>
      <w:r>
        <w:rPr>
          <w:rFonts w:ascii="Times New Roman" w:hAnsi="Times New Roman"/>
          <w:b w:val="0"/>
          <w:sz w:val="18"/>
        </w:rPr>
        <w:t>Customer Churn, Churn Prediction, Machine Learning, Continuous Learning, Dynamic Market.</w:t>
      </w:r>
    </w:p>
    <w:p>
      <w:pPr>
        <w:pStyle w:val="heading1"/>
        <w:jc w:val="left"/>
      </w:pPr>
      <w:r>
        <w:t>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1"/>
        <w:jc w:val="left"/>
      </w:pPr>
      <w:r>
        <w:t>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Borders>
              <w:top w:val="single" w:sz="4" w:space="0" w:color="000000"/>
              <w:bottom w:val="single" w:sz="4" w:space="0" w:color="000000"/>
            </w:tcBorders>
          </w:tcPr>
          <w:p>
            <w:r>
              <w:rPr>
                <w:rFonts w:ascii="Times New Roman" w:hAnsi="Times New Roman"/>
                <w:b/>
                <w:sz w:val="18"/>
              </w:rPr>
              <w:t>Feature</w:t>
            </w:r>
          </w:p>
        </w:tc>
        <w:tc>
          <w:tcPr>
            <w:tcW w:type="dxa" w:w="2306"/>
            <w:tcBorders>
              <w:top w:val="single" w:sz="4" w:space="0" w:color="000000"/>
              <w:bottom w:val="single" w:sz="4" w:space="0" w:color="000000"/>
            </w:tcBorders>
          </w:tcPr>
          <w:p>
            <w:r>
              <w:rPr>
                <w:rFonts w:ascii="Times New Roman" w:hAnsi="Times New Roman"/>
                <w:b/>
                <w:sz w:val="18"/>
              </w:rPr>
              <w:t>Type</w:t>
            </w:r>
          </w:p>
        </w:tc>
        <w:tc>
          <w:tcPr>
            <w:tcW w:type="dxa" w:w="2306"/>
            <w:tcBorders>
              <w:top w:val="single" w:sz="4" w:space="0" w:color="000000"/>
              <w:bottom w:val="single" w:sz="4" w:space="0" w:color="000000"/>
            </w:tcBorders>
          </w:tcPr>
          <w:p>
            <w:r>
              <w:rPr>
                <w:rFonts w:ascii="Times New Roman" w:hAnsi="Times New Roman"/>
                <w:b/>
                <w:sz w:val="18"/>
              </w:rPr>
              <w:t>Description</w:t>
            </w:r>
          </w:p>
        </w:tc>
      </w:tr>
      <w:tr>
        <w:tc>
          <w:tcPr>
            <w:tcW w:type="dxa" w:w="2306"/>
            <w:tcBorders/>
          </w:tcPr>
          <w:p>
            <w:r>
              <w:rPr>
                <w:rFonts w:ascii="Times New Roman" w:hAnsi="Times New Roman"/>
                <w:sz w:val="18"/>
              </w:rPr>
              <w:t>CustomerID</w:t>
            </w:r>
          </w:p>
        </w:tc>
        <w:tc>
          <w:tcPr>
            <w:tcW w:type="dxa" w:w="2306"/>
            <w:tcBorders/>
          </w:tcPr>
          <w:p>
            <w:r>
              <w:rPr>
                <w:rFonts w:ascii="Times New Roman" w:hAnsi="Times New Roman"/>
                <w:sz w:val="18"/>
              </w:rPr>
              <w:t>Identifier</w:t>
            </w:r>
          </w:p>
        </w:tc>
        <w:tc>
          <w:tcPr>
            <w:tcW w:type="dxa" w:w="2306"/>
            <w:tcBorders/>
          </w:tcPr>
          <w:p>
            <w:r>
              <w:rPr>
                <w:rFonts w:ascii="Times New Roman" w:hAnsi="Times New Roman"/>
                <w:sz w:val="18"/>
              </w:rPr>
              <w:t>Unique customer ID, used for tracking and train-test split; excluded from prediction.</w:t>
            </w:r>
          </w:p>
        </w:tc>
      </w:tr>
      <w:tr>
        <w:tc>
          <w:tcPr>
            <w:tcW w:type="dxa" w:w="2306"/>
            <w:tcBorders/>
          </w:tcPr>
          <w:p>
            <w:r>
              <w:rPr>
                <w:rFonts w:ascii="Times New Roman" w:hAnsi="Times New Roman"/>
                <w:sz w:val="18"/>
              </w:rPr>
              <w:t>Age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Customer age; nonlinear relation with churn; may require grouping/normalization.</w:t>
            </w:r>
          </w:p>
        </w:tc>
      </w:tr>
      <w:tr>
        <w:tc>
          <w:tcPr>
            <w:tcW w:type="dxa" w:w="2306"/>
            <w:tcBorders/>
          </w:tcPr>
          <w:p>
            <w:r>
              <w:rPr>
                <w:rFonts w:ascii="Times New Roman" w:hAnsi="Times New Roman"/>
                <w:sz w:val="18"/>
              </w:rPr>
              <w:t>Gender</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Gender; encoded (one-hot/target); consider fairness and ``other/undisclosed'' category.</w:t>
            </w:r>
          </w:p>
        </w:tc>
      </w:tr>
      <w:tr>
        <w:tc>
          <w:tcPr>
            <w:tcW w:type="dxa" w:w="2306"/>
            <w:tcBorders/>
          </w:tcPr>
          <w:p>
            <w:r>
              <w:rPr>
                <w:rFonts w:ascii="Times New Roman" w:hAnsi="Times New Roman"/>
                <w:sz w:val="18"/>
              </w:rPr>
              <w:t>Tenure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Subscription length; inversely related to churn; log transform/segmentation suggested.</w:t>
            </w:r>
          </w:p>
        </w:tc>
      </w:tr>
      <w:tr>
        <w:tc>
          <w:tcPr>
            <w:tcW w:type="dxa" w:w="2306"/>
            <w:tcBorders/>
          </w:tcPr>
          <w:p>
            <w:r>
              <w:rPr>
                <w:rFonts w:ascii="Times New Roman" w:hAnsi="Times New Roman"/>
                <w:sz w:val="18"/>
              </w:rPr>
              <w:t>Usage Frequency</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Frequency of service usage; skewed distribution; derived features (trend, variability).</w:t>
            </w:r>
          </w:p>
        </w:tc>
      </w:tr>
      <w:tr>
        <w:tc>
          <w:tcPr>
            <w:tcW w:type="dxa" w:w="2306"/>
            <w:tcBorders/>
          </w:tcPr>
          <w:p>
            <w:r>
              <w:rPr>
                <w:rFonts w:ascii="Times New Roman" w:hAnsi="Times New Roman"/>
                <w:sz w:val="18"/>
              </w:rPr>
              <w:t>Support Calls</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Number of support contacts; U-shaped relation; separate by issue if available.</w:t>
            </w:r>
          </w:p>
        </w:tc>
      </w:tr>
      <w:tr>
        <w:tc>
          <w:tcPr>
            <w:tcW w:type="dxa" w:w="2306"/>
            <w:tcBorders/>
          </w:tcPr>
          <w:p>
            <w:r>
              <w:rPr>
                <w:rFonts w:ascii="Times New Roman" w:hAnsi="Times New Roman"/>
                <w:sz w:val="18"/>
              </w:rPr>
              <w:t>Payment Delay</w:t>
            </w:r>
          </w:p>
        </w:tc>
        <w:tc>
          <w:tcPr>
            <w:tcW w:type="dxa" w:w="2306"/>
            <w:tcBorders/>
          </w:tcPr>
          <w:p>
            <w:r>
              <w:rPr>
                <w:rFonts w:ascii="Times New Roman" w:hAnsi="Times New Roman"/>
                <w:sz w:val="18"/>
              </w:rPr>
              <w:t>Numerical/Cat.</w:t>
            </w:r>
          </w:p>
        </w:tc>
        <w:tc>
          <w:tcPr>
            <w:tcW w:type="dxa" w:w="2306"/>
            <w:tcBorders/>
          </w:tcPr>
          <w:p>
            <w:r>
              <w:rPr>
                <w:rFonts w:ascii="Times New Roman" w:hAnsi="Times New Roman"/>
                <w:sz w:val="18"/>
              </w:rPr>
              <w:t>Payment delays; categorized (0, 1--7, 8--30, &gt;30 days); indicates financial risk.</w:t>
            </w:r>
          </w:p>
        </w:tc>
      </w:tr>
      <w:tr>
        <w:tc>
          <w:tcPr>
            <w:tcW w:type="dxa" w:w="2306"/>
            <w:tcBorders/>
          </w:tcPr>
          <w:p>
            <w:r>
              <w:rPr>
                <w:rFonts w:ascii="Times New Roman" w:hAnsi="Times New Roman"/>
                <w:sz w:val="18"/>
              </w:rPr>
              <w:t>Subscription Type</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Package/plan type; encode ordinally or by economic features (price, ARPU).</w:t>
            </w:r>
          </w:p>
        </w:tc>
      </w:tr>
      <w:tr>
        <w:tc>
          <w:tcPr>
            <w:tcW w:type="dxa" w:w="2306"/>
            <w:tcBorders/>
          </w:tcPr>
          <w:p>
            <w:r>
              <w:rPr>
                <w:rFonts w:ascii="Times New Roman" w:hAnsi="Times New Roman"/>
                <w:sz w:val="18"/>
              </w:rPr>
              <w:t>Contract Length</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Contract duration; transform to ``time to expiration'' or contract status flag.</w:t>
            </w:r>
          </w:p>
        </w:tc>
      </w:tr>
      <w:tr>
        <w:tc>
          <w:tcPr>
            <w:tcW w:type="dxa" w:w="2306"/>
            <w:tcBorders/>
          </w:tcPr>
          <w:p>
            <w:r>
              <w:rPr>
                <w:rFonts w:ascii="Times New Roman" w:hAnsi="Times New Roman"/>
                <w:sz w:val="18"/>
              </w:rPr>
              <w:t>Total Spend</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Total expenditure; heavy-tailed; normalize by time (e.g., ARPU) to reduce correlation.</w:t>
            </w:r>
          </w:p>
        </w:tc>
      </w:tr>
      <w:tr>
        <w:tc>
          <w:tcPr>
            <w:tcW w:type="dxa" w:w="2306"/>
            <w:tcBorders/>
          </w:tcPr>
          <w:p>
            <w:r>
              <w:rPr>
                <w:rFonts w:ascii="Times New Roman" w:hAnsi="Times New Roman"/>
                <w:sz w:val="18"/>
              </w:rPr>
              <w:t>Last Interaction</w:t>
            </w:r>
          </w:p>
        </w:tc>
        <w:tc>
          <w:tcPr>
            <w:tcW w:type="dxa" w:w="2306"/>
            <w:tcBorders/>
          </w:tcPr>
          <w:p>
            <w:r>
              <w:rPr>
                <w:rFonts w:ascii="Times New Roman" w:hAnsi="Times New Roman"/>
                <w:sz w:val="18"/>
              </w:rPr>
              <w:t>Timestamp</w:t>
            </w:r>
          </w:p>
        </w:tc>
        <w:tc>
          <w:tcPr>
            <w:tcW w:type="dxa" w:w="2306"/>
            <w:tcBorders/>
          </w:tcPr>
          <w:p>
            <w:r>
              <w:rPr>
                <w:rFonts w:ascii="Times New Roman" w:hAnsi="Times New Roman"/>
                <w:sz w:val="18"/>
              </w:rPr>
              <w:t>Most recent customer interaction; convert to Recency; avoid leakage.</w:t>
            </w:r>
          </w:p>
        </w:tc>
      </w:tr>
      <w:tr>
        <w:tc>
          <w:tcPr>
            <w:tcW w:type="dxa" w:w="2306"/>
            <w:tcBorders>
              <w:bottom w:val="single" w:sz="4" w:space="0" w:color="000000"/>
            </w:tcBorders>
          </w:tcPr>
          <w:p>
            <w:r>
              <w:rPr>
                <w:rFonts w:ascii="Times New Roman" w:hAnsi="Times New Roman"/>
                <w:sz w:val="18"/>
              </w:rPr>
              <w:t>Churn (Class)</w:t>
            </w:r>
          </w:p>
        </w:tc>
        <w:tc>
          <w:tcPr>
            <w:tcW w:type="dxa" w:w="2306"/>
            <w:tcBorders>
              <w:bottom w:val="single" w:sz="4" w:space="0" w:color="000000"/>
            </w:tcBorders>
          </w:tcPr>
          <w:p>
            <w:r>
              <w:rPr>
                <w:rFonts w:ascii="Times New Roman" w:hAnsi="Times New Roman"/>
                <w:sz w:val="18"/>
              </w:rPr>
              <w:t>Target (Binary)</w:t>
            </w:r>
          </w:p>
        </w:tc>
        <w:tc>
          <w:tcPr>
            <w:tcW w:type="dxa" w:w="2306"/>
            <w:tcBorders>
              <w:bottom w:val="single" w:sz="4" w:space="0" w:color="000000"/>
            </w:tcBorders>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pPr>
      <w:r>
        <w:tab/>
      </w:r>
      <w:r>
        <w:t>Balanced Accuracy (BA) = ½ (Specificity + Sensitivity)</w:t>
      </w:r>
      <w:r>
        <w:tab/>
        <w:t>(1)</w:t>
      </w:r>
    </w:p>
    <w:p>
      <w:pPr>
        <w:pStyle w:val="heading1"/>
        <w:jc w:val="left"/>
      </w:pPr>
      <w:r>
        <w:t>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4389120" cy="1874794"/>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4389120" cy="1874794"/>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Borders>
              <w:top w:val="single" w:sz="4" w:space="0" w:color="000000"/>
              <w:bottom w:val="single" w:sz="4" w:space="0" w:color="000000"/>
            </w:tcBorders>
          </w:tcPr>
          <w:p>
            <w:r>
              <w:rPr>
                <w:rFonts w:ascii="Times New Roman" w:hAnsi="Times New Roman"/>
                <w:b/>
                <w:sz w:val="18"/>
              </w:rPr>
              <w:t>EKI Algorithms</w:t>
            </w:r>
          </w:p>
        </w:tc>
        <w:tc>
          <w:tcPr>
            <w:tcW w:type="dxa" w:w="1729"/>
            <w:tcBorders>
              <w:top w:val="single" w:sz="4" w:space="0" w:color="000000"/>
              <w:bottom w:val="single" w:sz="4" w:space="0" w:color="000000"/>
            </w:tcBorders>
          </w:tcPr>
          <w:p>
            <w:r>
              <w:rPr>
                <w:rFonts w:ascii="Times New Roman" w:hAnsi="Times New Roman"/>
                <w:b/>
                <w:sz w:val="18"/>
              </w:rPr>
              <w:t>Average (\%)</w:t>
            </w:r>
          </w:p>
        </w:tc>
        <w:tc>
          <w:tcPr>
            <w:tcW w:type="dxa" w:w="1729"/>
            <w:tcBorders>
              <w:top w:val="single" w:sz="4" w:space="0" w:color="000000"/>
              <w:bottom w:val="single" w:sz="4" w:space="0" w:color="000000"/>
            </w:tcBorders>
          </w:tcPr>
          <w:p>
            <w:r>
              <w:rPr>
                <w:rFonts w:ascii="Times New Roman" w:hAnsi="Times New Roman"/>
                <w:b/>
                <w:sz w:val="18"/>
              </w:rPr>
              <w:t>Last Batch (\%)</w:t>
            </w:r>
          </w:p>
        </w:tc>
        <w:tc>
          <w:tcPr>
            <w:tcW w:type="dxa" w:w="1729"/>
            <w:tcBorders>
              <w:top w:val="single" w:sz="4" w:space="0" w:color="000000"/>
              <w:bottom w:val="single" w:sz="4" w:space="0" w:color="000000"/>
            </w:tcBorders>
          </w:tcPr>
          <w:p>
            <w:r>
              <w:rPr>
                <w:rFonts w:ascii="Times New Roman" w:hAnsi="Times New Roman"/>
                <w:b/>
                <w:sz w:val="18"/>
              </w:rPr>
              <w:t>Standard Deviation (\%)</w:t>
            </w:r>
          </w:p>
        </w:tc>
      </w:tr>
      <w:tr>
        <w:tc>
          <w:tcPr>
            <w:tcW w:type="dxa" w:w="1729"/>
            <w:tcBorders/>
          </w:tcPr>
          <w:p>
            <w:r>
              <w:rPr>
                <w:rFonts w:ascii="Times New Roman" w:hAnsi="Times New Roman"/>
                <w:sz w:val="18"/>
              </w:rPr>
              <w:t>EKI-Adaboost</w:t>
            </w:r>
          </w:p>
        </w:tc>
        <w:tc>
          <w:tcPr>
            <w:tcW w:type="dxa" w:w="1729"/>
            <w:tcBorders/>
          </w:tcPr>
          <w:p>
            <w:r>
              <w:rPr>
                <w:rFonts w:ascii="Times New Roman" w:hAnsi="Times New Roman"/>
                <w:sz w:val="18"/>
              </w:rPr>
              <w:t>92.75</w:t>
            </w:r>
          </w:p>
        </w:tc>
        <w:tc>
          <w:tcPr>
            <w:tcW w:type="dxa" w:w="1729"/>
            <w:tcBorders/>
          </w:tcPr>
          <w:p>
            <w:r>
              <w:rPr>
                <w:rFonts w:ascii="Times New Roman" w:hAnsi="Times New Roman"/>
                <w:sz w:val="18"/>
              </w:rPr>
              <w:t>0.37</w:t>
            </w:r>
          </w:p>
        </w:tc>
        <w:tc>
          <w:tcPr>
            <w:tcW w:type="dxa" w:w="1729"/>
            <w:tcBorders/>
          </w:tcPr>
          <w:p>
            <w:r>
              <w:rPr>
                <w:rFonts w:ascii="Times New Roman" w:hAnsi="Times New Roman"/>
                <w:sz w:val="18"/>
              </w:rPr>
              <w:t>92.67</w:t>
            </w:r>
          </w:p>
        </w:tc>
      </w:tr>
      <w:tr>
        <w:tc>
          <w:tcPr>
            <w:tcW w:type="dxa" w:w="1729"/>
            <w:tcBorders/>
          </w:tcPr>
          <w:p>
            <w:r>
              <w:rPr>
                <w:rFonts w:ascii="Times New Roman" w:hAnsi="Times New Roman"/>
                <w:sz w:val="18"/>
              </w:rPr>
              <w:t>EKI-ExtraTree</w:t>
            </w:r>
          </w:p>
        </w:tc>
        <w:tc>
          <w:tcPr>
            <w:tcW w:type="dxa" w:w="1729"/>
            <w:tcBorders/>
          </w:tcPr>
          <w:p>
            <w:r>
              <w:rPr>
                <w:rFonts w:ascii="Times New Roman" w:hAnsi="Times New Roman"/>
                <w:sz w:val="18"/>
              </w:rPr>
              <w:t>82.85</w:t>
            </w:r>
          </w:p>
        </w:tc>
        <w:tc>
          <w:tcPr>
            <w:tcW w:type="dxa" w:w="1729"/>
            <w:tcBorders/>
          </w:tcPr>
          <w:p>
            <w:r>
              <w:rPr>
                <w:rFonts w:ascii="Times New Roman" w:hAnsi="Times New Roman"/>
                <w:sz w:val="18"/>
              </w:rPr>
              <w:t>2.46</w:t>
            </w:r>
          </w:p>
        </w:tc>
        <w:tc>
          <w:tcPr>
            <w:tcW w:type="dxa" w:w="1729"/>
            <w:tcBorders/>
          </w:tcPr>
          <w:p>
            <w:r>
              <w:rPr>
                <w:rFonts w:ascii="Times New Roman" w:hAnsi="Times New Roman"/>
                <w:sz w:val="18"/>
              </w:rPr>
              <w:t>83.67</w:t>
            </w:r>
          </w:p>
        </w:tc>
      </w:tr>
      <w:tr>
        <w:tc>
          <w:tcPr>
            <w:tcW w:type="dxa" w:w="1729"/>
            <w:tcBorders/>
          </w:tcPr>
          <w:p>
            <w:r>
              <w:rPr>
                <w:rFonts w:ascii="Times New Roman" w:hAnsi="Times New Roman"/>
                <w:sz w:val="18"/>
              </w:rPr>
              <w:t>EKI-Bagging</w:t>
            </w:r>
          </w:p>
        </w:tc>
        <w:tc>
          <w:tcPr>
            <w:tcW w:type="dxa" w:w="1729"/>
            <w:tcBorders/>
          </w:tcPr>
          <w:p>
            <w:r>
              <w:rPr>
                <w:rFonts w:ascii="Times New Roman" w:hAnsi="Times New Roman"/>
                <w:sz w:val="18"/>
              </w:rPr>
              <w:t>99.05</w:t>
            </w:r>
          </w:p>
        </w:tc>
        <w:tc>
          <w:tcPr>
            <w:tcW w:type="dxa" w:w="1729"/>
            <w:tcBorders/>
          </w:tcPr>
          <w:p>
            <w:r>
              <w:rPr>
                <w:rFonts w:ascii="Times New Roman" w:hAnsi="Times New Roman"/>
                <w:sz w:val="18"/>
              </w:rPr>
              <w:t>0.93</w:t>
            </w:r>
          </w:p>
        </w:tc>
        <w:tc>
          <w:tcPr>
            <w:tcW w:type="dxa" w:w="1729"/>
            <w:tcBorders/>
          </w:tcPr>
          <w:p>
            <w:r>
              <w:rPr>
                <w:rFonts w:ascii="Times New Roman" w:hAnsi="Times New Roman"/>
                <w:sz w:val="18"/>
              </w:rPr>
              <w:t>98.82</w:t>
            </w:r>
          </w:p>
        </w:tc>
      </w:tr>
      <w:tr>
        <w:tc>
          <w:tcPr>
            <w:tcW w:type="dxa" w:w="1729"/>
            <w:tcBorders/>
          </w:tcPr>
          <w:p>
            <w:r>
              <w:rPr>
                <w:rFonts w:ascii="Times New Roman" w:hAnsi="Times New Roman"/>
                <w:sz w:val="18"/>
              </w:rPr>
              <w:t>EKI-RandomForest</w:t>
            </w:r>
          </w:p>
        </w:tc>
        <w:tc>
          <w:tcPr>
            <w:tcW w:type="dxa" w:w="1729"/>
            <w:tcBorders/>
          </w:tcPr>
          <w:p>
            <w:r>
              <w:rPr>
                <w:rFonts w:ascii="Times New Roman" w:hAnsi="Times New Roman"/>
                <w:sz w:val="18"/>
              </w:rPr>
              <w:t>98.31</w:t>
            </w:r>
          </w:p>
        </w:tc>
        <w:tc>
          <w:tcPr>
            <w:tcW w:type="dxa" w:w="1729"/>
            <w:tcBorders/>
          </w:tcPr>
          <w:p>
            <w:r>
              <w:rPr>
                <w:rFonts w:ascii="Times New Roman" w:hAnsi="Times New Roman"/>
                <w:sz w:val="18"/>
              </w:rPr>
              <w:t>0.56</w:t>
            </w:r>
          </w:p>
        </w:tc>
        <w:tc>
          <w:tcPr>
            <w:tcW w:type="dxa" w:w="1729"/>
            <w:tcBorders/>
          </w:tcPr>
          <w:p>
            <w:r>
              <w:rPr>
                <w:rFonts w:ascii="Times New Roman" w:hAnsi="Times New Roman"/>
                <w:sz w:val="18"/>
              </w:rPr>
              <w:t>98.16</w:t>
            </w:r>
          </w:p>
        </w:tc>
      </w:tr>
      <w:tr>
        <w:tc>
          <w:tcPr>
            <w:tcW w:type="dxa" w:w="1729"/>
            <w:tcBorders/>
          </w:tcPr>
          <w:p>
            <w:r>
              <w:rPr>
                <w:rFonts w:ascii="Times New Roman" w:hAnsi="Times New Roman"/>
                <w:sz w:val="18"/>
              </w:rPr>
              <w:t>EKI-Decision Tree</w:t>
            </w:r>
          </w:p>
        </w:tc>
        <w:tc>
          <w:tcPr>
            <w:tcW w:type="dxa" w:w="1729"/>
            <w:tcBorders/>
          </w:tcPr>
          <w:p>
            <w:r>
              <w:rPr>
                <w:rFonts w:ascii="Times New Roman" w:hAnsi="Times New Roman"/>
                <w:sz w:val="18"/>
              </w:rPr>
              <w:t>99.63</w:t>
            </w:r>
          </w:p>
        </w:tc>
        <w:tc>
          <w:tcPr>
            <w:tcW w:type="dxa" w:w="1729"/>
            <w:tcBorders/>
          </w:tcPr>
          <w:p>
            <w:r>
              <w:rPr>
                <w:rFonts w:ascii="Times New Roman" w:hAnsi="Times New Roman"/>
                <w:sz w:val="18"/>
              </w:rPr>
              <w:t>0.64</w:t>
            </w:r>
          </w:p>
        </w:tc>
        <w:tc>
          <w:tcPr>
            <w:tcW w:type="dxa" w:w="1729"/>
            <w:tcBorders/>
          </w:tcPr>
          <w:p>
            <w:r>
              <w:rPr>
                <w:rFonts w:ascii="Times New Roman" w:hAnsi="Times New Roman"/>
                <w:sz w:val="18"/>
              </w:rPr>
              <w:t>99.39</w:t>
            </w:r>
          </w:p>
        </w:tc>
      </w:tr>
      <w:tr>
        <w:tc>
          <w:tcPr>
            <w:tcW w:type="dxa" w:w="1729"/>
            <w:tcBorders/>
          </w:tcPr>
          <w:p>
            <w:r>
              <w:rPr>
                <w:rFonts w:ascii="Times New Roman" w:hAnsi="Times New Roman"/>
                <w:sz w:val="18"/>
              </w:rPr>
              <w:t>EKI-MLP</w:t>
            </w:r>
          </w:p>
        </w:tc>
        <w:tc>
          <w:tcPr>
            <w:tcW w:type="dxa" w:w="1729"/>
            <w:tcBorders/>
          </w:tcPr>
          <w:p>
            <w:r>
              <w:rPr>
                <w:rFonts w:ascii="Times New Roman" w:hAnsi="Times New Roman"/>
                <w:sz w:val="18"/>
              </w:rPr>
              <w:t>74.40</w:t>
            </w:r>
          </w:p>
        </w:tc>
        <w:tc>
          <w:tcPr>
            <w:tcW w:type="dxa" w:w="1729"/>
            <w:tcBorders/>
          </w:tcPr>
          <w:p>
            <w:r>
              <w:rPr>
                <w:rFonts w:ascii="Times New Roman" w:hAnsi="Times New Roman"/>
                <w:sz w:val="18"/>
              </w:rPr>
              <w:t>5.83</w:t>
            </w:r>
          </w:p>
        </w:tc>
        <w:tc>
          <w:tcPr>
            <w:tcW w:type="dxa" w:w="1729"/>
            <w:tcBorders/>
          </w:tcPr>
          <w:p>
            <w:r>
              <w:rPr>
                <w:rFonts w:ascii="Times New Roman" w:hAnsi="Times New Roman"/>
                <w:sz w:val="18"/>
              </w:rPr>
              <w:t>69.95</w:t>
            </w:r>
          </w:p>
        </w:tc>
      </w:tr>
      <w:tr>
        <w:tc>
          <w:tcPr>
            <w:tcW w:type="dxa" w:w="1729"/>
            <w:tcBorders>
              <w:bottom w:val="single" w:sz="4" w:space="0" w:color="000000"/>
            </w:tcBorders>
          </w:tcPr>
          <w:p>
            <w:r>
              <w:rPr>
                <w:rFonts w:ascii="Times New Roman" w:hAnsi="Times New Roman"/>
                <w:sz w:val="18"/>
              </w:rPr>
              <w:t>EKI-GaussianNB</w:t>
            </w:r>
          </w:p>
        </w:tc>
        <w:tc>
          <w:tcPr>
            <w:tcW w:type="dxa" w:w="1729"/>
            <w:tcBorders>
              <w:bottom w:val="single" w:sz="4" w:space="0" w:color="000000"/>
            </w:tcBorders>
          </w:tcPr>
          <w:p>
            <w:r>
              <w:rPr>
                <w:rFonts w:ascii="Times New Roman" w:hAnsi="Times New Roman"/>
                <w:sz w:val="18"/>
              </w:rPr>
              <w:t>84.99</w:t>
            </w:r>
          </w:p>
        </w:tc>
        <w:tc>
          <w:tcPr>
            <w:tcW w:type="dxa" w:w="1729"/>
            <w:tcBorders>
              <w:bottom w:val="single" w:sz="4" w:space="0" w:color="000000"/>
            </w:tcBorders>
          </w:tcPr>
          <w:p>
            <w:r>
              <w:rPr>
                <w:rFonts w:ascii="Times New Roman" w:hAnsi="Times New Roman"/>
                <w:sz w:val="18"/>
              </w:rPr>
              <w:t>0.80</w:t>
            </w:r>
          </w:p>
        </w:tc>
        <w:tc>
          <w:tcPr>
            <w:tcW w:type="dxa" w:w="1729"/>
            <w:tcBorders>
              <w:bottom w:val="single" w:sz="4" w:space="0" w:color="000000"/>
            </w:tcBorders>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4347556" cy="2402378"/>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4347556" cy="2402378"/>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4389120" cy="2634301"/>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4389120" cy="2634301"/>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1"/>
        <w:jc w:val="left"/>
      </w:pPr>
      <w:r>
        <w:t>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4389120" cy="2621488"/>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4389120" cy="2621488"/>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4389120" cy="3067396"/>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4389120" cy="3067396"/>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