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3.5647244094489"/>
        <w:gridCol w:w="3701.6632440944886"/>
        <w:gridCol w:w="4770.283842519685"/>
        <w:tblGridChange w:id="0">
          <w:tblGrid>
            <w:gridCol w:w="553.5647244094489"/>
            <w:gridCol w:w="3701.6632440944886"/>
            <w:gridCol w:w="4770.2838425196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Đánh giá: Hợp lý / Chưa hợp lý, vì sao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Cách chốt lại đúng</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P1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Chưa hợp lý:</w:t>
            </w:r>
            <w:r w:rsidDel="00000000" w:rsidR="00000000" w:rsidRPr="00000000">
              <w:rPr>
                <w:rtl w:val="0"/>
              </w:rPr>
              <w:t xml:space="preserve"> Lấy trung bình thay vì để người chọn 3 và 5 giải thích; 4 SP không có trên thang Fibonacci đã quy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Người chọn 3 và 5 giải thích lý do; Developers thảo luận và chọn lại đến khi thống nhất một giá trị trên thang Fibonacci.</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P2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Chưa hợp lý:</w:t>
            </w:r>
            <w:r w:rsidDel="00000000" w:rsidR="00000000" w:rsidRPr="00000000">
              <w:rPr>
                <w:rtl w:val="0"/>
              </w:rPr>
              <w:t xml:space="preserve"> Product Owner (Đức) tự quyết định SP; các phiếu chênh lệch từ 5 đến 13 nhưng chưa có bước giải thích và chọn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Người chọn 5 và 13 giải thích lý do; Developers thảo luận, làm rõ các điểm khác biệt và chọn lại đồng thời. Nếu còn chênh lệch, tiếp tục giải thích và chọn lại cho đến khi thống nhất một giá trị trên thang Fibonacci. Product Owner chỉ làm rõ giá trị nghiệp vụ và phạm vi, không quyết định SP.</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P3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Hợp lý:</w:t>
            </w:r>
            <w:r w:rsidDel="00000000" w:rsidR="00000000" w:rsidRPr="00000000">
              <w:rPr>
                <w:rtl w:val="0"/>
              </w:rPr>
              <w:t xml:space="preserve"> Người chọn thấp nhất (3) và cao nhất (8) đã giải thích; Developers chọn lại và cùng thống nhất 5 SP. Giá trị 5 SP nằm trên thang Fibonacci.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Giữ nguyên.</w:t>
            </w:r>
            <w:r w:rsidDel="00000000" w:rsidR="00000000" w:rsidRPr="00000000">
              <w:rPr>
                <w:sz w:val="21"/>
                <w:szCs w:val="21"/>
                <w:rtl w:val="0"/>
              </w:rPr>
              <w:t xml:space="preserve">Người chọn 3 và 8 giải thích; chọn lại được 5 · 5 · 5 · 5 → 5 SP</w:t>
            </w:r>
            <w:r w:rsidDel="00000000" w:rsidR="00000000" w:rsidRPr="00000000">
              <w:rPr>
                <w:b w:val="1"/>
                <w:bCs w:val="1"/>
                <w:rtl w:val="0"/>
              </w:rPr>
              <w:t xml:space="preserve"> </w:t>
            </w:r>
            <w:r w:rsidDel="00000000" w:rsidR="00000000" w:rsidRPr="00000000">
              <w:rPr>
                <w:rtl w:val="0"/>
              </w:rPr>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P4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Chưa hợp lý:</w:t>
            </w:r>
            <w:r w:rsidDel="00000000" w:rsidR="00000000" w:rsidRPr="00000000">
              <w:rPr>
                <w:rtl w:val="0"/>
              </w:rPr>
              <w:t xml:space="preserve"> Quy trình thảo luận và chọn lại là đúng, kết quả 13 SP cũng hợp lệ. Tuy nhiên, ghi chú quy đổi cố định 13 SP = 52 giờ là sai vì Story Point đo độ lớn tương đối, không quy đổi cố định sang giờ hoặc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Giữ kết quả</w:t>
            </w:r>
            <w:r w:rsidDel="00000000" w:rsidR="00000000" w:rsidRPr="00000000">
              <w:rPr>
                <w:rtl w:val="0"/>
              </w:rPr>
              <w:t xml:space="preserve"> 13 SP</w:t>
            </w:r>
            <w:r w:rsidDel="00000000" w:rsidR="00000000" w:rsidRPr="00000000">
              <w:rPr>
                <w:rtl w:val="0"/>
              </w:rPr>
              <w:t xml:space="preserve">, xóa ghi chú "13 SP = 52 giờ".</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P5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Chưa hợp lý:</w:t>
            </w:r>
            <w:r w:rsidDel="00000000" w:rsidR="00000000" w:rsidRPr="00000000">
              <w:rPr>
                <w:rtl w:val="0"/>
              </w:rPr>
              <w:t xml:space="preserve"> PBI chưa rõ quy tắc sử dụng mã giới thiệu cùng các chương trình khuyến mãi khác nhưng đội vẫn ước lượng; việc chốt theo đa số là sai quy tắc Planning Poker.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Làm rõ quy tắc kết hợp mã giới thiệu với các chương trình khuyến mãi khác và cập nhật phạm vi PBI. Sau đó, Developers thực hiện Planning Poker: chọn thẻ kín, lật đồng thời; nếu có chênh lệch, người chọn cao nhất và thấp nhất giải thích rồi chọn lại cho đến khi thống nhất một giá trị trên thang Fibonacci.</w:t>
            </w:r>
          </w:p>
        </w:tc>
      </w:tr>
    </w:tbl>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