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AE8D"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DÀN Ý CHI TIẾT GIÁO TRÌNH MÔN HỌC: ỨNG DỤNG AI TRONG NÔNG NGHIỆP</w:t>
      </w:r>
    </w:p>
    <w:p w14:paraId="23852EA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Lời nói đầu</w:t>
      </w:r>
    </w:p>
    <w:p w14:paraId="475C089F" w14:textId="77777777" w:rsidR="00E54974" w:rsidRPr="00E54974" w:rsidRDefault="00E54974" w:rsidP="00E54974">
      <w:pPr>
        <w:numPr>
          <w:ilvl w:val="0"/>
          <w:numId w:val="1"/>
        </w:numPr>
        <w:rPr>
          <w:rFonts w:asciiTheme="majorHAnsi" w:hAnsiTheme="majorHAnsi" w:cstheme="majorHAnsi"/>
        </w:rPr>
      </w:pPr>
      <w:r w:rsidRPr="00E54974">
        <w:rPr>
          <w:rFonts w:asciiTheme="majorHAnsi" w:hAnsiTheme="majorHAnsi" w:cstheme="majorHAnsi"/>
        </w:rPr>
        <w:t>Giới thiệu mục tiêu, đối tượng và tầm quan trọng của giáo trình trong bối cảnh phát triển nông nghiệp công nghệ cao tại Việt Nam, đặc biệt là các vùng trọng điểm như Tây Nguyên.</w:t>
      </w:r>
    </w:p>
    <w:p w14:paraId="30C3A5F0" w14:textId="77777777" w:rsidR="00E54974" w:rsidRPr="00E54974" w:rsidRDefault="00E54974" w:rsidP="00E54974">
      <w:pPr>
        <w:numPr>
          <w:ilvl w:val="0"/>
          <w:numId w:val="1"/>
        </w:numPr>
        <w:rPr>
          <w:rFonts w:asciiTheme="majorHAnsi" w:hAnsiTheme="majorHAnsi" w:cstheme="majorHAnsi"/>
        </w:rPr>
      </w:pPr>
      <w:r w:rsidRPr="00E54974">
        <w:rPr>
          <w:rFonts w:asciiTheme="majorHAnsi" w:hAnsiTheme="majorHAnsi" w:cstheme="majorHAnsi"/>
        </w:rPr>
        <w:t>Hướng dẫn cấu trúc giáo trình, nhấn mạnh sự liên kết giữa các chương chính và 10 buổi học trên lớp.</w:t>
      </w:r>
    </w:p>
    <w:p w14:paraId="5CC1AA6C" w14:textId="77777777" w:rsidR="00E54974" w:rsidRPr="00E54974" w:rsidRDefault="00000000" w:rsidP="00E54974">
      <w:pPr>
        <w:rPr>
          <w:rFonts w:asciiTheme="majorHAnsi" w:hAnsiTheme="majorHAnsi" w:cstheme="majorHAnsi"/>
        </w:rPr>
      </w:pPr>
      <w:r>
        <w:rPr>
          <w:rFonts w:asciiTheme="majorHAnsi" w:hAnsiTheme="majorHAnsi" w:cstheme="majorHAnsi"/>
        </w:rPr>
        <w:pict w14:anchorId="525E5E94">
          <v:rect id="_x0000_i1025" style="width:0;height:1.5pt" o:hralign="center" o:hrstd="t" o:hr="t" fillcolor="#a0a0a0" stroked="f"/>
        </w:pict>
      </w:r>
    </w:p>
    <w:p w14:paraId="0CB3E0F5"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PHẦN I: NỘI DUNG CHÍNH THEO CHƯƠNG TRÌNH HỌC</w:t>
      </w:r>
    </w:p>
    <w:p w14:paraId="6BC9C3CF" w14:textId="77777777" w:rsidR="00E54974" w:rsidRPr="00E54974" w:rsidRDefault="00E54974" w:rsidP="00E54974">
      <w:pPr>
        <w:rPr>
          <w:rFonts w:asciiTheme="majorHAnsi" w:hAnsiTheme="majorHAnsi" w:cstheme="majorHAnsi"/>
        </w:rPr>
      </w:pPr>
      <w:r w:rsidRPr="00E54974">
        <w:rPr>
          <w:rFonts w:asciiTheme="majorHAnsi" w:hAnsiTheme="majorHAnsi" w:cstheme="majorHAnsi"/>
          <w:i/>
          <w:iCs/>
        </w:rPr>
        <w:t>Phần này bám sát nội dung của 10 buổi học trong đề cương, mỗi chương tương ứng với một buổi học.</w:t>
      </w:r>
    </w:p>
    <w:p w14:paraId="3669CDDE"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 Mở đầu về Trí tuệ nhân tạo trong Nông nghiệp (Tương ứng Buổi 1)</w:t>
      </w:r>
    </w:p>
    <w:p w14:paraId="140B8642"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1.1. Giới thiệu học phần và các khái niệm cốt lõi: AI, Nông nghiệp 4.0, Nông nghiệp thông minh.</w:t>
      </w:r>
    </w:p>
    <w:p w14:paraId="192A45D4"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1.2. Lịch sử và các cột mốc quan trọng của AI trong nông nghiệp.</w:t>
      </w:r>
    </w:p>
    <w:p w14:paraId="05C5A42B"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1.3. Phân tích case study: Một mô hình nông nghiệp thông minh thành công (ví dụ: VinEco hoặc các mô hình tại Israel).</w:t>
      </w:r>
    </w:p>
    <w:p w14:paraId="0A37CA69"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2: Nền tảng Học máy - Machine Learning (Tương ứng Buổi 2)</w:t>
      </w:r>
    </w:p>
    <w:p w14:paraId="195CC7E2"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2.1. Học máy là gì và tại sao nó quan trọng với nông nghiệp?</w:t>
      </w:r>
    </w:p>
    <w:p w14:paraId="176CE340"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 xml:space="preserve">2.2. Phân loại các hệ thống Học máy: </w:t>
      </w:r>
    </w:p>
    <w:p w14:paraId="4756BFED" w14:textId="77777777" w:rsidR="00E54974" w:rsidRPr="00E54974" w:rsidRDefault="00E54974" w:rsidP="00E54974">
      <w:pPr>
        <w:numPr>
          <w:ilvl w:val="1"/>
          <w:numId w:val="3"/>
        </w:numPr>
        <w:rPr>
          <w:rFonts w:asciiTheme="majorHAnsi" w:hAnsiTheme="majorHAnsi" w:cstheme="majorHAnsi"/>
        </w:rPr>
      </w:pPr>
      <w:r w:rsidRPr="00E54974">
        <w:rPr>
          <w:rFonts w:asciiTheme="majorHAnsi" w:hAnsiTheme="majorHAnsi" w:cstheme="majorHAnsi"/>
        </w:rPr>
        <w:t>2.2.1. Học có giám sát (Supervised Learning): Ứng dụng trong dự báo thời tiết, giá cả.</w:t>
      </w:r>
    </w:p>
    <w:p w14:paraId="660DD158" w14:textId="77777777" w:rsidR="00E54974" w:rsidRPr="00E54974" w:rsidRDefault="00E54974" w:rsidP="00E54974">
      <w:pPr>
        <w:numPr>
          <w:ilvl w:val="1"/>
          <w:numId w:val="3"/>
        </w:numPr>
        <w:rPr>
          <w:rFonts w:asciiTheme="majorHAnsi" w:hAnsiTheme="majorHAnsi" w:cstheme="majorHAnsi"/>
        </w:rPr>
      </w:pPr>
      <w:r w:rsidRPr="00E54974">
        <w:rPr>
          <w:rFonts w:asciiTheme="majorHAnsi" w:hAnsiTheme="majorHAnsi" w:cstheme="majorHAnsi"/>
        </w:rPr>
        <w:t>2.2.2. Học không giám sát (Unsupervised Learning): Ứng dụng trong phân vùng đất đai.</w:t>
      </w:r>
    </w:p>
    <w:p w14:paraId="3B250C8A"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 xml:space="preserve">2.3. Quy trình cơ bản để xây dựng một mô hình dự báo. </w:t>
      </w:r>
      <w:r w:rsidRPr="00E54974">
        <w:rPr>
          <w:rFonts w:asciiTheme="majorHAnsi" w:hAnsiTheme="majorHAnsi" w:cstheme="majorHAnsi"/>
          <w:i/>
          <w:iCs/>
        </w:rPr>
        <w:t>(Tham khảo từ: "Data-Driven Farming...")</w:t>
      </w:r>
    </w:p>
    <w:p w14:paraId="175ECF5F"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3: Khám phá Học sâu - Deep Learning (Tương ứng Buổi 3)</w:t>
      </w:r>
    </w:p>
    <w:p w14:paraId="2B461CB2"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3.1. Giới thiệu Mạng Nơ-ron (Neural Networks) – "Bộ não" của AI.</w:t>
      </w:r>
    </w:p>
    <w:p w14:paraId="3BC7A072"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3.2. Học sâu là gì? So sánh ưu, nhược điểm với Học máy truyền thống.</w:t>
      </w:r>
    </w:p>
    <w:p w14:paraId="74630FB3"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3.3. Mạng Nơ-ron Tích chập (CNN) và vai trò trong xử lý hình ảnh.</w:t>
      </w:r>
    </w:p>
    <w:p w14:paraId="175E4183"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3.4. Case study: Phân tích mô hình CNN nhận diện bệnh vàng lá trên cây có múi.</w:t>
      </w:r>
    </w:p>
    <w:p w14:paraId="1603FF41"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lastRenderedPageBreak/>
        <w:t>Chương 4: Sức mạnh của Thị giác máy tính - Computer Vision (Tương ứng Buổi 4)</w:t>
      </w:r>
    </w:p>
    <w:p w14:paraId="32643116"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4.1. Nguyên lý hoạt động của Thị giác máy tính.</w:t>
      </w:r>
    </w:p>
    <w:p w14:paraId="48BBF5FA"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 xml:space="preserve">4.2. Các ứng dụng thực tiễn: </w:t>
      </w:r>
    </w:p>
    <w:p w14:paraId="6DD8619E"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4.2.1. Giám sát sự tăng trưởng của cây trồng qua camera.</w:t>
      </w:r>
    </w:p>
    <w:p w14:paraId="2125D686"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4.2.2. Đếm và ước lượng kích thước trái cây tự động.</w:t>
      </w:r>
    </w:p>
    <w:p w14:paraId="43A38A5A"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4.2.3. Phân loại nông sản sau thu hoạch.</w:t>
      </w:r>
    </w:p>
    <w:p w14:paraId="73FF76F5"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 xml:space="preserve">4.3. Các thách thức của Thị giác máy tính trong điều kiện đồng ruộng (ánh sáng, vật cản). </w:t>
      </w:r>
      <w:r w:rsidRPr="00E54974">
        <w:rPr>
          <w:rFonts w:asciiTheme="majorHAnsi" w:hAnsiTheme="majorHAnsi" w:cstheme="majorHAnsi"/>
          <w:i/>
          <w:iCs/>
        </w:rPr>
        <w:t>(Tham khảo từ: "Multi-Modal Detection and Mapping...")</w:t>
      </w:r>
    </w:p>
    <w:p w14:paraId="2A839429"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đọc thêm 1: Các hệ thống AI khác trong Nông nghiệp</w:t>
      </w:r>
      <w:r w:rsidRPr="00E54974">
        <w:rPr>
          <w:rFonts w:asciiTheme="majorHAnsi" w:hAnsiTheme="majorHAnsi" w:cstheme="majorHAnsi"/>
        </w:rPr>
        <w:t xml:space="preserve"> </w:t>
      </w:r>
      <w:r w:rsidRPr="00E54974">
        <w:rPr>
          <w:rFonts w:asciiTheme="majorHAnsi" w:hAnsiTheme="majorHAnsi" w:cstheme="majorHAnsi"/>
          <w:i/>
          <w:iCs/>
        </w:rPr>
        <w:t>(Chương này không thuộc buổi giảng chính, sinh viên được khuyến khích tự đọc sau Buổi 4 để mở rộng kiến thức)</w:t>
      </w:r>
    </w:p>
    <w:p w14:paraId="14D7A5D0" w14:textId="77777777" w:rsidR="00E54974" w:rsidRPr="00E54974" w:rsidRDefault="00E54974" w:rsidP="00E54974">
      <w:pPr>
        <w:numPr>
          <w:ilvl w:val="0"/>
          <w:numId w:val="6"/>
        </w:numPr>
        <w:rPr>
          <w:rFonts w:asciiTheme="majorHAnsi" w:hAnsiTheme="majorHAnsi" w:cstheme="majorHAnsi"/>
        </w:rPr>
      </w:pPr>
      <w:r w:rsidRPr="00E54974">
        <w:rPr>
          <w:rFonts w:asciiTheme="majorHAnsi" w:hAnsiTheme="majorHAnsi" w:cstheme="majorHAnsi"/>
        </w:rPr>
        <w:t>Đ.1.1. Xử lý Ngôn ngữ Tự nhiên (NLP): Xây dựng chatbot tư vấn cho nông dân, phân tích tin tức nông nghiệp.</w:t>
      </w:r>
    </w:p>
    <w:p w14:paraId="3000E9E4" w14:textId="77777777" w:rsidR="00E54974" w:rsidRPr="00E54974" w:rsidRDefault="00E54974" w:rsidP="00E54974">
      <w:pPr>
        <w:numPr>
          <w:ilvl w:val="0"/>
          <w:numId w:val="6"/>
        </w:numPr>
        <w:rPr>
          <w:rFonts w:asciiTheme="majorHAnsi" w:hAnsiTheme="majorHAnsi" w:cstheme="majorHAnsi"/>
        </w:rPr>
      </w:pPr>
      <w:r w:rsidRPr="00E54974">
        <w:rPr>
          <w:rFonts w:asciiTheme="majorHAnsi" w:hAnsiTheme="majorHAnsi" w:cstheme="majorHAnsi"/>
        </w:rPr>
        <w:t>Đ.1.2. Hệ chuyên gia (Expert Systems): Mô phỏng quy trình ra quyết định của các chuyên gia nông học.</w:t>
      </w:r>
    </w:p>
    <w:p w14:paraId="2E1994B0"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5: Ứng dụng AI trong Quản lý Nước và Dinh dưỡng (Tương ứng Buổi 6)</w:t>
      </w:r>
    </w:p>
    <w:p w14:paraId="2669FB02"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5.1. Giới thiệu về Internet vạn vật (IoT) và hệ thống cảm biến (độ ẩm, pH, NPK).</w:t>
      </w:r>
    </w:p>
    <w:p w14:paraId="4ACF31C0"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5.2. Mô hình AI phân tích dữ liệu cảm biến để ra quyết định tưới tiêu chính xác.</w:t>
      </w:r>
    </w:p>
    <w:p w14:paraId="09B46B2B"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 xml:space="preserve">5.3. Bản đồ nhiệt nông học: Sử dụng AI và ảnh chụp từ drone để tạo bản đồ về tình trạng dinh dưỡng của cây trồng, từ đó đưa ra chiến lược bón phân hiệu quả. </w:t>
      </w:r>
      <w:r w:rsidRPr="00E54974">
        <w:rPr>
          <w:rFonts w:asciiTheme="majorHAnsi" w:hAnsiTheme="majorHAnsi" w:cstheme="majorHAnsi"/>
          <w:i/>
          <w:iCs/>
        </w:rPr>
        <w:t>(Tham khảo từ: "IoT and AI in Agriculture: Smart Automation Systems...")</w:t>
      </w:r>
    </w:p>
    <w:p w14:paraId="698010F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6: Ứng dụng AI trong Dự báo và Hoạch định Sản xuất (Tương ứng Buổi 7)</w:t>
      </w:r>
    </w:p>
    <w:p w14:paraId="71186E82"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6.1. Phân tích Dữ liệu lớn (Big Data) trong nông nghiệp.</w:t>
      </w:r>
    </w:p>
    <w:p w14:paraId="51545EB2"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6.2. Xây dựng mô hình dự báo năng suất dựa trên dữ liệu lịch sử và thời tiết.</w:t>
      </w:r>
    </w:p>
    <w:p w14:paraId="2CC1BB0A"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6.3. Hoạch định mùa vụ: Dùng AI để đề xuất loại cây trồng và thời điểm canh tác tối ưu.</w:t>
      </w:r>
    </w:p>
    <w:p w14:paraId="1F314973"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7: Phương pháp luận Phát triển một Dự án AI (Tương ứng Buổi 8)</w:t>
      </w:r>
    </w:p>
    <w:p w14:paraId="40DB79F3"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t>7.1. Các bước để xác định một bài toán nông nghiệp có thể giải quyết bằng AI.</w:t>
      </w:r>
    </w:p>
    <w:p w14:paraId="3EE22975"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t xml:space="preserve">7.2. Xây dựng đề cương dự án: </w:t>
      </w:r>
    </w:p>
    <w:p w14:paraId="055D409A"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7.2.1. Đặt vấn đề và mục tiêu.</w:t>
      </w:r>
    </w:p>
    <w:p w14:paraId="65841847"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7.2.2. Chiến lược thu thập dữ liệu.</w:t>
      </w:r>
    </w:p>
    <w:p w14:paraId="17A44ED0"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7.2.3. Lựa chọn mô hình và phương pháp đánh giá.</w:t>
      </w:r>
    </w:p>
    <w:p w14:paraId="15702E13"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lastRenderedPageBreak/>
        <w:t>7.3. Kỹ năng trình bày dự án một cách hiệu quả.</w:t>
      </w:r>
    </w:p>
    <w:p w14:paraId="0BA43E56"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8: Hướng dẫn Thực hành và Báo cáo (Tương ứng Buổi 9 &amp; 10)</w:t>
      </w:r>
    </w:p>
    <w:p w14:paraId="36F81BE5"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8.1. Tổng quan về các thiết bị trong một hệ thống nông nghiệp thông minh (cảm biến, bộ điều khiển, máy bơm...).</w:t>
      </w:r>
    </w:p>
    <w:p w14:paraId="6752F1F0"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8.2. Hướng dẫn các bước lắp đặt và kết nối một hệ thống tưới tiêu tự động đơn giản.</w:t>
      </w:r>
    </w:p>
    <w:p w14:paraId="7418648B"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8.3. Hướng dẫn thu thập, đọc và phân tích dữ liệu từ cảm biến.</w:t>
      </w:r>
    </w:p>
    <w:p w14:paraId="66D618F6"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8.4. Cấu trúc và yêu cầu của một bài báo cáo thực hành chuyên nghiệp.</w:t>
      </w:r>
    </w:p>
    <w:p w14:paraId="3E8887EF" w14:textId="77777777" w:rsidR="00E54974" w:rsidRPr="00E54974" w:rsidRDefault="00000000" w:rsidP="00E54974">
      <w:pPr>
        <w:rPr>
          <w:rFonts w:asciiTheme="majorHAnsi" w:hAnsiTheme="majorHAnsi" w:cstheme="majorHAnsi"/>
        </w:rPr>
      </w:pPr>
      <w:r>
        <w:rPr>
          <w:rFonts w:asciiTheme="majorHAnsi" w:hAnsiTheme="majorHAnsi" w:cstheme="majorHAnsi"/>
        </w:rPr>
        <w:pict w14:anchorId="095F2810">
          <v:rect id="_x0000_i1026" style="width:0;height:1.5pt" o:hralign="center" o:hrstd="t" o:hr="t" fillcolor="#a0a0a0" stroked="f"/>
        </w:pict>
      </w:r>
    </w:p>
    <w:p w14:paraId="16D3AB40"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PHẦN II: CÁC CHỦ ĐỀ ĐỌC THÊM NÂNG CAO</w:t>
      </w:r>
    </w:p>
    <w:p w14:paraId="515D7E68" w14:textId="77777777" w:rsidR="00E54974" w:rsidRPr="00E54974" w:rsidRDefault="00E54974" w:rsidP="00E54974">
      <w:pPr>
        <w:rPr>
          <w:rFonts w:asciiTheme="majorHAnsi" w:hAnsiTheme="majorHAnsi" w:cstheme="majorHAnsi"/>
        </w:rPr>
      </w:pPr>
      <w:r w:rsidRPr="00E54974">
        <w:rPr>
          <w:rFonts w:asciiTheme="majorHAnsi" w:hAnsiTheme="majorHAnsi" w:cstheme="majorHAnsi"/>
          <w:i/>
          <w:iCs/>
        </w:rPr>
        <w:t>(Phần này dành cho sinh viên đọc sau khi đã hoàn thành các nội dung chính trên lớp, nhằm đào sâu và mở rộng tầm nhìn)</w:t>
      </w:r>
    </w:p>
    <w:p w14:paraId="0AC7328D"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9: Robotics Nông nghiệp – Tương lai của Tự động hóa</w:t>
      </w:r>
    </w:p>
    <w:p w14:paraId="16EB0BBD"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9.1. Các loại robot trong nông nghiệp: robot gieo hạt, robot làm cỏ, robot thu hoạch.</w:t>
      </w:r>
    </w:p>
    <w:p w14:paraId="522E1432"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9.2. Thách thức trong việc điều khiển robot trên địa hình phức tạp.</w:t>
      </w:r>
    </w:p>
    <w:p w14:paraId="4CC9A764"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 xml:space="preserve">9.3. Tương lai kết hợp giữa bầy đàn robot (swarm robotics) và AI. </w:t>
      </w:r>
      <w:r w:rsidRPr="00E54974">
        <w:rPr>
          <w:rFonts w:asciiTheme="majorHAnsi" w:hAnsiTheme="majorHAnsi" w:cstheme="majorHAnsi"/>
          <w:i/>
          <w:iCs/>
        </w:rPr>
        <w:t>(Tham khảo từ: "Smart Agritech - Robotics, AI...")</w:t>
      </w:r>
    </w:p>
    <w:p w14:paraId="6F279060"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10: AI Tạo sinh (Generative AI) và các Công nghệ Đột phá</w:t>
      </w:r>
    </w:p>
    <w:p w14:paraId="5BDAA60A" w14:textId="77777777" w:rsidR="00E54974" w:rsidRPr="00E54974" w:rsidRDefault="00E54974" w:rsidP="00E54974">
      <w:pPr>
        <w:numPr>
          <w:ilvl w:val="0"/>
          <w:numId w:val="12"/>
        </w:numPr>
        <w:rPr>
          <w:rFonts w:asciiTheme="majorHAnsi" w:hAnsiTheme="majorHAnsi" w:cstheme="majorHAnsi"/>
        </w:rPr>
      </w:pPr>
      <w:r w:rsidRPr="00E54974">
        <w:rPr>
          <w:rFonts w:asciiTheme="majorHAnsi" w:hAnsiTheme="majorHAnsi" w:cstheme="majorHAnsi"/>
        </w:rPr>
        <w:t>10.1. Giới thiệu về AI Tạo sinh (ví dụ: ChatGPT, Midjourney).</w:t>
      </w:r>
    </w:p>
    <w:p w14:paraId="6E20AE83" w14:textId="77777777" w:rsidR="00E54974" w:rsidRPr="00E54974" w:rsidRDefault="00E54974" w:rsidP="00E54974">
      <w:pPr>
        <w:numPr>
          <w:ilvl w:val="0"/>
          <w:numId w:val="12"/>
        </w:numPr>
        <w:rPr>
          <w:rFonts w:asciiTheme="majorHAnsi" w:hAnsiTheme="majorHAnsi" w:cstheme="majorHAnsi"/>
        </w:rPr>
      </w:pPr>
      <w:r w:rsidRPr="00E54974">
        <w:rPr>
          <w:rFonts w:asciiTheme="majorHAnsi" w:hAnsiTheme="majorHAnsi" w:cstheme="majorHAnsi"/>
        </w:rPr>
        <w:t xml:space="preserve">10.2. Tiềm năng ứng dụng: </w:t>
      </w:r>
    </w:p>
    <w:p w14:paraId="76D3D278"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Tạo ra các kịch bản canh tác tối ưu.</w:t>
      </w:r>
    </w:p>
    <w:p w14:paraId="373E419A"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Trợ lý ảo 24/7 cho nông dân, trả lời các câu hỏi phức tạp.</w:t>
      </w:r>
    </w:p>
    <w:p w14:paraId="6A677C19"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Tạo ra hình ảnh mô phỏng sâu bệnh để huấn luyện các mô hình AI khác.</w:t>
      </w:r>
    </w:p>
    <w:p w14:paraId="1F10AC0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11: Phân tích Kinh tế và Xây dựng Mô hình Kinh doanh cho AgriTech</w:t>
      </w:r>
    </w:p>
    <w:p w14:paraId="5DA4D71E"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11.1. Phân tích chi phí – lợi ích (Cost-Benefit Analysis) khi đầu tư vào AI.</w:t>
      </w:r>
    </w:p>
    <w:p w14:paraId="17DD91C9"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11.2. Các mô hình kinh doanh phổ biến trong lĩnh vực AgriTech (Nông nghiệp Công nghệ cao).</w:t>
      </w:r>
    </w:p>
    <w:p w14:paraId="2A2E9779"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11.3. Nghiên cứu các case study khởi nghiệp AgriTech thành công tại Việt Nam và Đông Nam Á.</w:t>
      </w:r>
    </w:p>
    <w:p w14:paraId="5875D36C"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12: Đạo đức, Pháp lý và Quản trị trong Nông nghiệp AI</w:t>
      </w:r>
    </w:p>
    <w:p w14:paraId="3B3CC79A"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t>12.1. Phân tích sâu về quyền riêng tư và an ninh dữ liệu nông nghiệp.</w:t>
      </w:r>
    </w:p>
    <w:p w14:paraId="25C231F8"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t>12.2. Ai là người chịu trách nhiệm khi hệ thống AI đưa ra quyết định sai?</w:t>
      </w:r>
    </w:p>
    <w:p w14:paraId="2603B476"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lastRenderedPageBreak/>
        <w:t xml:space="preserve">12.3. Khung pháp lý cần thiết để thúc đẩy ứng dụng AI một cách bền vững và có trách nhiệm. </w:t>
      </w:r>
      <w:r w:rsidRPr="00E54974">
        <w:rPr>
          <w:rFonts w:asciiTheme="majorHAnsi" w:hAnsiTheme="majorHAnsi" w:cstheme="majorHAnsi"/>
          <w:i/>
          <w:iCs/>
        </w:rPr>
        <w:t>(Tham khảo từ: "Ethics of Using AI and Big Data...")</w:t>
      </w:r>
    </w:p>
    <w:p w14:paraId="682CC05D" w14:textId="29B1F01D" w:rsidR="00E54974" w:rsidRPr="00E54974" w:rsidRDefault="00E54974" w:rsidP="00E54974">
      <w:pPr>
        <w:rPr>
          <w:rFonts w:asciiTheme="majorHAnsi" w:hAnsiTheme="majorHAnsi" w:cstheme="majorHAnsi"/>
        </w:rPr>
      </w:pPr>
      <w:r w:rsidRPr="00E54974">
        <w:rPr>
          <w:rFonts w:asciiTheme="majorHAnsi" w:hAnsiTheme="majorHAnsi" w:cstheme="majorHAnsi"/>
          <w:b/>
          <w:bCs/>
        </w:rPr>
        <w:t>Tài liệu tham khảo</w:t>
      </w:r>
      <w:r w:rsidRPr="00B213E0">
        <w:rPr>
          <w:rFonts w:asciiTheme="majorHAnsi" w:hAnsiTheme="majorHAnsi" w:cstheme="majorHAnsi"/>
        </w:rPr>
        <w:t xml:space="preserve"> (</w:t>
      </w:r>
      <w:r w:rsidRPr="00E54974">
        <w:rPr>
          <w:rFonts w:asciiTheme="majorHAnsi" w:hAnsiTheme="majorHAnsi" w:cstheme="majorHAnsi"/>
          <w:b/>
          <w:bCs/>
        </w:rPr>
        <w:t>Sách và Kỷ yếu</w:t>
      </w:r>
      <w:r w:rsidRPr="00B213E0">
        <w:rPr>
          <w:rFonts w:asciiTheme="majorHAnsi" w:hAnsiTheme="majorHAnsi" w:cstheme="majorHAnsi"/>
          <w:b/>
          <w:bCs/>
        </w:rPr>
        <w:t xml:space="preserve">) </w:t>
      </w:r>
    </w:p>
    <w:p w14:paraId="17DC97F0"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Ahamed, T. (Ed.). (2023). </w:t>
      </w:r>
      <w:r w:rsidRPr="00E54974">
        <w:rPr>
          <w:rFonts w:asciiTheme="majorHAnsi" w:hAnsiTheme="majorHAnsi" w:cstheme="majorHAnsi"/>
          <w:i/>
          <w:iCs/>
        </w:rPr>
        <w:t>IoT and AI in Agriculture: Self-sufficiency in Food Production to Achieve Society 5.0 and SDG’s Globally</w:t>
      </w:r>
      <w:r w:rsidRPr="00E54974">
        <w:rPr>
          <w:rFonts w:asciiTheme="majorHAnsi" w:hAnsiTheme="majorHAnsi" w:cstheme="majorHAnsi"/>
        </w:rPr>
        <w:t>. Springer.</w:t>
      </w:r>
    </w:p>
    <w:p w14:paraId="04BD9819"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Ahamed, T. (2024). </w:t>
      </w:r>
      <w:r w:rsidRPr="00E54974">
        <w:rPr>
          <w:rFonts w:asciiTheme="majorHAnsi" w:hAnsiTheme="majorHAnsi" w:cstheme="majorHAnsi"/>
          <w:i/>
          <w:iCs/>
        </w:rPr>
        <w:t>IoT and AI in Agriculture: Smart Automation Systems for increasing Agricultural Productivity to Achieve SDGs and Society 5.0</w:t>
      </w:r>
      <w:r w:rsidRPr="00E54974">
        <w:rPr>
          <w:rFonts w:asciiTheme="majorHAnsi" w:hAnsiTheme="majorHAnsi" w:cstheme="majorHAnsi"/>
        </w:rPr>
        <w:t>. Springer.</w:t>
      </w:r>
    </w:p>
    <w:p w14:paraId="7880BC9D"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Bukhari, S. N. H. (Ed.). (2024). </w:t>
      </w:r>
      <w:r w:rsidRPr="00E54974">
        <w:rPr>
          <w:rFonts w:asciiTheme="majorHAnsi" w:hAnsiTheme="majorHAnsi" w:cstheme="majorHAnsi"/>
          <w:i/>
          <w:iCs/>
        </w:rPr>
        <w:t>Data-Driven Farming: Harnessing the Power of AI and Machine Learning in Agriculture</w:t>
      </w:r>
      <w:r w:rsidRPr="00E54974">
        <w:rPr>
          <w:rFonts w:asciiTheme="majorHAnsi" w:hAnsiTheme="majorHAnsi" w:cstheme="majorHAnsi"/>
        </w:rPr>
        <w:t>. CRC Press.</w:t>
      </w:r>
    </w:p>
    <w:p w14:paraId="7DD0C273"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Satapathy, S., Mishra, D., &amp; Realyvásquez Vargas, A. (Eds.). (2022). </w:t>
      </w:r>
      <w:r w:rsidRPr="00E54974">
        <w:rPr>
          <w:rFonts w:asciiTheme="majorHAnsi" w:hAnsiTheme="majorHAnsi" w:cstheme="majorHAnsi"/>
          <w:i/>
          <w:iCs/>
        </w:rPr>
        <w:t>Innovation in Agriculture with IoT and AI</w:t>
      </w:r>
      <w:r w:rsidRPr="00E54974">
        <w:rPr>
          <w:rFonts w:asciiTheme="majorHAnsi" w:hAnsiTheme="majorHAnsi" w:cstheme="majorHAnsi"/>
        </w:rPr>
        <w:t>. Springer.</w:t>
      </w:r>
    </w:p>
    <w:p w14:paraId="4CC0B9E0"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Srivastava, S. K., Srivastava, D., Cengiz, K., &amp; Gaur, P. (Eds.). (2023). </w:t>
      </w:r>
      <w:r w:rsidRPr="00E54974">
        <w:rPr>
          <w:rFonts w:asciiTheme="majorHAnsi" w:hAnsiTheme="majorHAnsi" w:cstheme="majorHAnsi"/>
          <w:i/>
          <w:iCs/>
        </w:rPr>
        <w:t>Smart Agritech: Robotics, AI, and Internet of Things (IoT) in Agriculture</w:t>
      </w:r>
      <w:r w:rsidRPr="00E54974">
        <w:rPr>
          <w:rFonts w:asciiTheme="majorHAnsi" w:hAnsiTheme="majorHAnsi" w:cstheme="majorHAnsi"/>
        </w:rPr>
        <w:t>. Scrivener Publishing.</w:t>
      </w:r>
    </w:p>
    <w:p w14:paraId="18A7A935"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Bài báo khoa học (Journal Articles)</w:t>
      </w:r>
    </w:p>
    <w:p w14:paraId="73132021" w14:textId="77777777" w:rsidR="00E54974" w:rsidRPr="00E54974" w:rsidRDefault="00E54974" w:rsidP="00E54974">
      <w:pPr>
        <w:numPr>
          <w:ilvl w:val="0"/>
          <w:numId w:val="17"/>
        </w:numPr>
        <w:rPr>
          <w:rFonts w:asciiTheme="majorHAnsi" w:hAnsiTheme="majorHAnsi" w:cstheme="majorHAnsi"/>
        </w:rPr>
      </w:pPr>
      <w:r w:rsidRPr="00E54974">
        <w:rPr>
          <w:rFonts w:asciiTheme="majorHAnsi" w:hAnsiTheme="majorHAnsi" w:cstheme="majorHAnsi"/>
        </w:rPr>
        <w:t xml:space="preserve">Korthals, T., Kragh, M., Christiansen, P., Karstoft, H., Jørgensen, R. N., &amp; Rückert, U. (2018). Multi-Modal Detection and Mapping of Static and Dynamic Obstacles in Agriculture for Process Evaluation. </w:t>
      </w:r>
      <w:r w:rsidRPr="00E54974">
        <w:rPr>
          <w:rFonts w:asciiTheme="majorHAnsi" w:hAnsiTheme="majorHAnsi" w:cstheme="majorHAnsi"/>
          <w:i/>
          <w:iCs/>
        </w:rPr>
        <w:t>Frontiers in Robotics and AI</w:t>
      </w:r>
      <w:r w:rsidRPr="00E54974">
        <w:rPr>
          <w:rFonts w:asciiTheme="majorHAnsi" w:hAnsiTheme="majorHAnsi" w:cstheme="majorHAnsi"/>
        </w:rPr>
        <w:t xml:space="preserve">, </w:t>
      </w:r>
      <w:r w:rsidRPr="00E54974">
        <w:rPr>
          <w:rFonts w:asciiTheme="majorHAnsi" w:hAnsiTheme="majorHAnsi" w:cstheme="majorHAnsi"/>
          <w:i/>
          <w:iCs/>
        </w:rPr>
        <w:t>5</w:t>
      </w:r>
      <w:r w:rsidRPr="00E54974">
        <w:rPr>
          <w:rFonts w:asciiTheme="majorHAnsi" w:hAnsiTheme="majorHAnsi" w:cstheme="majorHAnsi"/>
        </w:rPr>
        <w:t xml:space="preserve">. </w:t>
      </w:r>
      <w:hyperlink r:id="rId5" w:tgtFrame="_blank" w:history="1">
        <w:r w:rsidRPr="00E54974">
          <w:rPr>
            <w:rStyle w:val="Hyperlink"/>
            <w:rFonts w:asciiTheme="majorHAnsi" w:hAnsiTheme="majorHAnsi" w:cstheme="majorHAnsi"/>
          </w:rPr>
          <w:t>https://doi.org/10.3389/frobt.2018.00028</w:t>
        </w:r>
      </w:hyperlink>
    </w:p>
    <w:p w14:paraId="3FC495F0" w14:textId="77777777" w:rsidR="00E54974" w:rsidRPr="00E54974" w:rsidRDefault="00E54974" w:rsidP="00E54974">
      <w:pPr>
        <w:numPr>
          <w:ilvl w:val="0"/>
          <w:numId w:val="17"/>
        </w:numPr>
        <w:rPr>
          <w:rFonts w:asciiTheme="majorHAnsi" w:hAnsiTheme="majorHAnsi" w:cstheme="majorHAnsi"/>
        </w:rPr>
      </w:pPr>
      <w:r w:rsidRPr="00E54974">
        <w:rPr>
          <w:rFonts w:asciiTheme="majorHAnsi" w:hAnsiTheme="majorHAnsi" w:cstheme="majorHAnsi"/>
        </w:rPr>
        <w:t xml:space="preserve">Ryan, M. (2019). Ethics of Using AI and Big Data in Agriculture: The Case of a Large Agriculture Multinational. </w:t>
      </w:r>
      <w:r w:rsidRPr="00E54974">
        <w:rPr>
          <w:rFonts w:asciiTheme="majorHAnsi" w:hAnsiTheme="majorHAnsi" w:cstheme="majorHAnsi"/>
          <w:i/>
          <w:iCs/>
        </w:rPr>
        <w:t>ORBIT Journal</w:t>
      </w:r>
      <w:r w:rsidRPr="00E54974">
        <w:rPr>
          <w:rFonts w:asciiTheme="majorHAnsi" w:hAnsiTheme="majorHAnsi" w:cstheme="majorHAnsi"/>
        </w:rPr>
        <w:t xml:space="preserve">, </w:t>
      </w:r>
      <w:r w:rsidRPr="00E54974">
        <w:rPr>
          <w:rFonts w:asciiTheme="majorHAnsi" w:hAnsiTheme="majorHAnsi" w:cstheme="majorHAnsi"/>
          <w:i/>
          <w:iCs/>
        </w:rPr>
        <w:t>2</w:t>
      </w:r>
      <w:r w:rsidRPr="00E54974">
        <w:rPr>
          <w:rFonts w:asciiTheme="majorHAnsi" w:hAnsiTheme="majorHAnsi" w:cstheme="majorHAnsi"/>
        </w:rPr>
        <w:t xml:space="preserve">(2). </w:t>
      </w:r>
      <w:hyperlink r:id="rId6" w:tgtFrame="_blank" w:history="1">
        <w:r w:rsidRPr="00E54974">
          <w:rPr>
            <w:rStyle w:val="Hyperlink"/>
            <w:rFonts w:asciiTheme="majorHAnsi" w:hAnsiTheme="majorHAnsi" w:cstheme="majorHAnsi"/>
          </w:rPr>
          <w:t>https://doi.org/10.29297/orbitv2i2.109</w:t>
        </w:r>
      </w:hyperlink>
    </w:p>
    <w:p w14:paraId="2AC90133" w14:textId="77777777" w:rsidR="00A0481A" w:rsidRPr="00465F3C" w:rsidRDefault="00A0481A">
      <w:pPr>
        <w:rPr>
          <w:rFonts w:asciiTheme="majorHAnsi" w:hAnsiTheme="majorHAnsi" w:cstheme="majorHAnsi"/>
        </w:rPr>
      </w:pPr>
    </w:p>
    <w:sectPr w:rsidR="00A0481A" w:rsidRPr="00465F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0D8"/>
    <w:multiLevelType w:val="multilevel"/>
    <w:tmpl w:val="F234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369A"/>
    <w:multiLevelType w:val="multilevel"/>
    <w:tmpl w:val="E5AA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5674"/>
    <w:multiLevelType w:val="multilevel"/>
    <w:tmpl w:val="E99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D2DCA"/>
    <w:multiLevelType w:val="multilevel"/>
    <w:tmpl w:val="913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A3347"/>
    <w:multiLevelType w:val="multilevel"/>
    <w:tmpl w:val="C0BC6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13FE0"/>
    <w:multiLevelType w:val="multilevel"/>
    <w:tmpl w:val="555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14F71"/>
    <w:multiLevelType w:val="multilevel"/>
    <w:tmpl w:val="EBDC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152F5"/>
    <w:multiLevelType w:val="multilevel"/>
    <w:tmpl w:val="B1E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75BE3"/>
    <w:multiLevelType w:val="multilevel"/>
    <w:tmpl w:val="DAE0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270A1"/>
    <w:multiLevelType w:val="multilevel"/>
    <w:tmpl w:val="5D2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96A1B"/>
    <w:multiLevelType w:val="multilevel"/>
    <w:tmpl w:val="9450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C3775"/>
    <w:multiLevelType w:val="multilevel"/>
    <w:tmpl w:val="656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2199C"/>
    <w:multiLevelType w:val="multilevel"/>
    <w:tmpl w:val="519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300DC"/>
    <w:multiLevelType w:val="multilevel"/>
    <w:tmpl w:val="423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2644B"/>
    <w:multiLevelType w:val="multilevel"/>
    <w:tmpl w:val="BC1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C7F64"/>
    <w:multiLevelType w:val="multilevel"/>
    <w:tmpl w:val="DD5A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57241"/>
    <w:multiLevelType w:val="multilevel"/>
    <w:tmpl w:val="F20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945392">
    <w:abstractNumId w:val="14"/>
  </w:num>
  <w:num w:numId="2" w16cid:durableId="1964579834">
    <w:abstractNumId w:val="5"/>
  </w:num>
  <w:num w:numId="3" w16cid:durableId="1107043377">
    <w:abstractNumId w:val="1"/>
  </w:num>
  <w:num w:numId="4" w16cid:durableId="1080905223">
    <w:abstractNumId w:val="2"/>
  </w:num>
  <w:num w:numId="5" w16cid:durableId="1030451986">
    <w:abstractNumId w:val="6"/>
  </w:num>
  <w:num w:numId="6" w16cid:durableId="825315718">
    <w:abstractNumId w:val="7"/>
  </w:num>
  <w:num w:numId="7" w16cid:durableId="353921814">
    <w:abstractNumId w:val="12"/>
  </w:num>
  <w:num w:numId="8" w16cid:durableId="815344835">
    <w:abstractNumId w:val="16"/>
  </w:num>
  <w:num w:numId="9" w16cid:durableId="1655915187">
    <w:abstractNumId w:val="0"/>
  </w:num>
  <w:num w:numId="10" w16cid:durableId="1224412802">
    <w:abstractNumId w:val="3"/>
  </w:num>
  <w:num w:numId="11" w16cid:durableId="1719432090">
    <w:abstractNumId w:val="9"/>
  </w:num>
  <w:num w:numId="12" w16cid:durableId="1936279882">
    <w:abstractNumId w:val="4"/>
  </w:num>
  <w:num w:numId="13" w16cid:durableId="339940165">
    <w:abstractNumId w:val="11"/>
  </w:num>
  <w:num w:numId="14" w16cid:durableId="1280986179">
    <w:abstractNumId w:val="13"/>
  </w:num>
  <w:num w:numId="15" w16cid:durableId="1170559142">
    <w:abstractNumId w:val="15"/>
  </w:num>
  <w:num w:numId="16" w16cid:durableId="328481877">
    <w:abstractNumId w:val="10"/>
  </w:num>
  <w:num w:numId="17" w16cid:durableId="344794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4"/>
    <w:rsid w:val="00001E56"/>
    <w:rsid w:val="000139B0"/>
    <w:rsid w:val="00177D58"/>
    <w:rsid w:val="002E1CC1"/>
    <w:rsid w:val="00465F3C"/>
    <w:rsid w:val="005B1EA6"/>
    <w:rsid w:val="005C2DF6"/>
    <w:rsid w:val="0062296A"/>
    <w:rsid w:val="00823168"/>
    <w:rsid w:val="009467D8"/>
    <w:rsid w:val="00A0481A"/>
    <w:rsid w:val="00B213E0"/>
    <w:rsid w:val="00BA2F1A"/>
    <w:rsid w:val="00E27D98"/>
    <w:rsid w:val="00E53C90"/>
    <w:rsid w:val="00E54974"/>
    <w:rsid w:val="00F60D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150B"/>
  <w15:chartTrackingRefBased/>
  <w15:docId w15:val="{21DA086C-5BB1-4CDC-90D1-88EB7836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974"/>
    <w:rPr>
      <w:rFonts w:eastAsiaTheme="majorEastAsia" w:cstheme="majorBidi"/>
      <w:color w:val="272727" w:themeColor="text1" w:themeTint="D8"/>
    </w:rPr>
  </w:style>
  <w:style w:type="paragraph" w:styleId="Title">
    <w:name w:val="Title"/>
    <w:basedOn w:val="Normal"/>
    <w:next w:val="Normal"/>
    <w:link w:val="TitleChar"/>
    <w:uiPriority w:val="10"/>
    <w:qFormat/>
    <w:rsid w:val="00E5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974"/>
    <w:pPr>
      <w:spacing w:before="160"/>
      <w:jc w:val="center"/>
    </w:pPr>
    <w:rPr>
      <w:i/>
      <w:iCs/>
      <w:color w:val="404040" w:themeColor="text1" w:themeTint="BF"/>
    </w:rPr>
  </w:style>
  <w:style w:type="character" w:customStyle="1" w:styleId="QuoteChar">
    <w:name w:val="Quote Char"/>
    <w:basedOn w:val="DefaultParagraphFont"/>
    <w:link w:val="Quote"/>
    <w:uiPriority w:val="29"/>
    <w:rsid w:val="00E54974"/>
    <w:rPr>
      <w:i/>
      <w:iCs/>
      <w:color w:val="404040" w:themeColor="text1" w:themeTint="BF"/>
    </w:rPr>
  </w:style>
  <w:style w:type="paragraph" w:styleId="ListParagraph">
    <w:name w:val="List Paragraph"/>
    <w:basedOn w:val="Normal"/>
    <w:uiPriority w:val="34"/>
    <w:qFormat/>
    <w:rsid w:val="00E54974"/>
    <w:pPr>
      <w:ind w:left="720"/>
      <w:contextualSpacing/>
    </w:pPr>
  </w:style>
  <w:style w:type="character" w:styleId="IntenseEmphasis">
    <w:name w:val="Intense Emphasis"/>
    <w:basedOn w:val="DefaultParagraphFont"/>
    <w:uiPriority w:val="21"/>
    <w:qFormat/>
    <w:rsid w:val="00E54974"/>
    <w:rPr>
      <w:i/>
      <w:iCs/>
      <w:color w:val="0F4761" w:themeColor="accent1" w:themeShade="BF"/>
    </w:rPr>
  </w:style>
  <w:style w:type="paragraph" w:styleId="IntenseQuote">
    <w:name w:val="Intense Quote"/>
    <w:basedOn w:val="Normal"/>
    <w:next w:val="Normal"/>
    <w:link w:val="IntenseQuoteChar"/>
    <w:uiPriority w:val="30"/>
    <w:qFormat/>
    <w:rsid w:val="00E5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974"/>
    <w:rPr>
      <w:i/>
      <w:iCs/>
      <w:color w:val="0F4761" w:themeColor="accent1" w:themeShade="BF"/>
    </w:rPr>
  </w:style>
  <w:style w:type="character" w:styleId="IntenseReference">
    <w:name w:val="Intense Reference"/>
    <w:basedOn w:val="DefaultParagraphFont"/>
    <w:uiPriority w:val="32"/>
    <w:qFormat/>
    <w:rsid w:val="00E54974"/>
    <w:rPr>
      <w:b/>
      <w:bCs/>
      <w:smallCaps/>
      <w:color w:val="0F4761" w:themeColor="accent1" w:themeShade="BF"/>
      <w:spacing w:val="5"/>
    </w:rPr>
  </w:style>
  <w:style w:type="character" w:styleId="Hyperlink">
    <w:name w:val="Hyperlink"/>
    <w:basedOn w:val="DefaultParagraphFont"/>
    <w:uiPriority w:val="99"/>
    <w:unhideWhenUsed/>
    <w:rsid w:val="00E54974"/>
    <w:rPr>
      <w:color w:val="467886" w:themeColor="hyperlink"/>
      <w:u w:val="single"/>
    </w:rPr>
  </w:style>
  <w:style w:type="character" w:styleId="UnresolvedMention">
    <w:name w:val="Unresolved Mention"/>
    <w:basedOn w:val="DefaultParagraphFont"/>
    <w:uiPriority w:val="99"/>
    <w:semiHidden/>
    <w:unhideWhenUsed/>
    <w:rsid w:val="00E54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2412">
      <w:bodyDiv w:val="1"/>
      <w:marLeft w:val="0"/>
      <w:marRight w:val="0"/>
      <w:marTop w:val="0"/>
      <w:marBottom w:val="0"/>
      <w:divBdr>
        <w:top w:val="none" w:sz="0" w:space="0" w:color="auto"/>
        <w:left w:val="none" w:sz="0" w:space="0" w:color="auto"/>
        <w:bottom w:val="none" w:sz="0" w:space="0" w:color="auto"/>
        <w:right w:val="none" w:sz="0" w:space="0" w:color="auto"/>
      </w:divBdr>
    </w:div>
    <w:div w:id="1111360631">
      <w:bodyDiv w:val="1"/>
      <w:marLeft w:val="0"/>
      <w:marRight w:val="0"/>
      <w:marTop w:val="0"/>
      <w:marBottom w:val="0"/>
      <w:divBdr>
        <w:top w:val="none" w:sz="0" w:space="0" w:color="auto"/>
        <w:left w:val="none" w:sz="0" w:space="0" w:color="auto"/>
        <w:bottom w:val="none" w:sz="0" w:space="0" w:color="auto"/>
        <w:right w:val="none" w:sz="0" w:space="0" w:color="auto"/>
      </w:divBdr>
    </w:div>
    <w:div w:id="1133673762">
      <w:bodyDiv w:val="1"/>
      <w:marLeft w:val="0"/>
      <w:marRight w:val="0"/>
      <w:marTop w:val="0"/>
      <w:marBottom w:val="0"/>
      <w:divBdr>
        <w:top w:val="none" w:sz="0" w:space="0" w:color="auto"/>
        <w:left w:val="none" w:sz="0" w:space="0" w:color="auto"/>
        <w:bottom w:val="none" w:sz="0" w:space="0" w:color="auto"/>
        <w:right w:val="none" w:sz="0" w:space="0" w:color="auto"/>
      </w:divBdr>
    </w:div>
    <w:div w:id="144691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29297/orbitv2i2.109&amp;authuser=1" TargetMode="External"/><Relationship Id="rId5" Type="http://schemas.openxmlformats.org/officeDocument/2006/relationships/hyperlink" Target="https://doi.org/10.3389/frobt.2018.000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1313</Words>
  <Characters>5442</Characters>
  <Application>Microsoft Office Word</Application>
  <DocSecurity>0</DocSecurity>
  <Lines>116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2025-11-15T04:10:00Z</dcterms:created>
  <dcterms:modified xsi:type="dcterms:W3CDTF">2025-11-17T09:34:00Z</dcterms:modified>
</cp:coreProperties>
</file>