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b/>
          <w:color w:val="003366"/>
          <w:sz w:val="44"/>
        </w:rPr>
        <w:t>PRACTICAL ANALYTICS REPORT</w:t>
      </w:r>
    </w:p>
    <w:p>
      <w:pPr>
        <w:spacing w:after="240"/>
        <w:jc w:val="center"/>
      </w:pPr>
      <w:r>
        <w:rPr>
          <w:i/>
          <w:color w:val="444444"/>
          <w:sz w:val="28"/>
        </w:rPr>
        <w:t>Data Cleaning, Lineage Tracking, and Exploratory Booking Analytics</w:t>
        <w:br/>
        <w:t>(Simulated Carriers: Aurora Air &amp; Horizon Wings)</w:t>
      </w:r>
    </w:p>
    <w:p>
      <w:pPr>
        <w:spacing w:after="320"/>
        <w:jc w:val="center"/>
      </w:pPr>
      <w:r>
        <w:rPr>
          <w:b/>
          <w:sz w:val="21"/>
        </w:rPr>
        <w:t>Group: Nhom07 · Course: Data Analytics · Submission Date: October 2026</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003366"/>
          </w:tcPr>
          <w:p>
            <w:pPr>
              <w:jc w:val="center"/>
            </w:pPr>
            <w:r>
              <w:rPr>
                <w:b/>
                <w:color w:val="FFFFFF"/>
              </w:rPr>
              <w:t>Full Name</w:t>
            </w:r>
          </w:p>
        </w:tc>
        <w:tc>
          <w:tcPr>
            <w:tcW w:type="dxa" w:w="3120"/>
            <w:shd w:val="clear" w:color="auto" w:fill="003366"/>
          </w:tcPr>
          <w:p>
            <w:pPr>
              <w:jc w:val="center"/>
            </w:pPr>
            <w:r>
              <w:rPr>
                <w:b/>
                <w:color w:val="FFFFFF"/>
              </w:rPr>
              <w:t>Student ID</w:t>
            </w:r>
          </w:p>
        </w:tc>
        <w:tc>
          <w:tcPr>
            <w:tcW w:type="dxa" w:w="3120"/>
            <w:shd w:val="clear" w:color="auto" w:fill="003366"/>
          </w:tcPr>
          <w:p>
            <w:pPr>
              <w:jc w:val="center"/>
            </w:pPr>
            <w:r>
              <w:rPr>
                <w:b/>
                <w:color w:val="FFFFFF"/>
              </w:rPr>
              <w:t>Primary Responsibility</w:t>
            </w:r>
          </w:p>
        </w:tc>
      </w:tr>
      <w:tr>
        <w:tc>
          <w:tcPr>
            <w:tcW w:type="dxa" w:w="3120"/>
            <w:shd w:val="clear" w:color="auto" w:fill="F2F5F8"/>
            <w:tcMar>
              <w:top w:w="80" w:type="dxa"/>
              <w:bottom w:w="80" w:type="dxa"/>
              <w:left w:w="120" w:type="dxa"/>
              <w:right w:w="120" w:type="dxa"/>
            </w:tcMar>
          </w:tcPr>
          <w:p>
            <w:r>
              <w:t>Trần Thế Tùng</w:t>
            </w:r>
          </w:p>
        </w:tc>
        <w:tc>
          <w:tcPr>
            <w:tcW w:type="dxa" w:w="3120"/>
            <w:shd w:val="clear" w:color="auto" w:fill="F2F5F8"/>
            <w:tcMar>
              <w:top w:w="80" w:type="dxa"/>
              <w:bottom w:w="80" w:type="dxa"/>
              <w:left w:w="120" w:type="dxa"/>
              <w:right w:w="120" w:type="dxa"/>
            </w:tcMar>
          </w:tcPr>
          <w:p>
            <w:r>
              <w:t>11258756</w:t>
            </w:r>
          </w:p>
        </w:tc>
        <w:tc>
          <w:tcPr>
            <w:tcW w:type="dxa" w:w="3120"/>
            <w:shd w:val="clear" w:color="auto" w:fill="F2F5F8"/>
            <w:tcMar>
              <w:top w:w="80" w:type="dxa"/>
              <w:bottom w:w="80" w:type="dxa"/>
              <w:left w:w="120" w:type="dxa"/>
              <w:right w:w="120" w:type="dxa"/>
            </w:tcMar>
          </w:tcPr>
          <w:p>
            <w:r>
              <w:t>Member 1: Data Survey (A), Initial Cleaning B1–B5, Section 2 Support</w:t>
            </w:r>
          </w:p>
        </w:tc>
      </w:tr>
      <w:tr>
        <w:tc>
          <w:tcPr>
            <w:tcW w:type="dxa" w:w="3120"/>
            <w:tcMar>
              <w:top w:w="80" w:type="dxa"/>
              <w:bottom w:w="80" w:type="dxa"/>
              <w:left w:w="120" w:type="dxa"/>
              <w:right w:w="120" w:type="dxa"/>
            </w:tcMar>
          </w:tcPr>
          <w:p>
            <w:r>
              <w:t>Tạ Minh Quân</w:t>
            </w:r>
          </w:p>
        </w:tc>
        <w:tc>
          <w:tcPr>
            <w:tcW w:type="dxa" w:w="3120"/>
            <w:tcMar>
              <w:top w:w="80" w:type="dxa"/>
              <w:bottom w:w="80" w:type="dxa"/>
              <w:left w:w="120" w:type="dxa"/>
              <w:right w:w="120" w:type="dxa"/>
            </w:tcMar>
          </w:tcPr>
          <w:p>
            <w:r>
              <w:t>MSSV: .........</w:t>
            </w:r>
          </w:p>
        </w:tc>
        <w:tc>
          <w:tcPr>
            <w:tcW w:type="dxa" w:w="3120"/>
            <w:tcMar>
              <w:top w:w="80" w:type="dxa"/>
              <w:bottom w:w="80" w:type="dxa"/>
              <w:left w:w="120" w:type="dxa"/>
              <w:right w:w="120" w:type="dxa"/>
            </w:tcMar>
          </w:tcPr>
          <w:p>
            <w:r>
              <w:t>Member 2: Metric Cleaning B6–B7, Consensus Deduplication B8, Monthly Aggregation C1–C4, Section 2 Lead, README</w:t>
            </w:r>
          </w:p>
        </w:tc>
      </w:tr>
      <w:tr>
        <w:tc>
          <w:tcPr>
            <w:tcW w:type="dxa" w:w="3120"/>
            <w:shd w:val="clear" w:color="auto" w:fill="F2F5F8"/>
            <w:tcMar>
              <w:top w:w="80" w:type="dxa"/>
              <w:bottom w:w="80" w:type="dxa"/>
              <w:left w:w="120" w:type="dxa"/>
              <w:right w:w="120" w:type="dxa"/>
            </w:tcMar>
          </w:tcPr>
          <w:p>
            <w:r>
              <w:t>Nguyễn Đình Phan Anh</w:t>
            </w:r>
          </w:p>
        </w:tc>
        <w:tc>
          <w:tcPr>
            <w:tcW w:type="dxa" w:w="3120"/>
            <w:shd w:val="clear" w:color="auto" w:fill="F2F5F8"/>
            <w:tcMar>
              <w:top w:w="80" w:type="dxa"/>
              <w:bottom w:w="80" w:type="dxa"/>
              <w:left w:w="120" w:type="dxa"/>
              <w:right w:w="120" w:type="dxa"/>
            </w:tcMar>
          </w:tcPr>
          <w:p>
            <w:r>
              <w:t>11250492</w:t>
            </w:r>
          </w:p>
        </w:tc>
        <w:tc>
          <w:tcPr>
            <w:tcW w:type="dxa" w:w="3120"/>
            <w:shd w:val="clear" w:color="auto" w:fill="F2F5F8"/>
            <w:tcMar>
              <w:top w:w="80" w:type="dxa"/>
              <w:bottom w:w="80" w:type="dxa"/>
              <w:left w:w="120" w:type="dxa"/>
              <w:right w:w="120" w:type="dxa"/>
            </w:tcMar>
          </w:tcPr>
          <w:p>
            <w:r>
              <w:t>Member 3: Analysis Q02–Q10, Figure Visualizations Fig01–Fig08, 6 Core Insights, Sections 3 &amp; 4 Lead</w:t>
            </w:r>
          </w:p>
        </w:tc>
      </w:tr>
    </w:tbl>
    <w:p>
      <w:pPr>
        <w:spacing w:after="240"/>
      </w:pPr>
    </w:p>
    <w:p>
      <w:pPr>
        <w:pStyle w:val="Heading1"/>
      </w:pPr>
      <w:r>
        <w:rPr>
          <w:color w:val="003366"/>
        </w:rPr>
        <w:t>1. Objectives, Context, and Analytical Boundaries</w:t>
      </w:r>
    </w:p>
    <w:p>
      <w:r>
        <w:t>1.1 Business Context &amp; Objectives: Revenue management and commercial operations in modern commercial aviation depend fundamentally on clean, auditable booking telemetry. The primary objective of this project is to ingest a heterogeneous, simulated multi-extract booking dataset (airline_bookings_dirty.csv, containing 10,325 raw records across 24 operational attributes), perform rigorous deterministic data hygiene and consensus deduplication, and produce an auditable analytical dataset of 10,000 standardized reservations. Using this verified baseline, we evaluate booking cancellation rates, seasonal demand patterns, booking lead time behavior, geographic passenger origin, market distribution channels, and fare policies for two simulated scheduled carriers: Aurora Air and Horizon Wings.</w:t>
      </w:r>
    </w:p>
    <w:p>
      <w:r>
        <w:t>1.2 Unit of Analysis &amp; Scope: The strict unit of analysis throughout this study is exactly one unique reservation (1 reservation = 1 reservation_id). The dataset spans scheduled flight departures from July 1, 2024 to August 31, 2026, with transaction status snapshots tracked through September 15, 2026. The scope encompasses 10 structured business inquiries and 6 verified empirical insights.</w:t>
      </w:r>
    </w:p>
    <w:p>
      <w:r>
        <w:t>1.3 Explicit Analytical Boundaries (What the Data Does NOT Contain): To ensure scientific rigor and avoid overreach, the analytical team establishes four strict negative boundaries: (1) The dataset contains no actual airline operating revenues or audited cash inflows; avg_ticket_fare represents average ticket fare per passenger, and booking_value_est serves strictly as an estimated reservation value proxy; (2) The data contains no operational cancellation causes (such as adverse weather, air traffic control delays, mechanical faults, or passenger personal reasons); hence, no causal claims can be asserted; (3) Carrier operating expenditures, load factors, and seat inventory limits are absent; (4) The simulated carriers and transaction logs represent an academic simulation environment and must not be generalized to the real-world global airline sector.</w:t>
      </w:r>
    </w:p>
    <w:p>
      <w:pPr>
        <w:pStyle w:val="Heading1"/>
      </w:pPr>
      <w:r>
        <w:rPr>
          <w:color w:val="003366"/>
        </w:rPr>
        <w:t>2. Data Quality Assurance and Cleaning Workflow</w:t>
      </w:r>
    </w:p>
    <w:p>
      <w:r>
        <w:t>Primary Lead: Tạ Minh Quân (Member 2 — Quality Control &amp; Data Engineering)</w:t>
      </w:r>
    </w:p>
    <w:p>
      <w:r>
        <w:t>The data hygiene pipeline was developed to transform technical extraction fragments (10,325 rows) into a mathematically robust, business-ready tabular corpus (10,000 reservations). All modifications adhere strictly to three foundational engineering principles: (1) Zero manual CSV modification; (2) Absolute prohibition of speculative synthetic imputation (no mean/mode guessing); and (3) 100% auditable traceability maintained via outputs/row_lineage.csv and outputs/cleaning_log.csv.</w:t>
      </w:r>
    </w:p>
    <w:p>
      <w:pPr>
        <w:pStyle w:val="Heading2"/>
      </w:pPr>
      <w:r>
        <w:t>2.1 Quality Metrics Before vs. After Cleaning</w:t>
      </w:r>
    </w:p>
    <w:p>
      <w:r>
        <w:t>To provide complete methodological transparency, Table 1 details the core quality indicators across the initial raw extraction baseline (N = 10,325 rows) and the final verified clean dataset (n = 10,000 reservations).</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03366"/>
          </w:tcPr>
          <w:p>
            <w:r>
              <w:rPr>
                <w:b/>
                <w:color w:val="FFFFFF"/>
              </w:rPr>
              <w:t>Quality Indicator</w:t>
            </w:r>
          </w:p>
        </w:tc>
        <w:tc>
          <w:tcPr>
            <w:tcW w:type="dxa" w:w="2340"/>
            <w:shd w:val="clear" w:color="auto" w:fill="003366"/>
          </w:tcPr>
          <w:p>
            <w:r>
              <w:rPr>
                <w:b/>
                <w:color w:val="FFFFFF"/>
              </w:rPr>
              <w:t>Baseline (N = 10,325 rows)</w:t>
            </w:r>
          </w:p>
        </w:tc>
        <w:tc>
          <w:tcPr>
            <w:tcW w:type="dxa" w:w="2340"/>
            <w:shd w:val="clear" w:color="auto" w:fill="003366"/>
          </w:tcPr>
          <w:p>
            <w:r>
              <w:rPr>
                <w:b/>
                <w:color w:val="FFFFFF"/>
              </w:rPr>
              <w:t>Cleaned (n = 10,000 reservations)</w:t>
            </w:r>
          </w:p>
        </w:tc>
        <w:tc>
          <w:tcPr>
            <w:tcW w:type="dxa" w:w="2340"/>
            <w:shd w:val="clear" w:color="auto" w:fill="003366"/>
          </w:tcPr>
          <w:p>
            <w:r>
              <w:rPr>
                <w:b/>
                <w:color w:val="FFFFFF"/>
              </w:rPr>
              <w:t>Operational &amp; Engineering Notes</w:t>
            </w:r>
          </w:p>
        </w:tc>
      </w:tr>
      <w:tr>
        <w:tc>
          <w:tcPr>
            <w:tcW w:type="dxa" w:w="2340"/>
            <w:shd w:val="clear" w:color="auto" w:fill="F2F5F8"/>
            <w:tcMar>
              <w:top w:w="70" w:type="dxa"/>
              <w:bottom w:w="70" w:type="dxa"/>
              <w:left w:w="100" w:type="dxa"/>
              <w:right w:w="100" w:type="dxa"/>
            </w:tcMar>
          </w:tcPr>
          <w:p>
            <w:r>
              <w:t>Total Records / Rows</w:t>
            </w:r>
          </w:p>
        </w:tc>
        <w:tc>
          <w:tcPr>
            <w:tcW w:type="dxa" w:w="2340"/>
            <w:shd w:val="clear" w:color="auto" w:fill="F2F5F8"/>
            <w:tcMar>
              <w:top w:w="70" w:type="dxa"/>
              <w:bottom w:w="70" w:type="dxa"/>
              <w:left w:w="100" w:type="dxa"/>
              <w:right w:w="100" w:type="dxa"/>
            </w:tcMar>
          </w:tcPr>
          <w:p>
            <w:r>
              <w:t>10,325 rows</w:t>
            </w:r>
          </w:p>
        </w:tc>
        <w:tc>
          <w:tcPr>
            <w:tcW w:type="dxa" w:w="2340"/>
            <w:shd w:val="clear" w:color="auto" w:fill="F2F5F8"/>
            <w:tcMar>
              <w:top w:w="70" w:type="dxa"/>
              <w:bottom w:w="70" w:type="dxa"/>
              <w:left w:w="100" w:type="dxa"/>
              <w:right w:w="100" w:type="dxa"/>
            </w:tcMar>
          </w:tcPr>
          <w:p>
            <w:r>
              <w:t>10,000 reservations</w:t>
            </w:r>
          </w:p>
        </w:tc>
        <w:tc>
          <w:tcPr>
            <w:tcW w:type="dxa" w:w="2340"/>
            <w:shd w:val="clear" w:color="auto" w:fill="F2F5F8"/>
            <w:tcMar>
              <w:top w:w="70" w:type="dxa"/>
              <w:bottom w:w="70" w:type="dxa"/>
              <w:left w:w="100" w:type="dxa"/>
              <w:right w:w="100" w:type="dxa"/>
            </w:tcMar>
          </w:tcPr>
          <w:p>
            <w:r>
              <w:t>Consensus deduplication merged 325 redundant extraction fragments</w:t>
            </w:r>
          </w:p>
        </w:tc>
      </w:tr>
      <w:tr>
        <w:tc>
          <w:tcPr>
            <w:tcW w:type="dxa" w:w="2340"/>
            <w:tcMar>
              <w:top w:w="70" w:type="dxa"/>
              <w:bottom w:w="70" w:type="dxa"/>
              <w:left w:w="100" w:type="dxa"/>
              <w:right w:w="100" w:type="dxa"/>
            </w:tcMar>
          </w:tcPr>
          <w:p>
            <w:r>
              <w:t>Distinct reservation_id count</w:t>
            </w:r>
          </w:p>
        </w:tc>
        <w:tc>
          <w:tcPr>
            <w:tcW w:type="dxa" w:w="2340"/>
            <w:tcMar>
              <w:top w:w="70" w:type="dxa"/>
              <w:bottom w:w="70" w:type="dxa"/>
              <w:left w:w="100" w:type="dxa"/>
              <w:right w:w="100" w:type="dxa"/>
            </w:tcMar>
          </w:tcPr>
          <w:p>
            <w:r>
              <w:t>10,037 keys</w:t>
            </w:r>
          </w:p>
        </w:tc>
        <w:tc>
          <w:tcPr>
            <w:tcW w:type="dxa" w:w="2340"/>
            <w:tcMar>
              <w:top w:w="70" w:type="dxa"/>
              <w:bottom w:w="70" w:type="dxa"/>
              <w:left w:w="100" w:type="dxa"/>
              <w:right w:w="100" w:type="dxa"/>
            </w:tcMar>
          </w:tcPr>
          <w:p>
            <w:r>
              <w:t>10,000 keys</w:t>
            </w:r>
          </w:p>
        </w:tc>
        <w:tc>
          <w:tcPr>
            <w:tcW w:type="dxa" w:w="2340"/>
            <w:tcMar>
              <w:top w:w="70" w:type="dxa"/>
              <w:bottom w:w="70" w:type="dxa"/>
              <w:left w:w="100" w:type="dxa"/>
              <w:right w:w="100" w:type="dxa"/>
            </w:tcMar>
          </w:tcPr>
          <w:p>
            <w:r>
              <w:t>Casing normalization (upper-case regex) resolved 37 typographic duplicates</w:t>
            </w:r>
          </w:p>
        </w:tc>
      </w:tr>
      <w:tr>
        <w:tc>
          <w:tcPr>
            <w:tcW w:type="dxa" w:w="2340"/>
            <w:shd w:val="clear" w:color="auto" w:fill="F2F5F8"/>
            <w:tcMar>
              <w:top w:w="70" w:type="dxa"/>
              <w:bottom w:w="70" w:type="dxa"/>
              <w:left w:w="100" w:type="dxa"/>
              <w:right w:w="100" w:type="dxa"/>
            </w:tcMar>
          </w:tcPr>
          <w:p>
            <w:r>
              <w:t>Duplicate rows on 23 business fields</w:t>
            </w:r>
          </w:p>
        </w:tc>
        <w:tc>
          <w:tcPr>
            <w:tcW w:type="dxa" w:w="2340"/>
            <w:shd w:val="clear" w:color="auto" w:fill="F2F5F8"/>
            <w:tcMar>
              <w:top w:w="70" w:type="dxa"/>
              <w:bottom w:w="70" w:type="dxa"/>
              <w:left w:w="100" w:type="dxa"/>
              <w:right w:w="100" w:type="dxa"/>
            </w:tcMar>
          </w:tcPr>
          <w:p>
            <w:r>
              <w:t>180 rows</w:t>
            </w:r>
          </w:p>
        </w:tc>
        <w:tc>
          <w:tcPr>
            <w:tcW w:type="dxa" w:w="2340"/>
            <w:shd w:val="clear" w:color="auto" w:fill="F2F5F8"/>
            <w:tcMar>
              <w:top w:w="70" w:type="dxa"/>
              <w:bottom w:w="70" w:type="dxa"/>
              <w:left w:w="100" w:type="dxa"/>
              <w:right w:w="100" w:type="dxa"/>
            </w:tcMar>
          </w:tcPr>
          <w:p>
            <w:r>
              <w:t>0 rows</w:t>
            </w:r>
          </w:p>
        </w:tc>
        <w:tc>
          <w:tcPr>
            <w:tcW w:type="dxa" w:w="2340"/>
            <w:shd w:val="clear" w:color="auto" w:fill="F2F5F8"/>
            <w:tcMar>
              <w:top w:w="70" w:type="dxa"/>
              <w:bottom w:w="70" w:type="dxa"/>
              <w:left w:w="100" w:type="dxa"/>
              <w:right w:w="100" w:type="dxa"/>
            </w:tcMar>
          </w:tcPr>
          <w:p>
            <w:r>
              <w:t>100% eliminated via deterministic consensus merging</w:t>
            </w:r>
          </w:p>
        </w:tc>
      </w:tr>
      <w:tr>
        <w:tc>
          <w:tcPr>
            <w:tcW w:type="dxa" w:w="2340"/>
            <w:tcMar>
              <w:top w:w="70" w:type="dxa"/>
              <w:bottom w:w="70" w:type="dxa"/>
              <w:left w:w="100" w:type="dxa"/>
              <w:right w:w="100" w:type="dxa"/>
            </w:tcMar>
          </w:tcPr>
          <w:p>
            <w:r>
              <w:t>departure_date missing rate (%)</w:t>
            </w:r>
          </w:p>
        </w:tc>
        <w:tc>
          <w:tcPr>
            <w:tcW w:type="dxa" w:w="2340"/>
            <w:tcMar>
              <w:top w:w="70" w:type="dxa"/>
              <w:bottom w:w="70" w:type="dxa"/>
              <w:left w:w="100" w:type="dxa"/>
              <w:right w:w="100" w:type="dxa"/>
            </w:tcMar>
          </w:tcPr>
          <w:p>
            <w:r>
              <w:t>0.24% (25 missing)</w:t>
            </w:r>
          </w:p>
        </w:tc>
        <w:tc>
          <w:tcPr>
            <w:tcW w:type="dxa" w:w="2340"/>
            <w:tcMar>
              <w:top w:w="70" w:type="dxa"/>
              <w:bottom w:w="70" w:type="dxa"/>
              <w:left w:w="100" w:type="dxa"/>
              <w:right w:w="100" w:type="dxa"/>
            </w:tcMar>
          </w:tcPr>
          <w:p>
            <w:r>
              <w:t>0.35% (35 missing)</w:t>
            </w:r>
          </w:p>
        </w:tc>
        <w:tc>
          <w:tcPr>
            <w:tcW w:type="dxa" w:w="2340"/>
            <w:tcMar>
              <w:top w:w="70" w:type="dxa"/>
              <w:bottom w:w="70" w:type="dxa"/>
              <w:left w:w="100" w:type="dxa"/>
              <w:right w:w="100" w:type="dxa"/>
            </w:tcMar>
          </w:tcPr>
          <w:p>
            <w:r>
              <w:t>Invalid calendar dates (e.g., Feb 31) and out-of-range dates set to NaT</w:t>
            </w:r>
          </w:p>
        </w:tc>
      </w:tr>
      <w:tr>
        <w:tc>
          <w:tcPr>
            <w:tcW w:type="dxa" w:w="2340"/>
            <w:shd w:val="clear" w:color="auto" w:fill="F2F5F8"/>
            <w:tcMar>
              <w:top w:w="70" w:type="dxa"/>
              <w:bottom w:w="70" w:type="dxa"/>
              <w:left w:w="100" w:type="dxa"/>
              <w:right w:w="100" w:type="dxa"/>
            </w:tcMar>
          </w:tcPr>
          <w:p>
            <w:r>
              <w:t>avg_ticket_fare missing rate (%)</w:t>
            </w:r>
          </w:p>
        </w:tc>
        <w:tc>
          <w:tcPr>
            <w:tcW w:type="dxa" w:w="2340"/>
            <w:shd w:val="clear" w:color="auto" w:fill="F2F5F8"/>
            <w:tcMar>
              <w:top w:w="70" w:type="dxa"/>
              <w:bottom w:w="70" w:type="dxa"/>
              <w:left w:w="100" w:type="dxa"/>
              <w:right w:w="100" w:type="dxa"/>
            </w:tcMar>
          </w:tcPr>
          <w:p>
            <w:r>
              <w:t>0.25% (26 missing)</w:t>
            </w:r>
          </w:p>
        </w:tc>
        <w:tc>
          <w:tcPr>
            <w:tcW w:type="dxa" w:w="2340"/>
            <w:shd w:val="clear" w:color="auto" w:fill="F2F5F8"/>
            <w:tcMar>
              <w:top w:w="70" w:type="dxa"/>
              <w:bottom w:w="70" w:type="dxa"/>
              <w:left w:w="100" w:type="dxa"/>
              <w:right w:w="100" w:type="dxa"/>
            </w:tcMar>
          </w:tcPr>
          <w:p>
            <w:r>
              <w:t>0.37% (37 missing)</w:t>
            </w:r>
          </w:p>
        </w:tc>
        <w:tc>
          <w:tcPr>
            <w:tcW w:type="dxa" w:w="2340"/>
            <w:shd w:val="clear" w:color="auto" w:fill="F2F5F8"/>
            <w:tcMar>
              <w:top w:w="70" w:type="dxa"/>
              <w:bottom w:w="70" w:type="dxa"/>
              <w:left w:w="100" w:type="dxa"/>
              <w:right w:w="100" w:type="dxa"/>
            </w:tcMar>
          </w:tcPr>
          <w:p>
            <w:r>
              <w:t>Stripped currency symbols, commas; negative &amp; out-of-bound values set to NA</w:t>
            </w:r>
          </w:p>
        </w:tc>
      </w:tr>
    </w:tbl>
    <w:p>
      <w:pPr>
        <w:spacing w:after="200"/>
      </w:pPr>
      <w:r>
        <w:rPr>
          <w:i/>
          <w:sz w:val="19"/>
        </w:rPr>
        <w:t>Table 1. Comprehensive data quality audit before and after hygiene pipeline. Source: outputs/tables/q01_before_after.csv</w:t>
      </w:r>
    </w:p>
    <w:p>
      <w:pPr>
        <w:pStyle w:val="Heading2"/>
      </w:pPr>
      <w:r>
        <w:t>2.2 Three Representative Data Cleaning Decisions</w:t>
      </w:r>
    </w:p>
    <w:p>
      <w:r>
        <w:t>Decision 1: Key Normalization and Consensus Deduplication with Row Lineage (Steps B1 &amp; B8)</w:t>
        <w:br/>
        <w:t>• Issue Detected: 395 raw rows contained trailing whitespace, leading spaces, or lowercase characters in reservation_id (e.g., 'ar000729', ' AR001273 '). Once normalized, 180 rows were found to be 100% duplicate across all 23 operational attributes, while 145 additional rows shared identical reservation_id values but contained complementary non-null field values (325 redundant rows in total). Exemplary record IDs include R000729, R000765, and R001273.</w:t>
        <w:br/>
        <w:t>• Applied Rule: Applied regex normalization matching 'AR\d{6}' in uppercase. Executed deterministic consensus deduplication using groupby('reservation_id').first() on the dataframe sorted by record_id ascending. Generated a comprehensive row_lineage.csv audit trail mapping all 10,325 input record_id values to their terminal status ('kept', 'merged', or 'dropped').</w:t>
        <w:br/>
        <w:t>• Rationale: Realigns technical data extracts with business entity definitions (1 reservation = 1 unique booking). Taking the first valid non-null attribute ensures deterministic reproducibility without introducing arbitrary random sampling.</w:t>
        <w:br/>
        <w:t>• Analytical Impact: Established an exact denominator of 10,000 distinct bookings, completely eliminating artificial volume inflation and duplicate bias in carrier cancellation rate computations (Questions 2 &amp; 3).</w:t>
      </w:r>
    </w:p>
    <w:p>
      <w:r>
        <w:t>Decision 2: Column Misalignment Recovery and Booking Status Logic Synchronization (Steps B2 &amp; B4d)</w:t>
        <w:br/>
        <w:t>• Issue Detected: In 26 raw records, the booking_status attribute contained an ISO date string (YYYY-MM-DD) instead of an operational status category (exemplified by records R000493, R000691, and R001712), while the corresponding booking_status_date attribute was entirely blank. Furthermore, 163 records exhibited logical contradiction between the binary is_cancelled flag and the categorical booking_status (e.g., is_cancelled = 0 concomitant with booking_status = 'Cancelled').</w:t>
        <w:br/>
        <w:t>• Applied Rule: For the 26 misaligned rows, the date string was programmatically relocated to booking_status_date (conditioned on the field being empty), and booking_status was explicitly assigned missing (&lt;NA&gt;). For the 163 conflicting rows, the granular categorical booking_status was taken as the authoritative master record, overriding is_cancelled = 1 if booking_status == 'Cancelled', and is_cancelled = 0 if 'Flown' or 'No-Show'.</w:t>
        <w:br/>
        <w:t>• Rationale: Adheres strictly to the 'No Guesswork' doctrine. We successfully salvaged 26 authentic status transition timestamps, but deliberately refrained from guessing whether the flight was Flown or Cancelled without empirical proof. Categorical status possesses superior informational entropy compared to detached binary flags.</w:t>
        <w:br/>
        <w:t>• Analytical Impact: Established 100% internal semantic consistency between status flags, guaranteeing mathematically immaculate numerators and denominators when computing cancellation metrics across both airlines (Aurora Air 27.11%, Horizon Wings 27.86%).</w:t>
      </w:r>
    </w:p>
    <w:p>
      <w:r>
        <w:t>Decision 3: Fare Attribute Sanitization and Intentional Preservation of 0 USD Fares (Step B6b)</w:t>
        <w:br/>
        <w:t>• Issue Detected: Cột avg_ticket_fare contained 2,850 rows corrupted by currency prefixes ('$', 'USD', 'EUR'), European comma decimals ('158,90'), anomalous negative figures (&lt; 0), extreme values (&gt; 5,000 USD), and exactly 0.0 USD values (exemplified by records R000001, R000007, and R000014).</w:t>
        <w:br/>
        <w:t>• Applied Rule: Stripped all alphabetic/currency symbols, standardized commas to decimal points, and enforced an operational boundary filter of [0, 5000] USD. Negative and excessive entries were converted to missing (&lt;NA&gt;). Crucially, valid 0.0 USD fares were strictly preserved in reservations_clean.csv.</w:t>
        <w:br/>
        <w:t>• Rationale: Distinguishes fundamentally between corrupt noise and rare but legitimate business cases. In commercial aviation, zero-dollar passenger fares represent frequent flyer award travel (Loyalty mileage redemption) or airline employee non-revenue passes. Discarding or imputing these entries would corrupt commercial reality. For parametric pricing distribution analysis in Question 8, zero-dollar tickets were segmented and analyzed separately.</w:t>
        <w:br/>
        <w:t>• Analytical Impact: Maintained absolute integrity in estimated reservation value metrics (booking_value_est), providing an uncompromised reflection of commercial loyalty structure.</w:t>
      </w:r>
    </w:p>
    <w:p>
      <w:pPr>
        <w:pStyle w:val="Heading2"/>
      </w:pPr>
      <w:r>
        <w:t>2.3 Rationale for Retaining Missing Data (No Imputation, No Listwise Deletion)</w:t>
      </w:r>
    </w:p>
    <w:p>
      <w:r>
        <w:t>The engineering team adopted a disciplined policy regarding incomplete observations, grounded in three methodological foundations:</w:t>
        <w:br/>
        <w:br/>
        <w:t>1. Rejection of Speculative Imputation (Avoiding Mean/Mode Distortion): Never impute central tendencies (mean, median, mode) into unobserved cells (such as avg_ticket_fare, departure_date, or passenger_country). Synthetic imputation artificially deflates empirical variance, generates artificial spikes at modal values, and introduces severe bias into multivariate associations (e.g., imputing modal origin countries would artificially distort source-market concentration).</w:t>
        <w:br/>
        <w:br/>
        <w:t>2. Rejection of Listwise Row Deletion (No Indiscriminate dropna): Airline booking repositories are inherently multi-dimensional transaction systems. A reservation lacking passenger_country or ticket fare still provides fully validated, pristine telemetry regarding departure timing, lead time, flight cancellation status, and distribution channels. Deleting rows listwise would discard hundreds of valid commercial transactions, destabilize sample sizes, and induce attrition bias.</w:t>
        <w:br/>
        <w:br/>
        <w:t>3. Methodological Explanation for Increased Missingness Post-Hygiene:</w:t>
        <w:br/>
        <w:t>• departure_date: Missingness expanded from 0.24% (25 blank entries in N = 10,325) to 0.35% (35 NaT entries in n = 10,000). Rationale: The pipeline detected 10 entries containing impossible calendar dates (such as February 31) or dates outside the valid operational investigation window (prior to July 1, 2024 or after August 31, 2026), neutralizing them to NaT rather than fabricating synthetic dates.</w:t>
        <w:br/>
        <w:t>• avg_ticket_fare: Missingness increased from 0.25% (26 blank entries in raw) to 0.37% (37 NA entries in clean). Rationale: Negative values and extreme out-of-range noise (&gt; 5,000 USD) were systematically neutralized to NA to shield descriptive parametric estimators from gross distortion.</w:t>
        <w:br/>
        <w:t>• booking_status: Absorbed 26 additional missing values as misplaced date strings were restored to booking_status_date, leaving the status category empty in the absence of verified flight proof.</w:t>
      </w:r>
    </w:p>
    <w:p>
      <w:pPr>
        <w:pStyle w:val="Heading1"/>
      </w:pPr>
      <w:r>
        <w:rPr>
          <w:color w:val="003366"/>
        </w:rPr>
        <w:t>3. Empirical Findings and Analytical Insights</w:t>
      </w:r>
    </w:p>
    <w:p>
      <w:r>
        <w:t>Primary Lead: Nguyễn Đình Phan Anh (Member 3 — Statistical Analysis &amp; Visualization)</w:t>
      </w:r>
    </w:p>
    <w:p>
      <w:r>
        <w:t>Following the successful execution of the data hygiene pipeline, exploratory data analysis was conducted across 10 structured dimensions. Below, we present six validated, evidence-based insights spanning four distinct commercial themes. Each insight couples rigorous quantitative denominators with verified data visualizations, business interpretation, and analytical boundary conditions.</w:t>
      </w:r>
    </w:p>
    <w:p>
      <w:pPr>
        <w:pStyle w:val="Heading2"/>
      </w:pPr>
      <w:r>
        <w:t>3.1 Insight 1: Cancellation Parity Across Carriers Despite Scale Asymmetry</w:t>
      </w:r>
    </w:p>
    <w:p>
      <w:pPr>
        <w:jc w:val="center"/>
      </w:pPr>
    </w:p>
    <w:p>
      <w:r>
        <w:drawing>
          <wp:inline xmlns:a="http://schemas.openxmlformats.org/drawingml/2006/main" xmlns:pic="http://schemas.openxmlformats.org/drawingml/2006/picture">
            <wp:extent cx="5029200" cy="3182573"/>
            <wp:docPr id="1" name="Picture 1"/>
            <wp:cNvGraphicFramePr>
              <a:graphicFrameLocks noChangeAspect="1"/>
            </wp:cNvGraphicFramePr>
            <a:graphic>
              <a:graphicData uri="http://schemas.openxmlformats.org/drawingml/2006/picture">
                <pic:pic>
                  <pic:nvPicPr>
                    <pic:cNvPr id="0" name="fig01_airline_cancel.png"/>
                    <pic:cNvPicPr/>
                  </pic:nvPicPr>
                  <pic:blipFill>
                    <a:blip r:embed="rId9"/>
                    <a:stretch>
                      <a:fillRect/>
                    </a:stretch>
                  </pic:blipFill>
                  <pic:spPr>
                    <a:xfrm>
                      <a:off x="0" y="0"/>
                      <a:ext cx="5029200" cy="3182573"/>
                    </a:xfrm>
                    <a:prstGeom prst="rect"/>
                  </pic:spPr>
                </pic:pic>
              </a:graphicData>
            </a:graphic>
          </wp:inline>
        </w:drawing>
      </w:r>
    </w:p>
    <w:p>
      <w:pPr>
        <w:jc w:val="center"/>
      </w:pPr>
      <w:r>
        <w:rPr>
          <w:i/>
          <w:sz w:val="19"/>
        </w:rPr>
        <w:t>Figure 1. Booking share and cancellation rates by airline. n = 10,000 reservations. Source: outputs/tables/q02_airline_cancel.csv</w:t>
      </w:r>
    </w:p>
    <w:p>
      <w:r>
        <w:t>Empirical Evidence &amp; Comparison: Across the standardized 10,000-reservation corpus, Aurora Air accounts for the dominant commercial volume with 6,522 reservations (65.22% market share), suffering 1,768 cancellations (cancellation rate: 27.11%). Horizon Wings captures the remaining 3,478 bookings (34.78% share) and records 969 cancellations (cancellation rate: 27.86%). The cross-carrier cancellation disparity is negligible at merely 0.75 percentage points, yielding an aggregate fleetwide cancellation rate of 27.37% (2,737 total cancellations).</w:t>
        <w:br/>
        <w:t>Business Meaning: The near-identical cancellation propensities demonstrate that booking attrition is structurally driven by macroeconomic booking behaviors, seasonality, and route distribution rather than carrier-specific operational deficiencies or brand dissatisfaction.</w:t>
        <w:br/>
        <w:t>Boundary Condition: These metrics represent gross cancellations. Because operational root causes are unrecorded, this parity cannot be attributed to identical customer loyalty or equivalent schedule reliability.</w:t>
      </w:r>
    </w:p>
    <w:p>
      <w:pPr>
        <w:pStyle w:val="Heading2"/>
      </w:pPr>
      <w:r>
        <w:t>3.2 Insight 2: Dual-Peak Seasonality with Pronounced Summer and Winter Surges</w:t>
      </w:r>
    </w:p>
    <w:p>
      <w:pPr>
        <w:jc w:val="center"/>
      </w:pPr>
    </w:p>
    <w:p>
      <w:r>
        <w:drawing>
          <wp:inline xmlns:a="http://schemas.openxmlformats.org/drawingml/2006/main" xmlns:pic="http://schemas.openxmlformats.org/drawingml/2006/picture">
            <wp:extent cx="5029200" cy="3182573"/>
            <wp:docPr id="2" name="Picture 2"/>
            <wp:cNvGraphicFramePr>
              <a:graphicFrameLocks noChangeAspect="1"/>
            </wp:cNvGraphicFramePr>
            <a:graphic>
              <a:graphicData uri="http://schemas.openxmlformats.org/drawingml/2006/picture">
                <pic:pic>
                  <pic:nvPicPr>
                    <pic:cNvPr id="0" name="fig02_monthly_departures_2025.png"/>
                    <pic:cNvPicPr/>
                  </pic:nvPicPr>
                  <pic:blipFill>
                    <a:blip r:embed="rId10"/>
                    <a:stretch>
                      <a:fillRect/>
                    </a:stretch>
                  </pic:blipFill>
                  <pic:spPr>
                    <a:xfrm>
                      <a:off x="0" y="0"/>
                      <a:ext cx="5029200" cy="3182573"/>
                    </a:xfrm>
                    <a:prstGeom prst="rect"/>
                  </pic:spPr>
                </pic:pic>
              </a:graphicData>
            </a:graphic>
          </wp:inline>
        </w:drawing>
      </w:r>
    </w:p>
    <w:p>
      <w:pPr>
        <w:jc w:val="center"/>
      </w:pPr>
      <w:r>
        <w:rPr>
          <w:i/>
          <w:sz w:val="19"/>
        </w:rPr>
        <w:t>Figure 2. Monthly departure trajectory across full calendar year 2025. n = 5,613 reservations in 2025. Source: outputs/tables/q03_monthly_departures_2025.csv</w:t>
      </w:r>
    </w:p>
    <w:p>
      <w:r>
        <w:t>Empirical Evidence &amp; Comparison: For the full calendar baseline year of 2025 (n = 5,613 reservations with valid 2025 departure dates), passenger demand displays a distinct bimodal distribution. Mid-year summer peaks occur in July (383 departures for Aurora Air, 189 for Horizon Wings; combined: 572) and August (364 for Aurora, 229 for Horizon; combined: 593). A secondary winter holiday peak manifests in December (382 for Aurora Air, 210 for Horizon Wings; combined: 592). Conversely, severe seasonal troughs occur in March (412 combined) and October (404 combined), representing a ~32% volume swing from peak to trough.</w:t>
        <w:br/>
        <w:t>Business Meaning: Airline fleet scheduling and dynamic capacity management must accommodate heavy leisure seasonality. Commercial yield management should prioritize fare premium capture during July-August and December, while deploying tactical promotional packages in Q1 and early Q4 to stabilize load factors.</w:t>
        <w:br/>
        <w:t>Boundary Condition: Seasonality is observed exclusively over departure timing. Without historical multi-year time-series modeling, cyclical economic trends cannot be separated from seasonal noise.</w:t>
      </w:r>
    </w:p>
    <w:p>
      <w:pPr>
        <w:pStyle w:val="Heading2"/>
      </w:pPr>
      <w:r>
        <w:t>3.3 Insight 3: Non-Linear Escalation of Cancellation Risk Across Booking Lead Time</w:t>
      </w:r>
    </w:p>
    <w:p>
      <w:pPr>
        <w:jc w:val="center"/>
      </w:pPr>
    </w:p>
    <w:p>
      <w:r>
        <w:drawing>
          <wp:inline xmlns:a="http://schemas.openxmlformats.org/drawingml/2006/main" xmlns:pic="http://schemas.openxmlformats.org/drawingml/2006/picture">
            <wp:extent cx="5029200" cy="3174402"/>
            <wp:docPr id="3" name="Picture 3"/>
            <wp:cNvGraphicFramePr>
              <a:graphicFrameLocks noChangeAspect="1"/>
            </wp:cNvGraphicFramePr>
            <a:graphic>
              <a:graphicData uri="http://schemas.openxmlformats.org/drawingml/2006/picture">
                <pic:pic>
                  <pic:nvPicPr>
                    <pic:cNvPr id="0" name="fig03_leadtime_cancel.png"/>
                    <pic:cNvPicPr/>
                  </pic:nvPicPr>
                  <pic:blipFill>
                    <a:blip r:embed="rId11"/>
                    <a:stretch>
                      <a:fillRect/>
                    </a:stretch>
                  </pic:blipFill>
                  <pic:spPr>
                    <a:xfrm>
                      <a:off x="0" y="0"/>
                      <a:ext cx="5029200" cy="3174402"/>
                    </a:xfrm>
                    <a:prstGeom prst="rect"/>
                  </pic:spPr>
                </pic:pic>
              </a:graphicData>
            </a:graphic>
          </wp:inline>
        </w:drawing>
      </w:r>
    </w:p>
    <w:p>
      <w:pPr>
        <w:jc w:val="center"/>
      </w:pPr>
      <w:r>
        <w:rPr>
          <w:i/>
          <w:sz w:val="19"/>
        </w:rPr>
        <w:t>Figure 3. Booking cancellation rate across lead time cohorts. n = 9,978 reservations. Source: outputs/tables/q04_leadtime_cancel.csv</w:t>
      </w:r>
    </w:p>
    <w:p>
      <w:r>
        <w:t>Empirical Evidence &amp; Comparison: Analysis of 9,978 reservations with valid lead time data reveals a strong monotonic positive relationship between advance booking horizon and cancellation rate. For last-minute bookings (0–7 days lead time, n = 774), the cancellation rate is low at 22.22% (172 cancellations). For intermediate horizons (8–30 days, n = 2,005; 31–90 days, n = 4,327), attrition hovers moderately between 24.19% and 25.77%. However, risk escalates sharply to 30.45% for 91–180 days (n = 2,276), and peaks dramatically at 44.63% for ultra-long advance bookings (&gt; 180 days, n = 596, 266 cancellations) — more than double the attrition rate of proximate bookings.</w:t>
        <w:br/>
        <w:t>Business Meaning: Extended booking horizons carry massive schedule uncertainty for travelers. When customers book more than six months ahead, personal schedule conflicts, price drops, or speculative itinerary locks cause nearly half of all bookings to disintegrate. Revenue management should enforce tighter non-refundable deposits or phased re-confirmation milestones for bookings beyond 90 days.</w:t>
        <w:br/>
        <w:t>Boundary Condition: The lead time metric reflects calendar duration between booking and flight departure; customer re-booking or subsequent schedule modification logs are not captured.</w:t>
      </w:r>
    </w:p>
    <w:p>
      <w:pPr>
        <w:pStyle w:val="Heading2"/>
      </w:pPr>
      <w:r>
        <w:t>3.4 Insight 4: Severe Geographic Concentration in Core Asian and Global Feeder Markets</w:t>
      </w:r>
    </w:p>
    <w:p>
      <w:pPr>
        <w:jc w:val="center"/>
      </w:pPr>
    </w:p>
    <w:p>
      <w:r>
        <w:drawing>
          <wp:inline xmlns:a="http://schemas.openxmlformats.org/drawingml/2006/main" xmlns:pic="http://schemas.openxmlformats.org/drawingml/2006/picture">
            <wp:extent cx="5029200" cy="3182573"/>
            <wp:docPr id="4" name="Picture 4"/>
            <wp:cNvGraphicFramePr>
              <a:graphicFrameLocks noChangeAspect="1"/>
            </wp:cNvGraphicFramePr>
            <a:graphic>
              <a:graphicData uri="http://schemas.openxmlformats.org/drawingml/2006/picture">
                <pic:pic>
                  <pic:nvPicPr>
                    <pic:cNvPr id="0" name="fig04_top10_country.png"/>
                    <pic:cNvPicPr/>
                  </pic:nvPicPr>
                  <pic:blipFill>
                    <a:blip r:embed="rId12"/>
                    <a:stretch>
                      <a:fillRect/>
                    </a:stretch>
                  </pic:blipFill>
                  <pic:spPr>
                    <a:xfrm>
                      <a:off x="0" y="0"/>
                      <a:ext cx="5029200" cy="3182573"/>
                    </a:xfrm>
                    <a:prstGeom prst="rect"/>
                  </pic:spPr>
                </pic:pic>
              </a:graphicData>
            </a:graphic>
          </wp:inline>
        </w:drawing>
      </w:r>
    </w:p>
    <w:p>
      <w:pPr>
        <w:jc w:val="center"/>
      </w:pPr>
      <w:r>
        <w:rPr>
          <w:i/>
          <w:sz w:val="19"/>
        </w:rPr>
        <w:t>Figure 4. Top 10 passenger source countries by volume and cancellation rate. n = 9,895 valid country reservations. Source: outputs/tables/q05_top10_country.csv</w:t>
      </w:r>
    </w:p>
    <w:p>
      <w:r>
        <w:t>Empirical Evidence &amp; Comparison: Among 9,895 bookings containing valid country codes, Vietnam (VNM) emerges as the overwhelming anchor market with 2,080 reservations (20.80% total market share), recording a cancellation rate of 26.97% (561 cancellations). The remaining top 5 feeder markets are highly concentrated in the Asia-Pacific region: Japan (JPN: 663 bookings, 6.63% share, 24.59% cancel rate), China (CHN: 654 bookings, 6.54% share, 27.98% cancel rate), South Korea (KOR: 526 bookings, 5.26% share, 29.09% cancel rate), and Thailand (THA: 515 bookings, 5.15% share, 26.80% cancel rate). Notably, long-haul feeder markets exhibit elevated cancellation risk, with India (IND) reaching a 30.09% cancellation rate.</w:t>
        <w:br/>
        <w:t>Business Meaning: Commercial operations depend heavily on domestic/regional demand in Southeast and East Asia. Route network development, localized customer service languages, and regional payment gateways (e.g., MoMo, JCB, Alipay) should be aligned with the top 5 APAC source countries.</w:t>
        <w:br/>
        <w:t>Boundary Condition: Country codes reflect passenger country of residence/billing origin, not necessarily passenger nationality or flight origin/destination route endpoints.</w:t>
      </w:r>
    </w:p>
    <w:p>
      <w:pPr>
        <w:pStyle w:val="Heading2"/>
      </w:pPr>
      <w:r>
        <w:t>3.5 Insight 5: Channel and Segment Dynamics — High OTA Exposure vs. Corporate Resilience</w:t>
      </w:r>
    </w:p>
    <w:p>
      <w:pPr>
        <w:jc w:val="center"/>
      </w:pPr>
    </w:p>
    <w:p>
      <w:r>
        <w:drawing>
          <wp:inline xmlns:a="http://schemas.openxmlformats.org/drawingml/2006/main" xmlns:pic="http://schemas.openxmlformats.org/drawingml/2006/picture">
            <wp:extent cx="5029200" cy="3106857"/>
            <wp:docPr id="5" name="Picture 5"/>
            <wp:cNvGraphicFramePr>
              <a:graphicFrameLocks noChangeAspect="1"/>
            </wp:cNvGraphicFramePr>
            <a:graphic>
              <a:graphicData uri="http://schemas.openxmlformats.org/drawingml/2006/picture">
                <pic:pic>
                  <pic:nvPicPr>
                    <pic:cNvPr id="0" name="fig05_segment_cancel.png"/>
                    <pic:cNvPicPr/>
                  </pic:nvPicPr>
                  <pic:blipFill>
                    <a:blip r:embed="rId13"/>
                    <a:stretch>
                      <a:fillRect/>
                    </a:stretch>
                  </pic:blipFill>
                  <pic:spPr>
                    <a:xfrm>
                      <a:off x="0" y="0"/>
                      <a:ext cx="5029200" cy="3106857"/>
                    </a:xfrm>
                    <a:prstGeom prst="rect"/>
                  </pic:spPr>
                </pic:pic>
              </a:graphicData>
            </a:graphic>
          </wp:inline>
        </w:drawing>
      </w:r>
    </w:p>
    <w:p>
      <w:pPr>
        <w:jc w:val="center"/>
      </w:pPr>
      <w:r>
        <w:rPr>
          <w:i/>
          <w:sz w:val="19"/>
        </w:rPr>
        <w:t>Figure 5. Booking volume and cancellation rate across market segments. n = 10,000 reservations. Source: outputs/tables/q06_segment_cancel.csv</w:t>
      </w:r>
    </w:p>
    <w:p>
      <w:r>
        <w:t>Empirical Evidence &amp; Comparison: Online Travel Agencies (Online OTA) constitute the single largest commercial segment with 3,915 reservations (39.15% volume share), yet also generate the highest segment cancellation rate at 29.43% (1,152 cancellations). Direct sales (1,834 bookings, 18.34% share, 27.21% cancel rate) and Offline Agents (1,605 bookings, 16.05% share, 27.41% cancel rate) exhibit moderate stability. In stark contrast, Corporate Contract business captures 928 reservations (9.28% share) and displays exceptional resilience with a cancellation rate of only 21.44% (199 cancellations) — 7.99 percentage points lower than the volatile OTA channel.</w:t>
        <w:br/>
        <w:t>Business Meaning: OTA platforms encourage speculative price-comparison shopping and low customer commitment. While OTAs are indispensable for top-of-funnel customer acquisition, they impose heavy inventory uncertainty on carrier networks. Airlines should cultivate direct digital booking loyalty and aggressively expand B2B corporate contracting to buffer revenue stability.</w:t>
        <w:br/>
        <w:t>Boundary Condition: Commission rates, distribution distribution fees, and corporate contractual cancellation penalties are absent from the dataset.</w:t>
      </w:r>
    </w:p>
    <w:p>
      <w:pPr>
        <w:pStyle w:val="Heading2"/>
      </w:pPr>
      <w:r>
        <w:t>3.6 Insight 6: The Fare Policy Paradox — Significant Attrition in Non-Refundable Bookings</w:t>
      </w:r>
    </w:p>
    <w:p>
      <w:pPr>
        <w:jc w:val="center"/>
      </w:pPr>
    </w:p>
    <w:p>
      <w:r>
        <w:drawing>
          <wp:inline xmlns:a="http://schemas.openxmlformats.org/drawingml/2006/main" xmlns:pic="http://schemas.openxmlformats.org/drawingml/2006/picture">
            <wp:extent cx="5029200" cy="3147579"/>
            <wp:docPr id="6" name="Picture 6"/>
            <wp:cNvGraphicFramePr>
              <a:graphicFrameLocks noChangeAspect="1"/>
            </wp:cNvGraphicFramePr>
            <a:graphic>
              <a:graphicData uri="http://schemas.openxmlformats.org/drawingml/2006/picture">
                <pic:pic>
                  <pic:nvPicPr>
                    <pic:cNvPr id="0" name="fig06_fare_policy_status.png"/>
                    <pic:cNvPicPr/>
                  </pic:nvPicPr>
                  <pic:blipFill>
                    <a:blip r:embed="rId14"/>
                    <a:stretch>
                      <a:fillRect/>
                    </a:stretch>
                  </pic:blipFill>
                  <pic:spPr>
                    <a:xfrm>
                      <a:off x="0" y="0"/>
                      <a:ext cx="5029200" cy="3147579"/>
                    </a:xfrm>
                    <a:prstGeom prst="rect"/>
                  </pic:spPr>
                </pic:pic>
              </a:graphicData>
            </a:graphic>
          </wp:inline>
        </w:drawing>
      </w:r>
    </w:p>
    <w:p>
      <w:pPr>
        <w:jc w:val="center"/>
      </w:pPr>
      <w:r>
        <w:rPr>
          <w:i/>
          <w:sz w:val="19"/>
        </w:rPr>
        <w:t>Figure 6. Terminal transaction status distribution by fare policy. n = 10,000 reservations. Source: outputs/tables/q07_fare_policy_status.csv</w:t>
      </w:r>
    </w:p>
    <w:p>
      <w:r>
        <w:t>Empirical Evidence &amp; Comparison: Cross-tabulation of fare policies against flight completion demonstrates expected commercial incentives alongside an intriguing operational paradox. Customers purchasing Flexible tickets exhibit the highest cancellation propensity at 28.56% (flown completion rate: 69.92%, no-show: 1.52%), capitalizing on free refundability. Semi-Flexible tickets reflect 26.39% cancellations (71.97% flown, 1.64% no-show). However, Non-Refundable bookings still suffer an extensive cancellation rate of 21.29% (77.27% flown, 1.44% no-show). Despite facing full monetary forfeiture, more than one in five non-refundable passengers actively forfeit their reservations prior to flight departure.</w:t>
        <w:br/>
        <w:t>Business Meaning: Price-sensitive leisure passengers purchasing non-refundable fares encounter unavoidable life disruptions (illness, visa denial, work commitments) that compel forfeiture. For the airline, these non-refundable cancellations represent pure forfeited margin if seats can be successfully overbooked or re-marketed to last-minute travelers.</w:t>
        <w:br/>
        <w:t>Boundary Condition: Net fare retention accounting (breakage revenue minus administrative transaction costs) cannot be quantified without secondary ticketing refund transaction logs.</w:t>
      </w:r>
    </w:p>
    <w:p>
      <w:pPr>
        <w:pStyle w:val="Heading2"/>
      </w:pPr>
      <w:r>
        <w:t>3.7 Supplementary Exploratory Distributions: Fare Profiles &amp; Trip Duration</w:t>
      </w:r>
    </w:p>
    <w:p>
      <w:r>
        <w:t>• Fare Profile Skewness (Figure 7 &amp; Table q08): Analysis of commercial positive fares demonstrates pronounced right-skewed pricing distributions across both carriers. Aurora Air records an average fare of $208.76 with a median of $149.54 (IQR: $123.30–$190.26, max $2,258.21; n = 4,736). Horizon Wings posts an average fare of $194.95 with a median of $135.26 (IQR: $112.52–$171.42, max $2,117.76; n = 2,488). Parametric models relying on normality would be severely flawed; commercial yield planning must leverage median baseline metrics.</w:t>
        <w:br/>
        <w:t>• Trip Length Profiles (Figure 8 &amp; Table q09): Total trip days (total_trip_days) cluster heavily around short-stay getaways of 2 to 4 days, peaking at exactly 3 days (838 bookings for Aurora, 420 for Horizon; combined: 1,258 bookings), reflecting the dominant short-haul leisure and weekend travel character of the route network.</w:t>
      </w:r>
    </w:p>
    <w:p>
      <w:pPr>
        <w:pStyle w:val="Heading1"/>
      </w:pPr>
      <w:r>
        <w:rPr>
          <w:color w:val="003366"/>
        </w:rPr>
        <w:t>4. Limitations and Forward Recommendations</w:t>
      </w:r>
    </w:p>
    <w:p>
      <w:r>
        <w:t>Primary Lead: Nguyễn Đình Phan Anh &amp; Tạ Minh Quân</w:t>
      </w:r>
    </w:p>
    <w:p>
      <w:pPr>
        <w:pStyle w:val="Heading2"/>
      </w:pPr>
      <w:r>
        <w:t>4.1 Analytical and Data Limitations</w:t>
      </w:r>
    </w:p>
    <w:p>
      <w:r>
        <w:t>1. Synthetic Simulation Architecture: The entire booking corpus is synthetic and intentionally seeded with anomalies for data science pedagogy. While structural properties mirror commercial aviation patterns, no findings should be generalized to real-world commercial carriers or operational airline performance.</w:t>
        <w:br/>
        <w:br/>
        <w:t>2. Absence of Operational Causality: The dataset captures terminal transaction states ('Flown', 'Cancelled', 'No-Show') but contains zero contextual operational telemetry. We cannot discern whether cancellations were passenger-initiated (personal choice) or airline-initiated (flight cancellation due to weather or mechanical dispatch reliability). Asserting behavioral causality is methodologically prohibited.</w:t>
        <w:br/>
        <w:br/>
        <w:t>3. Proxy Nature of Estimated Financial Metrics: Variables such as avg_ticket_fare and booking_value_est represent unweighted transaction estimates. They omit ancillary service fees (baggage, seat selection, onboard meals), credit card merchant fees, dynamic discount codes, and customer compensation payouts, precluding true net corporate yield accounting.</w:t>
      </w:r>
    </w:p>
    <w:p>
      <w:pPr>
        <w:pStyle w:val="Heading2"/>
      </w:pPr>
      <w:r>
        <w:t>4.2 Strategic Data &amp; Research Recommendations</w:t>
      </w:r>
    </w:p>
    <w:p>
      <w:r>
        <w:t>1. Telemetry Capture for Cancellation Reason Taxonomies: In future data engineering sprints, the carrier extraction pipeline should integrate with the core Passenger Service System (PSS) to log standardized reason codes (e.g., IATA reason codes: medical waiver, schedule involuntary change, passenger voluntary cancellation, visa failure). Logging these discrete categories will enable revenue teams to decouple involuntary operational cancellations from voluntary pricing churn.</w:t>
        <w:br/>
        <w:br/>
        <w:t>2. End-to-End Dynamic Yield and Ancillary Revenue Tracking: Expand data extraction to track passenger total revenue contribution per booking (net ticket fare + ancillary baggage/seat revenue - distribution GDS cost). Additionally, capturing timestamped price-elasticity telemetry at the exact moment of search will allow predictive overbooking algorithms to optimize non-refundable seat inventory without inflating no-show risk.</w:t>
      </w:r>
    </w:p>
    <w:p>
      <w:pPr>
        <w:pStyle w:val="Heading1"/>
      </w:pPr>
      <w:r>
        <w:rPr>
          <w:color w:val="003366"/>
        </w:rPr>
        <w:t>5. Team Member Roles and Workload Allocation</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03366"/>
          </w:tcPr>
          <w:p>
            <w:r>
              <w:rPr>
                <w:b/>
                <w:color w:val="FFFFFF"/>
              </w:rPr>
              <w:t>Team Member</w:t>
            </w:r>
          </w:p>
        </w:tc>
        <w:tc>
          <w:tcPr>
            <w:tcW w:type="dxa" w:w="2340"/>
            <w:shd w:val="clear" w:color="auto" w:fill="003366"/>
          </w:tcPr>
          <w:p>
            <w:r>
              <w:rPr>
                <w:b/>
                <w:color w:val="FFFFFF"/>
              </w:rPr>
              <w:t>Primary Tasks Completed</w:t>
            </w:r>
          </w:p>
        </w:tc>
        <w:tc>
          <w:tcPr>
            <w:tcW w:type="dxa" w:w="2340"/>
            <w:shd w:val="clear" w:color="auto" w:fill="003366"/>
          </w:tcPr>
          <w:p>
            <w:r>
              <w:rPr>
                <w:b/>
                <w:color w:val="FFFFFF"/>
              </w:rPr>
              <w:t>Key Technical Competencies &amp; Defense Scope</w:t>
            </w:r>
          </w:p>
        </w:tc>
        <w:tc>
          <w:tcPr>
            <w:tcW w:type="dxa" w:w="2340"/>
            <w:shd w:val="clear" w:color="auto" w:fill="003366"/>
          </w:tcPr>
          <w:p>
            <w:r>
              <w:rPr>
                <w:b/>
                <w:color w:val="FFFFFF"/>
              </w:rPr>
              <w:t>Contribution %</w:t>
            </w:r>
          </w:p>
        </w:tc>
      </w:tr>
      <w:tr>
        <w:tc>
          <w:tcPr>
            <w:tcW w:type="dxa" w:w="2340"/>
            <w:shd w:val="clear" w:color="auto" w:fill="F2F5F8"/>
            <w:tcMar>
              <w:top w:w="80" w:type="dxa"/>
              <w:bottom w:w="80" w:type="dxa"/>
              <w:left w:w="100" w:type="dxa"/>
              <w:right w:w="100" w:type="dxa"/>
            </w:tcMar>
          </w:tcPr>
          <w:p>
            <w:r>
              <w:t>Trần Thế Tùng</w:t>
            </w:r>
          </w:p>
        </w:tc>
        <w:tc>
          <w:tcPr>
            <w:tcW w:type="dxa" w:w="2340"/>
            <w:shd w:val="clear" w:color="auto" w:fill="F2F5F8"/>
            <w:tcMar>
              <w:top w:w="80" w:type="dxa"/>
              <w:bottom w:w="80" w:type="dxa"/>
              <w:left w:w="100" w:type="dxa"/>
              <w:right w:w="100" w:type="dxa"/>
            </w:tcMar>
          </w:tcPr>
          <w:p>
            <w:r>
              <w:t>Data Survey (A), Hygiene Steps B1–B5 (Casing, Whitespace, Labels, Date Parsing), Section 2 Support</w:t>
            </w:r>
          </w:p>
        </w:tc>
        <w:tc>
          <w:tcPr>
            <w:tcW w:type="dxa" w:w="2340"/>
            <w:shd w:val="clear" w:color="auto" w:fill="F2F5F8"/>
            <w:tcMar>
              <w:top w:w="80" w:type="dxa"/>
              <w:bottom w:w="80" w:type="dxa"/>
              <w:left w:w="100" w:type="dxa"/>
              <w:right w:w="100" w:type="dxa"/>
            </w:tcMar>
          </w:tcPr>
          <w:p>
            <w:r>
              <w:t>Expertise in exploratory dirty data profiling, categorical label mapping dictionaries, explicit multi-format datetime sanitization.</w:t>
            </w:r>
          </w:p>
        </w:tc>
        <w:tc>
          <w:tcPr>
            <w:tcW w:type="dxa" w:w="2340"/>
            <w:shd w:val="clear" w:color="auto" w:fill="F2F5F8"/>
            <w:tcMar>
              <w:top w:w="80" w:type="dxa"/>
              <w:bottom w:w="80" w:type="dxa"/>
              <w:left w:w="100" w:type="dxa"/>
              <w:right w:w="100" w:type="dxa"/>
            </w:tcMar>
          </w:tcPr>
          <w:p>
            <w:r>
              <w:t>33.3%</w:t>
            </w:r>
          </w:p>
        </w:tc>
      </w:tr>
      <w:tr>
        <w:tc>
          <w:tcPr>
            <w:tcW w:type="dxa" w:w="2340"/>
            <w:tcMar>
              <w:top w:w="80" w:type="dxa"/>
              <w:bottom w:w="80" w:type="dxa"/>
              <w:left w:w="100" w:type="dxa"/>
              <w:right w:w="100" w:type="dxa"/>
            </w:tcMar>
          </w:tcPr>
          <w:p>
            <w:r>
              <w:t>Tạ Minh Quân</w:t>
            </w:r>
          </w:p>
        </w:tc>
        <w:tc>
          <w:tcPr>
            <w:tcW w:type="dxa" w:w="2340"/>
            <w:tcMar>
              <w:top w:w="80" w:type="dxa"/>
              <w:bottom w:w="80" w:type="dxa"/>
              <w:left w:w="100" w:type="dxa"/>
              <w:right w:w="100" w:type="dxa"/>
            </w:tcMar>
          </w:tcPr>
          <w:p>
            <w:r>
              <w:t>Numeric Sanitization B6–B7, Consensus Deduplication B8, Derived Columns &amp; Monthly Tables C1–C4, Section 2 Lead, README</w:t>
            </w:r>
          </w:p>
        </w:tc>
        <w:tc>
          <w:tcPr>
            <w:tcW w:type="dxa" w:w="2340"/>
            <w:tcMar>
              <w:top w:w="80" w:type="dxa"/>
              <w:bottom w:w="80" w:type="dxa"/>
              <w:left w:w="100" w:type="dxa"/>
              <w:right w:w="100" w:type="dxa"/>
            </w:tcMar>
          </w:tcPr>
          <w:p>
            <w:r>
              <w:t>Expertise in regex currency parsing, deterministic row lineage tracking (row_lineage.csv), quality audit verification (83/83 checks passed).</w:t>
            </w:r>
          </w:p>
        </w:tc>
        <w:tc>
          <w:tcPr>
            <w:tcW w:type="dxa" w:w="2340"/>
            <w:tcMar>
              <w:top w:w="80" w:type="dxa"/>
              <w:bottom w:w="80" w:type="dxa"/>
              <w:left w:w="100" w:type="dxa"/>
              <w:right w:w="100" w:type="dxa"/>
            </w:tcMar>
          </w:tcPr>
          <w:p>
            <w:r>
              <w:t>33.3%</w:t>
            </w:r>
          </w:p>
        </w:tc>
      </w:tr>
      <w:tr>
        <w:tc>
          <w:tcPr>
            <w:tcW w:type="dxa" w:w="2340"/>
            <w:shd w:val="clear" w:color="auto" w:fill="F2F5F8"/>
            <w:tcMar>
              <w:top w:w="80" w:type="dxa"/>
              <w:bottom w:w="80" w:type="dxa"/>
              <w:left w:w="100" w:type="dxa"/>
              <w:right w:w="100" w:type="dxa"/>
            </w:tcMar>
          </w:tcPr>
          <w:p>
            <w:r>
              <w:t>Nguyễn Đình Phan Anh</w:t>
            </w:r>
          </w:p>
        </w:tc>
        <w:tc>
          <w:tcPr>
            <w:tcW w:type="dxa" w:w="2340"/>
            <w:shd w:val="clear" w:color="auto" w:fill="F2F5F8"/>
            <w:tcMar>
              <w:top w:w="80" w:type="dxa"/>
              <w:bottom w:w="80" w:type="dxa"/>
              <w:left w:w="100" w:type="dxa"/>
              <w:right w:w="100" w:type="dxa"/>
            </w:tcMar>
          </w:tcPr>
          <w:p>
            <w:r>
              <w:t>Business Analysis Questions Q02–Q10, Figure Visualizations Fig01–Fig08, 6 Core Insights Synthesis, Sections 3 &amp; 4 Lead</w:t>
            </w:r>
          </w:p>
        </w:tc>
        <w:tc>
          <w:tcPr>
            <w:tcW w:type="dxa" w:w="2340"/>
            <w:shd w:val="clear" w:color="auto" w:fill="F2F5F8"/>
            <w:tcMar>
              <w:top w:w="80" w:type="dxa"/>
              <w:bottom w:w="80" w:type="dxa"/>
              <w:left w:w="100" w:type="dxa"/>
              <w:right w:w="100" w:type="dxa"/>
            </w:tcMar>
          </w:tcPr>
          <w:p>
            <w:r>
              <w:t>Expertise in categorical group aggregations, non-distorted matplotlib visualization standards, macroeconomic commercial insight drafting.</w:t>
            </w:r>
          </w:p>
        </w:tc>
        <w:tc>
          <w:tcPr>
            <w:tcW w:type="dxa" w:w="2340"/>
            <w:shd w:val="clear" w:color="auto" w:fill="F2F5F8"/>
            <w:tcMar>
              <w:top w:w="80" w:type="dxa"/>
              <w:bottom w:w="80" w:type="dxa"/>
              <w:left w:w="100" w:type="dxa"/>
              <w:right w:w="100" w:type="dxa"/>
            </w:tcMar>
          </w:tcPr>
          <w:p>
            <w:r>
              <w:t>33.4%</w:t>
            </w:r>
          </w:p>
        </w:tc>
      </w:tr>
    </w:tbl>
    <w:p>
      <w:pPr>
        <w:spacing w:after="240"/>
      </w:pPr>
    </w:p>
    <w:p>
      <w:pPr>
        <w:pStyle w:val="Heading1"/>
      </w:pPr>
      <w:r>
        <w:rPr>
          <w:color w:val="003366"/>
        </w:rPr>
        <w:t>Appendix: Technical Deliverables and Artifact Manifest</w:t>
      </w:r>
    </w:p>
    <w:p>
      <w:r>
        <w:t>All analytical deliverables have been generated programmatically, validated against independent automated testing suites, and archived in the outputs/ directory:</w:t>
        <w:br/>
        <w:t>• 5 Primary Data Files: reservations_clean.csv (10,000 clean reservations × 30 columns), monthly_summary.csv (27 carrier-month aggregation rows), cleaning_log.csv (15 structured hygiene rules), row_lineage.csv (10,325 tracked input record IDs), quality_report.csv (before vs. after missingness audit).</w:t>
        <w:br/>
        <w:t>• 14 Structured CSV Source Tables: outputs/tables/ (a_missing_survey, a_issue_catalog, q01_before_after, q02_airline_cancel, q03_monthly_departures_2025, q04_leadtime_stats, q04_leadtime_cancel, q05_top10_country, q06_segment_cancel, q07_fare_policy_status, q08_fare_stats_by_airline, q09_trip_days, q10_cabin_change_by_airline, q10_cabin_change_by_booked_code).</w:t>
        <w:br/>
        <w:t>• 8 Publication-Grade Visualizations: outputs/figures/ (fig01_airline_cancel.png, fig02_monthly_departures_2025.png, fig03_leadtime_cancel.png, fig04_top10_country.png, fig05_segment_cancel.png, fig06_fare_policy_status.png, fig07_fare_hist.png, fig08_trip_days.png).</w:t>
        <w:br/>
        <w:t>• Automated Test Suite Status: tools/kiem_tra_nop_bai.py: 83/83 CHECKS PASSED (0 failures, 0 warnings).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