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RIKKEICARE – PHÂN TÍCH VÀ TÁI CẤU TRÚC CLASS DIAGRAM</w:t>
      </w:r>
    </w:p>
    <w:p>
      <w:pPr>
        <w:spacing w:before="100" w:after="100"/>
      </w:pPr>
      <w:r>
        <w:rPr>
          <w:b/>
          <w:color w:val="1F4E79"/>
          <w:sz w:val="28"/>
        </w:rPr>
        <w:t>Bước 1: Soi lỗi thiết kế</w:t>
      </w:r>
    </w:p>
    <w:p>
      <w:r>
        <w:t xml:space="preserve">• Thuộc tính bị khai báo trùng lặp ở cả hai lớp: </w:t>
      </w:r>
      <w:r>
        <w:rPr>
          <w:b/>
        </w:rPr>
        <w:t>maNhanVien, hoTen, soDienThoai.</w:t>
      </w:r>
    </w:p>
    <w:p>
      <w:r>
        <w:t xml:space="preserve">• Hậu quả: </w:t>
      </w:r>
      <w:r>
        <w:rPr>
          <w:b/>
        </w:rPr>
        <w:t>Khi thay đổi cấu trúc thuộc tính hoTen, phải sửa ở cả lớp BacSi và YTa, làm tăng công sức bảo trì và dễ gây sai sót.</w:t>
      </w:r>
    </w:p>
    <w:p>
      <w:pPr>
        <w:spacing w:before="100" w:after="100"/>
      </w:pPr>
      <w:r>
        <w:rPr>
          <w:b/>
          <w:color w:val="1F4E79"/>
          <w:sz w:val="28"/>
        </w:rPr>
        <w:t>Bước 2: Tái cấu trúc bằng Inheritance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Lớp cha (Superclass)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Lớp con (Subclass)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Thuộc tính dùng chung (của Lớp cha)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Thuộc tính riêng biệt (của Lớp con)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NhanVienYTe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BacSi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maNhanVien, hoTen, soDienThoai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chuyenKhoa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NhanVienYTe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YTa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maNhanVien, hoTen, soDienThoai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khuVucTruc</w:t>
            </w:r>
          </w:p>
        </w:tc>
      </w:tr>
    </w:tbl>
    <w:p>
      <w:pPr>
        <w:spacing w:before="80"/>
      </w:pPr>
      <w:r>
        <w:rPr>
          <w:b/>
        </w:rPr>
        <w:t xml:space="preserve">Phương thức riêng của lớp con: </w:t>
      </w:r>
      <w:r>
        <w:t>BacSi: kham(benhNhan): void;   YTa: tiemThuoc(benhNhan): void.</w:t>
      </w:r>
    </w:p>
    <w:p>
      <w:pPr>
        <w:spacing w:before="100" w:after="100"/>
      </w:pPr>
      <w:r>
        <w:rPr>
          <w:b/>
          <w:color w:val="1F4E79"/>
          <w:sz w:val="28"/>
        </w:rPr>
        <w:t>Bước 3: Thiết lập quan hệ Tổng hợp (Aggregation)</w:t>
      </w:r>
    </w:p>
    <w:p>
      <w:r>
        <w:t xml:space="preserve">• Loại quan hệ giữa KhoaKham và NhanVienYTe: </w:t>
      </w:r>
      <w:r>
        <w:rPr>
          <w:b/>
        </w:rPr>
        <w:t>Aggregation (Tổng hợp) – ký hiệu hình thoi rỗng.</w:t>
      </w:r>
    </w:p>
    <w:p>
      <w:r>
        <w:t xml:space="preserve">• Bội số: </w:t>
      </w:r>
      <w:r>
        <w:rPr>
          <w:b/>
        </w:rPr>
        <w:t>KhoaKham 1  —  1..* NhanVienYTe.</w:t>
      </w:r>
      <w:r>
        <w:t xml:space="preserve"> Một khoa có từ 1 đến nhiều nhân viên y tế; nhân viên vẫn tồn tại độc lập khi khoa giải thể.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