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RIKKEIBANK – RÀ SOÁT SEQUENCE DIAGRAM LUỒNG THANH TOÁN</w:t>
      </w:r>
    </w:p>
    <w:p>
      <w:pPr>
        <w:jc w:val="center"/>
      </w:pPr>
      <w:r>
        <w:rPr>
          <w:i/>
          <w:sz w:val="20"/>
        </w:rPr>
        <w:t>Phần trả lời: xác định 2 lỗi và bản sửa</w:t>
      </w:r>
    </w:p>
    <w:p>
      <w:r>
        <w:rPr>
          <w:b/>
          <w:sz w:val="26"/>
        </w:rPr>
        <w:t>1. Hai lỗi cần sửa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Lỗi</w:t>
            </w:r>
          </w:p>
        </w:tc>
        <w:tc>
          <w:tcPr>
            <w:tcW w:type="dxa" w:w="2556"/>
            <w:vAlign w:val="center"/>
          </w:tcPr>
          <w:p>
            <w:r>
              <w:rPr>
                <w:b/>
              </w:rPr>
              <w:t>Bước</w:t>
            </w:r>
          </w:p>
        </w:tc>
        <w:tc>
          <w:tcPr>
            <w:tcW w:type="dxa" w:w="2556"/>
            <w:vAlign w:val="center"/>
          </w:tcPr>
          <w:p>
            <w:r>
              <w:rPr>
                <w:b/>
              </w:rPr>
              <w:t>Thực tập sinh vẽ</w:t>
            </w:r>
          </w:p>
        </w:tc>
        <w:tc>
          <w:tcPr>
            <w:tcW w:type="dxa" w:w="2556"/>
            <w:vAlign w:val="center"/>
          </w:tcPr>
          <w:p>
            <w:r>
              <w:rPr>
                <w:b/>
              </w:rPr>
              <w:t>Loại đúng</w:t>
            </w:r>
          </w:p>
        </w:tc>
      </w:tr>
      <w:tr>
        <w:tc>
          <w:tcPr>
            <w:tcW w:type="dxa" w:w="2556"/>
          </w:tcPr>
          <w:p>
            <w:r>
              <w:t>1</w:t>
            </w:r>
          </w:p>
        </w:tc>
        <w:tc>
          <w:tcPr>
            <w:tcW w:type="dxa" w:w="2556"/>
          </w:tcPr>
          <w:p>
            <w:r>
              <w:t>Bước 2</w:t>
            </w:r>
          </w:p>
        </w:tc>
        <w:tc>
          <w:tcPr>
            <w:tcW w:type="dxa" w:w="2556"/>
          </w:tcPr>
          <w:p>
            <w:r>
              <w:t>Async sang một Lifeline khác để kiểm tra định dạng thẻ</w:t>
            </w:r>
          </w:p>
        </w:tc>
        <w:tc>
          <w:tcPr>
            <w:tcW w:type="dxa" w:w="2556"/>
          </w:tcPr>
          <w:p>
            <w:r>
              <w:t>Self</w:t>
            </w:r>
          </w:p>
        </w:tc>
      </w:tr>
      <w:tr>
        <w:tc>
          <w:tcPr>
            <w:tcW w:type="dxa" w:w="2556"/>
          </w:tcPr>
          <w:p>
            <w:r>
              <w:t>2</w:t>
            </w:r>
          </w:p>
        </w:tc>
        <w:tc>
          <w:tcPr>
            <w:tcW w:type="dxa" w:w="2556"/>
          </w:tcPr>
          <w:p>
            <w:r>
              <w:t>Bước 6</w:t>
            </w:r>
          </w:p>
        </w:tc>
        <w:tc>
          <w:tcPr>
            <w:tcW w:type="dxa" w:w="2556"/>
          </w:tcPr>
          <w:p>
            <w:r>
              <w:t>Sync và có Return ngay sau đó</w:t>
            </w:r>
          </w:p>
        </w:tc>
        <w:tc>
          <w:tcPr>
            <w:tcW w:type="dxa" w:w="2556"/>
          </w:tcPr>
          <w:p>
            <w:r>
              <w:t>Async</w:t>
            </w:r>
          </w:p>
        </w:tc>
      </w:tr>
    </w:tbl>
    <w:p>
      <w:r>
        <w:rPr>
          <w:b/>
          <w:sz w:val="26"/>
        </w:rPr>
        <w:t>2. Giải thích lỗi</w:t>
      </w:r>
    </w:p>
    <w:p>
      <w:r>
        <w:rPr>
          <w:b/>
        </w:rPr>
        <w:t xml:space="preserve">Lỗi 1 – Bước 2: </w:t>
      </w:r>
      <w:r>
        <w:t>Kiểm tra định dạng thẻ được thực hiện ngay trên chính Cổng Thanh Toán nên phải dùng thông điệp Self, không được tạo thêm Lifeline khác chỉ để xử lý việc này. Dùng Async sang đối tượng khác làm sai phạm vi xử lý và không phản ánh đúng nghiệp vụ đã cho.</w:t>
      </w:r>
    </w:p>
    <w:p>
      <w:r>
        <w:rPr>
          <w:b/>
        </w:rPr>
        <w:t xml:space="preserve">Lỗi 2 – Bước 6: </w:t>
      </w:r>
      <w:r>
        <w:t>Gửi hóa đơn cho EmailServer được quy định là không chờ EmailServer phản hồi mới đi tiếp, nên phải dùng Async. Nếu dùng Sync, Cổng Thanh Toán sẽ bị giữ trong trạng thái chờ, gây ảnh hưởng đến luồng xử lý khi dịch vụ email phản hồi chậm; Async cũng không tự động có Return đi kèm.</w:t>
      </w:r>
    </w:p>
    <w:p>
      <w:r>
        <w:rPr>
          <w:b/>
          <w:sz w:val="26"/>
        </w:rPr>
        <w:t>3. Bản sửa hoàn chỉnh của chuỗi thông điệp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Bước</w:t>
            </w:r>
          </w:p>
        </w:tc>
        <w:tc>
          <w:tcPr>
            <w:tcW w:type="dxa" w:w="2556"/>
          </w:tcPr>
          <w:p>
            <w:r>
              <w:rPr>
                <w:b/>
              </w:rPr>
              <w:t>Luồng</w:t>
            </w:r>
          </w:p>
        </w:tc>
        <w:tc>
          <w:tcPr>
            <w:tcW w:type="dxa" w:w="2556"/>
          </w:tcPr>
          <w:p>
            <w:r>
              <w:rPr>
                <w:b/>
              </w:rPr>
              <w:t>Thông điệp</w:t>
            </w:r>
          </w:p>
        </w:tc>
        <w:tc>
          <w:tcPr>
            <w:tcW w:type="dxa" w:w="2556"/>
          </w:tcPr>
          <w:p>
            <w:r>
              <w:rPr>
                <w:b/>
              </w:rPr>
              <w:t>Loại</w:t>
            </w:r>
          </w:p>
        </w:tc>
      </w:tr>
      <w:tr>
        <w:tc>
          <w:tcPr>
            <w:tcW w:type="dxa" w:w="2556"/>
          </w:tcPr>
          <w:p>
            <w:r>
              <w:t>1</w:t>
            </w:r>
          </w:p>
        </w:tc>
        <w:tc>
          <w:tcPr>
            <w:tcW w:type="dxa" w:w="2556"/>
          </w:tcPr>
          <w:p>
            <w:r>
              <w:t>Khách hàng → Cổng Thanh Toán</w:t>
            </w:r>
          </w:p>
        </w:tc>
        <w:tc>
          <w:tcPr>
            <w:tcW w:type="dxa" w:w="2556"/>
          </w:tcPr>
          <w:p>
            <w:r>
              <w:t>nhập thẻ tín dụng / gửi thông tin thẻ</w:t>
            </w:r>
          </w:p>
        </w:tc>
        <w:tc>
          <w:tcPr>
            <w:tcW w:type="dxa" w:w="2556"/>
          </w:tcPr>
          <w:p>
            <w:r>
              <w:t>Sync</w:t>
            </w:r>
          </w:p>
        </w:tc>
      </w:tr>
      <w:tr>
        <w:tc>
          <w:tcPr>
            <w:tcW w:type="dxa" w:w="2556"/>
          </w:tcPr>
          <w:p>
            <w:r>
              <w:t>2</w:t>
            </w:r>
          </w:p>
        </w:tc>
        <w:tc>
          <w:tcPr>
            <w:tcW w:type="dxa" w:w="2556"/>
          </w:tcPr>
          <w:p>
            <w:r>
              <w:t>Cổng Thanh Toán → chính Cổng Thanh Toán</w:t>
            </w:r>
          </w:p>
        </w:tc>
        <w:tc>
          <w:tcPr>
            <w:tcW w:type="dxa" w:w="2556"/>
          </w:tcPr>
          <w:p>
            <w:r>
              <w:t>checkCardFormat()</w:t>
            </w:r>
          </w:p>
        </w:tc>
        <w:tc>
          <w:tcPr>
            <w:tcW w:type="dxa" w:w="2556"/>
          </w:tcPr>
          <w:p>
            <w:r>
              <w:t>Self</w:t>
            </w:r>
          </w:p>
        </w:tc>
      </w:tr>
      <w:tr>
        <w:tc>
          <w:tcPr>
            <w:tcW w:type="dxa" w:w="2556"/>
          </w:tcPr>
          <w:p>
            <w:r>
              <w:t>3</w:t>
            </w:r>
          </w:p>
        </w:tc>
        <w:tc>
          <w:tcPr>
            <w:tcW w:type="dxa" w:w="2556"/>
          </w:tcPr>
          <w:p>
            <w:r>
              <w:t>Cổng Thanh Toán → Ngân Hàng Lõi</w:t>
            </w:r>
          </w:p>
        </w:tc>
        <w:tc>
          <w:tcPr>
            <w:tcW w:type="dxa" w:w="2556"/>
          </w:tcPr>
          <w:p>
            <w:r>
              <w:t>processPayment()</w:t>
            </w:r>
          </w:p>
        </w:tc>
        <w:tc>
          <w:tcPr>
            <w:tcW w:type="dxa" w:w="2556"/>
          </w:tcPr>
          <w:p>
            <w:r>
              <w:t>Sync</w:t>
            </w:r>
          </w:p>
        </w:tc>
      </w:tr>
      <w:tr>
        <w:tc>
          <w:tcPr>
            <w:tcW w:type="dxa" w:w="2556"/>
          </w:tcPr>
          <w:p>
            <w:r>
              <w:t>4</w:t>
            </w:r>
          </w:p>
        </w:tc>
        <w:tc>
          <w:tcPr>
            <w:tcW w:type="dxa" w:w="2556"/>
          </w:tcPr>
          <w:p>
            <w:r>
              <w:t>Ngân Hàng Lõi → Cổng Thanh Toán</w:t>
            </w:r>
          </w:p>
        </w:tc>
        <w:tc>
          <w:tcPr>
            <w:tcW w:type="dxa" w:w="2556"/>
          </w:tcPr>
          <w:p>
            <w:r>
              <w:t>kết quả giao dịch</w:t>
            </w:r>
          </w:p>
        </w:tc>
        <w:tc>
          <w:tcPr>
            <w:tcW w:type="dxa" w:w="2556"/>
          </w:tcPr>
          <w:p>
            <w:r>
              <w:t>Return</w:t>
            </w:r>
          </w:p>
        </w:tc>
      </w:tr>
      <w:tr>
        <w:tc>
          <w:tcPr>
            <w:tcW w:type="dxa" w:w="2556"/>
          </w:tcPr>
          <w:p>
            <w:r>
              <w:t>5</w:t>
            </w:r>
          </w:p>
        </w:tc>
        <w:tc>
          <w:tcPr>
            <w:tcW w:type="dxa" w:w="2556"/>
          </w:tcPr>
          <w:p>
            <w:r>
              <w:t>Cổng Thanh Toán → Khách hàng</w:t>
            </w:r>
          </w:p>
        </w:tc>
        <w:tc>
          <w:tcPr>
            <w:tcW w:type="dxa" w:w="2556"/>
          </w:tcPr>
          <w:p>
            <w:r>
              <w:t>hiển thị kết quả thanh toán thành công</w:t>
            </w:r>
          </w:p>
        </w:tc>
        <w:tc>
          <w:tcPr>
            <w:tcW w:type="dxa" w:w="2556"/>
          </w:tcPr>
          <w:p>
            <w:r>
              <w:t>Return</w:t>
            </w:r>
          </w:p>
        </w:tc>
      </w:tr>
      <w:tr>
        <w:tc>
          <w:tcPr>
            <w:tcW w:type="dxa" w:w="2556"/>
          </w:tcPr>
          <w:p>
            <w:r>
              <w:t>6</w:t>
            </w:r>
          </w:p>
        </w:tc>
        <w:tc>
          <w:tcPr>
            <w:tcW w:type="dxa" w:w="2556"/>
          </w:tcPr>
          <w:p>
            <w:r>
              <w:t>Cổng Thanh Toán → EmailServer</w:t>
            </w:r>
          </w:p>
        </w:tc>
        <w:tc>
          <w:tcPr>
            <w:tcW w:type="dxa" w:w="2556"/>
          </w:tcPr>
          <w:p>
            <w:r>
              <w:t>sendReceiptEmail()</w:t>
            </w:r>
          </w:p>
        </w:tc>
        <w:tc>
          <w:tcPr>
            <w:tcW w:type="dxa" w:w="2556"/>
          </w:tcPr>
          <w:p>
            <w:r>
              <w:t>Async</w:t>
            </w:r>
          </w:p>
        </w:tc>
      </w:tr>
    </w:tbl>
    <w:p>
      <w:r>
        <w:rPr>
          <w:b/>
          <w:sz w:val="26"/>
        </w:rPr>
        <w:t>4. Ghi chú khi vẽ trên draw.io</w:t>
      </w:r>
    </w:p>
    <w:p>
      <w:pPr>
        <w:pStyle w:val="ListBullet"/>
      </w:pPr>
      <w:r>
        <w:t>Tạo đúng 4 Lifeline: Khách hàng, Cổng Thanh Toán, Ngân Hàng Lõi, EmailServer.</w:t>
      </w:r>
    </w:p>
    <w:p>
      <w:pPr>
        <w:pStyle w:val="ListBullet"/>
      </w:pPr>
      <w:r>
        <w:t>Bước 2 là Self: mũi tên vòng lại chính Lifeline Cổng Thanh Toán.</w:t>
      </w:r>
    </w:p>
    <w:p>
      <w:pPr>
        <w:pStyle w:val="ListBullet"/>
      </w:pPr>
      <w:r>
        <w:t>Bước 3 là Sync và bước 4 là Return.</w:t>
      </w:r>
    </w:p>
    <w:p>
      <w:pPr>
        <w:pStyle w:val="ListBullet"/>
      </w:pPr>
      <w:r>
        <w:t>Bước 5 là Return để khép lại lời gọi Sync ban đầu từ Khách hàng.</w:t>
      </w:r>
    </w:p>
    <w:p>
      <w:pPr>
        <w:pStyle w:val="ListBullet"/>
      </w:pPr>
      <w:r>
        <w:t>Bước 6 là Async: mũi tên nét liền đầu hở và không vẽ Return ngay sau đó.</w:t>
      </w:r>
    </w:p>
    <w:p>
      <w:pPr>
        <w:jc w:val="center"/>
      </w:pPr>
      <w:r>
        <w:rPr>
          <w:b/>
        </w:rPr>
        <w:t>Kết luận: 2 lỗi là Bước 2 (Async → Self) và Bước 6 (Sync → Async).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