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PHÂN TÍCH PLANNING POKER – RIKKEIGO</w:t>
      </w:r>
    </w:p>
    <w:p>
      <w:pPr>
        <w:jc w:val="center"/>
      </w:pPr>
      <w:r>
        <w:rPr>
          <w:b/>
          <w:color w:val="46505A"/>
          <w:sz w:val="20"/>
        </w:rPr>
        <w:t>Reference Story: “Xem lịch sử chuyến đi” = 3 SP  |  Thang điểm: 1, 2, 3, 5, 8, 13, 21</w:t>
      </w:r>
    </w:p>
    <w:p>
      <w:pPr>
        <w:spacing w:after="40"/>
      </w:pPr>
      <w:r>
        <w:rPr>
          <w:b/>
        </w:rPr>
        <w:t xml:space="preserve">Nguyên tắc rà soát: </w:t>
      </w:r>
      <w:r>
        <w:t>Developers ước lượng bằng cách chọn kín và lật thẻ đồng thời; khi phiếu lệch, người chọn mức cao/thấp giải thích giả định và rủi ro rồi cả nhóm chọn lại. Không lấy trung bình, không theo đa số, không để Product Owner chốt SP và không quy đổi SP cố định sang giờ.</w:t>
      </w:r>
    </w:p>
    <w:p>
      <w:pPr>
        <w:pStyle w:val="Heading1"/>
      </w:pPr>
      <w:r>
        <w:t>PHẦN 1 – PHÂN TÍCH</w:t>
      </w:r>
    </w:p>
    <w:tbl>
      <w:tblPr>
        <w:tblW w:type="auto" w:w="0"/>
        <w:jc w:val="center"/>
        <w:tblLayout w:type="fixed"/>
        <w:tblLook w:firstColumn="1" w:firstRow="1" w:lastColumn="0" w:lastRow="0" w:noHBand="0" w:noVBand="1" w:val="04A0"/>
        <w:tblBorders>
          <w:top w:val="single" w:sz="6" w:space="0" w:color="C7D5E0"/>
          <w:left w:val="single" w:sz="6" w:space="0" w:color="C7D5E0"/>
          <w:bottom w:val="single" w:sz="6" w:space="0" w:color="C7D5E0"/>
          <w:right w:val="single" w:sz="6" w:space="0" w:color="C7D5E0"/>
          <w:insideH w:val="single" w:sz="6" w:space="0" w:color="C7D5E0"/>
          <w:insideV w:val="single" w:sz="6" w:space="0" w:color="C7D5E0"/>
        </w:tblBorders>
      </w:tblPr>
      <w:tblGrid>
        <w:gridCol w:w="3600"/>
        <w:gridCol w:w="3600"/>
        <w:gridCol w:w="3600"/>
        <w:gridCol w:w="3600"/>
      </w:tblGrid>
      <w:tr>
        <w:trPr>
          <w:tblHeader w:val="true"/>
          <w:cantSplit/>
        </w:trPr>
        <w:tc>
          <w:tcPr>
            <w:tcW w:type="dxa" w:w="792"/>
            <w:vAlign w:val="center"/>
            <w:tcMar>
              <w:top w:w="75" w:type="dxa"/>
              <w:start w:w="85" w:type="dxa"/>
              <w:bottom w:w="75" w:type="dxa"/>
              <w:end w:w="85" w:type="dxa"/>
            </w:tcMar>
            <w:shd w:fill="1F4E79"/>
          </w:tcPr>
          <w:p>
            <w:pPr>
              <w:spacing w:after="0" w:before="0" w:line="240" w:lineRule="auto"/>
            </w:pPr>
            <w:r/>
            <w:r>
              <w:rPr>
                <w:rFonts w:ascii="Arial" w:hAnsi="Arial" w:eastAsia="Arial"/>
                <w:b/>
                <w:color w:val="FFFFFF"/>
                <w:sz w:val="18"/>
              </w:rPr>
              <w:t>Mã</w:t>
            </w:r>
          </w:p>
        </w:tc>
        <w:tc>
          <w:tcPr>
            <w:tcW w:type="dxa" w:w="1944"/>
            <w:vAlign w:val="center"/>
            <w:tcMar>
              <w:top w:w="75" w:type="dxa"/>
              <w:start w:w="85" w:type="dxa"/>
              <w:bottom w:w="75" w:type="dxa"/>
              <w:end w:w="85" w:type="dxa"/>
            </w:tcMar>
            <w:shd w:fill="1F4E79"/>
          </w:tcPr>
          <w:p>
            <w:pPr>
              <w:spacing w:after="0" w:before="0" w:line="240" w:lineRule="auto"/>
            </w:pPr>
            <w:r/>
            <w:r>
              <w:rPr>
                <w:rFonts w:ascii="Arial" w:hAnsi="Arial" w:eastAsia="Arial"/>
                <w:b/>
                <w:color w:val="FFFFFF"/>
                <w:sz w:val="18"/>
              </w:rPr>
              <w:t>Hợp lý / Chưa hợp lý</w:t>
            </w:r>
          </w:p>
        </w:tc>
        <w:tc>
          <w:tcPr>
            <w:tcW w:type="dxa" w:w="6264"/>
            <w:vAlign w:val="center"/>
            <w:tcMar>
              <w:top w:w="75" w:type="dxa"/>
              <w:start w:w="85" w:type="dxa"/>
              <w:bottom w:w="75" w:type="dxa"/>
              <w:end w:w="85" w:type="dxa"/>
            </w:tcMar>
            <w:shd w:fill="1F4E79"/>
          </w:tcPr>
          <w:p>
            <w:pPr>
              <w:spacing w:after="0" w:before="0" w:line="240" w:lineRule="auto"/>
            </w:pPr>
            <w:r/>
            <w:r>
              <w:rPr>
                <w:rFonts w:ascii="Arial" w:hAnsi="Arial" w:eastAsia="Arial"/>
                <w:b/>
                <w:color w:val="FFFFFF"/>
                <w:sz w:val="18"/>
              </w:rPr>
              <w:t>Quy tắc bị vi phạm / Nhận xét</w:t>
            </w:r>
          </w:p>
        </w:tc>
        <w:tc>
          <w:tcPr>
            <w:tcW w:type="dxa" w:w="6264"/>
            <w:vAlign w:val="center"/>
            <w:tcMar>
              <w:top w:w="75" w:type="dxa"/>
              <w:start w:w="85" w:type="dxa"/>
              <w:bottom w:w="75" w:type="dxa"/>
              <w:end w:w="85" w:type="dxa"/>
            </w:tcMar>
            <w:shd w:fill="1F4E79"/>
          </w:tcPr>
          <w:p>
            <w:pPr>
              <w:spacing w:after="0" w:before="0" w:line="240" w:lineRule="auto"/>
            </w:pPr>
            <w:r/>
            <w:r>
              <w:rPr>
                <w:rFonts w:ascii="Arial" w:hAnsi="Arial" w:eastAsia="Arial"/>
                <w:b/>
                <w:color w:val="FFFFFF"/>
                <w:sz w:val="18"/>
              </w:rPr>
              <w:t>Hậu quả khi lập kế hoạch Sprint</w:t>
            </w:r>
          </w:p>
        </w:tc>
      </w:tr>
      <w:tr>
        <w:trPr>
          <w:cantSplit/>
        </w:trPr>
        <w:tc>
          <w:tcPr>
            <w:tcW w:type="dxa" w:w="792"/>
            <w:vAlign w:val="center"/>
            <w:tcMar>
              <w:top w:w="75" w:type="dxa"/>
              <w:start w:w="85" w:type="dxa"/>
              <w:bottom w:w="75" w:type="dxa"/>
              <w:end w:w="85" w:type="dxa"/>
            </w:tcMar>
          </w:tcPr>
          <w:p>
            <w:pPr>
              <w:spacing w:after="0" w:before="0" w:line="240" w:lineRule="auto"/>
            </w:pPr>
            <w:r/>
            <w:r>
              <w:rPr>
                <w:rFonts w:ascii="Arial" w:hAnsi="Arial" w:eastAsia="Arial"/>
                <w:b/>
                <w:sz w:val="17"/>
              </w:rPr>
              <w:t>P1</w:t>
            </w:r>
          </w:p>
        </w:tc>
        <w:tc>
          <w:tcPr>
            <w:tcW w:type="dxa" w:w="1944"/>
            <w:vAlign w:val="center"/>
            <w:tcMar>
              <w:top w:w="75" w:type="dxa"/>
              <w:start w:w="85" w:type="dxa"/>
              <w:bottom w:w="75" w:type="dxa"/>
              <w:end w:w="85" w:type="dxa"/>
            </w:tcMar>
            <w:shd w:fill="FCE4D6"/>
          </w:tcPr>
          <w:p>
            <w:pPr>
              <w:spacing w:after="0" w:before="0" w:line="240" w:lineRule="auto"/>
            </w:pPr>
            <w:r/>
            <w:r>
              <w:rPr>
                <w:rFonts w:ascii="Arial" w:hAnsi="Arial" w:eastAsia="Arial"/>
                <w:b w:val="0"/>
                <w:sz w:val="17"/>
              </w:rPr>
              <w:t>Chưa hợp lý</w:t>
            </w:r>
          </w:p>
        </w:tc>
        <w:tc>
          <w:tcPr>
            <w:tcW w:type="dxa" w:w="6264"/>
            <w:vAlign w:val="center"/>
            <w:tcMar>
              <w:top w:w="75" w:type="dxa"/>
              <w:start w:w="85" w:type="dxa"/>
              <w:bottom w:w="75" w:type="dxa"/>
              <w:end w:w="85" w:type="dxa"/>
            </w:tcMar>
          </w:tcPr>
          <w:p>
            <w:pPr>
              <w:spacing w:after="0" w:before="0" w:line="240" w:lineRule="auto"/>
            </w:pPr>
            <w:r/>
            <w:r>
              <w:rPr>
                <w:rFonts w:ascii="Arial" w:hAnsi="Arial" w:eastAsia="Arial"/>
                <w:b w:val="0"/>
                <w:sz w:val="17"/>
              </w:rPr>
              <w:t>Lấy trung bình 3, 3, 5, 5 thành 4 SP là sai quy trình; 4 không nằm trên thang Fibonacci của đội. Phiếu 3 và 5 cần được giải thích, không tự động tính trung bình.</w:t>
            </w:r>
          </w:p>
        </w:tc>
        <w:tc>
          <w:tcPr>
            <w:tcW w:type="dxa" w:w="6264"/>
            <w:vAlign w:val="center"/>
            <w:tcMar>
              <w:top w:w="75" w:type="dxa"/>
              <w:start w:w="85" w:type="dxa"/>
              <w:bottom w:w="75" w:type="dxa"/>
              <w:end w:w="85" w:type="dxa"/>
            </w:tcMar>
          </w:tcPr>
          <w:p>
            <w:pPr>
              <w:spacing w:after="0" w:before="0" w:line="240" w:lineRule="auto"/>
            </w:pPr>
            <w:r/>
            <w:r>
              <w:rPr>
                <w:rFonts w:ascii="Arial" w:hAnsi="Arial" w:eastAsia="Arial"/>
                <w:b w:val="0"/>
                <w:sz w:val="17"/>
              </w:rPr>
              <w:t>Điểm không theo thang thống nhất làm mất tính nhất quán khi so sánh PBI; kế hoạch Sprint có thể dựa trên con số không phản ánh kết quả thảo luận của Developers.</w:t>
            </w:r>
          </w:p>
        </w:tc>
      </w:tr>
      <w:tr>
        <w:trPr>
          <w:cantSplit/>
        </w:trPr>
        <w:tc>
          <w:tcPr>
            <w:tcW w:type="dxa" w:w="792"/>
            <w:vAlign w:val="center"/>
            <w:tcMar>
              <w:top w:w="75" w:type="dxa"/>
              <w:start w:w="85" w:type="dxa"/>
              <w:bottom w:w="75" w:type="dxa"/>
              <w:end w:w="85" w:type="dxa"/>
            </w:tcMar>
            <w:shd w:fill="F2F6FA"/>
          </w:tcPr>
          <w:p>
            <w:pPr>
              <w:spacing w:after="0" w:before="0" w:line="240" w:lineRule="auto"/>
            </w:pPr>
            <w:r/>
            <w:r>
              <w:rPr>
                <w:rFonts w:ascii="Arial" w:hAnsi="Arial" w:eastAsia="Arial"/>
                <w:b/>
                <w:sz w:val="17"/>
              </w:rPr>
              <w:t>P2</w:t>
            </w:r>
          </w:p>
        </w:tc>
        <w:tc>
          <w:tcPr>
            <w:tcW w:type="dxa" w:w="1944"/>
            <w:vAlign w:val="center"/>
            <w:tcMar>
              <w:top w:w="75" w:type="dxa"/>
              <w:start w:w="85" w:type="dxa"/>
              <w:bottom w:w="75" w:type="dxa"/>
              <w:end w:w="85" w:type="dxa"/>
            </w:tcMar>
            <w:shd w:fill="FCE4D6"/>
          </w:tcPr>
          <w:p>
            <w:pPr>
              <w:spacing w:after="0" w:before="0" w:line="240" w:lineRule="auto"/>
            </w:pPr>
            <w:r/>
            <w:r>
              <w:rPr>
                <w:rFonts w:ascii="Arial" w:hAnsi="Arial" w:eastAsia="Arial"/>
                <w:b w:val="0"/>
                <w:sz w:val="17"/>
              </w:rPr>
              <w:t>Chưa hợp lý</w:t>
            </w:r>
          </w:p>
        </w:tc>
        <w:tc>
          <w:tcPr>
            <w:tcW w:type="dxa" w:w="6264"/>
            <w:vAlign w:val="center"/>
            <w:tcMar>
              <w:top w:w="75" w:type="dxa"/>
              <w:start w:w="85" w:type="dxa"/>
              <w:bottom w:w="75" w:type="dxa"/>
              <w:end w:w="85" w:type="dxa"/>
            </w:tcMar>
            <w:shd w:fill="F2F6FA"/>
          </w:tcPr>
          <w:p>
            <w:pPr>
              <w:spacing w:after="0" w:before="0" w:line="240" w:lineRule="auto"/>
            </w:pPr>
            <w:r/>
            <w:r>
              <w:rPr>
                <w:rFonts w:ascii="Arial" w:hAnsi="Arial" w:eastAsia="Arial"/>
                <w:b w:val="0"/>
                <w:sz w:val="17"/>
              </w:rPr>
              <w:t>Product Owner Đức tự chọn 5 SP để kịp kế hoạch, trong khi Developers là người ước lượng. Các phiếu 5, 8, 13, 13 cho thấy còn khác biệt lớn về giả định hoặc rủi ro tích hợp.</w:t>
            </w:r>
          </w:p>
        </w:tc>
        <w:tc>
          <w:tcPr>
            <w:tcW w:type="dxa" w:w="6264"/>
            <w:vAlign w:val="center"/>
            <w:tcMar>
              <w:top w:w="75" w:type="dxa"/>
              <w:start w:w="85" w:type="dxa"/>
              <w:bottom w:w="75" w:type="dxa"/>
              <w:end w:w="85" w:type="dxa"/>
            </w:tcMar>
            <w:shd w:fill="F2F6FA"/>
          </w:tcPr>
          <w:p>
            <w:pPr>
              <w:spacing w:after="0" w:before="0" w:line="240" w:lineRule="auto"/>
            </w:pPr>
            <w:r/>
            <w:r>
              <w:rPr>
                <w:rFonts w:ascii="Arial" w:hAnsi="Arial" w:eastAsia="Arial"/>
                <w:b w:val="0"/>
                <w:sz w:val="17"/>
              </w:rPr>
              <w:t>SP có thể bị đánh giá thấp để chạy theo thời hạn; nhóm dễ nhận quá nhiều việc, bỏ sót độ phức tạp của tích hợp thanh toán và khó đạt Sprint Goal.</w:t>
            </w:r>
          </w:p>
        </w:tc>
      </w:tr>
      <w:tr>
        <w:trPr>
          <w:cantSplit/>
        </w:trPr>
        <w:tc>
          <w:tcPr>
            <w:tcW w:type="dxa" w:w="792"/>
            <w:vAlign w:val="center"/>
            <w:tcMar>
              <w:top w:w="75" w:type="dxa"/>
              <w:start w:w="85" w:type="dxa"/>
              <w:bottom w:w="75" w:type="dxa"/>
              <w:end w:w="85" w:type="dxa"/>
            </w:tcMar>
          </w:tcPr>
          <w:p>
            <w:pPr>
              <w:spacing w:after="0" w:before="0" w:line="240" w:lineRule="auto"/>
            </w:pPr>
            <w:r/>
            <w:r>
              <w:rPr>
                <w:rFonts w:ascii="Arial" w:hAnsi="Arial" w:eastAsia="Arial"/>
                <w:b/>
                <w:sz w:val="17"/>
              </w:rPr>
              <w:t>P3</w:t>
            </w:r>
          </w:p>
        </w:tc>
        <w:tc>
          <w:tcPr>
            <w:tcW w:type="dxa" w:w="1944"/>
            <w:vAlign w:val="center"/>
            <w:tcMar>
              <w:top w:w="75" w:type="dxa"/>
              <w:start w:w="85" w:type="dxa"/>
              <w:bottom w:w="75" w:type="dxa"/>
              <w:end w:w="85" w:type="dxa"/>
            </w:tcMar>
            <w:shd w:fill="E2F0D9"/>
          </w:tcPr>
          <w:p>
            <w:pPr>
              <w:spacing w:after="0" w:before="0" w:line="240" w:lineRule="auto"/>
            </w:pPr>
            <w:r/>
            <w:r>
              <w:rPr>
                <w:rFonts w:ascii="Arial" w:hAnsi="Arial" w:eastAsia="Arial"/>
                <w:b w:val="0"/>
                <w:sz w:val="17"/>
              </w:rPr>
              <w:t>Hợp lý</w:t>
            </w:r>
          </w:p>
        </w:tc>
        <w:tc>
          <w:tcPr>
            <w:tcW w:type="dxa" w:w="6264"/>
            <w:vAlign w:val="center"/>
            <w:tcMar>
              <w:top w:w="75" w:type="dxa"/>
              <w:start w:w="85" w:type="dxa"/>
              <w:bottom w:w="75" w:type="dxa"/>
              <w:end w:w="85" w:type="dxa"/>
            </w:tcMar>
          </w:tcPr>
          <w:p>
            <w:pPr>
              <w:spacing w:after="0" w:before="0" w:line="240" w:lineRule="auto"/>
            </w:pPr>
            <w:r/>
            <w:r>
              <w:rPr>
                <w:rFonts w:ascii="Arial" w:hAnsi="Arial" w:eastAsia="Arial"/>
                <w:b w:val="0"/>
                <w:sz w:val="17"/>
              </w:rPr>
              <w:t>Người chọn 3 và 8 đã giải thích; sau đó cả bốn Developers chọn 5. Kết quả 5 SP nằm trên thang điểm và được chốt sau khi xử lý khác biệt, không lấy trung bình hay theo đa số.</w:t>
            </w:r>
          </w:p>
        </w:tc>
        <w:tc>
          <w:tcPr>
            <w:tcW w:type="dxa" w:w="6264"/>
            <w:vAlign w:val="center"/>
            <w:tcMar>
              <w:top w:w="75" w:type="dxa"/>
              <w:start w:w="85" w:type="dxa"/>
              <w:bottom w:w="75" w:type="dxa"/>
              <w:end w:w="85" w:type="dxa"/>
            </w:tcMar>
          </w:tcPr>
          <w:p>
            <w:pPr>
              <w:spacing w:after="0" w:before="0" w:line="240" w:lineRule="auto"/>
            </w:pPr>
            <w:r/>
            <w:r>
              <w:rPr>
                <w:rFonts w:ascii="Arial" w:hAnsi="Arial" w:eastAsia="Arial"/>
                <w:b w:val="0"/>
                <w:sz w:val="17"/>
              </w:rPr>
              <w:t>Nhóm có cùng cách hiểu hơn về PBI, nên ước lượng có cơ sở hơn và giảm nguy cơ lệch kế hoạch do các giả định khác nhau.</w:t>
            </w:r>
          </w:p>
        </w:tc>
      </w:tr>
      <w:tr>
        <w:trPr>
          <w:cantSplit/>
        </w:trPr>
        <w:tc>
          <w:tcPr>
            <w:tcW w:type="dxa" w:w="792"/>
            <w:vAlign w:val="center"/>
            <w:tcMar>
              <w:top w:w="75" w:type="dxa"/>
              <w:start w:w="85" w:type="dxa"/>
              <w:bottom w:w="75" w:type="dxa"/>
              <w:end w:w="85" w:type="dxa"/>
            </w:tcMar>
            <w:shd w:fill="F2F6FA"/>
          </w:tcPr>
          <w:p>
            <w:pPr>
              <w:spacing w:after="0" w:before="0" w:line="240" w:lineRule="auto"/>
            </w:pPr>
            <w:r/>
            <w:r>
              <w:rPr>
                <w:rFonts w:ascii="Arial" w:hAnsi="Arial" w:eastAsia="Arial"/>
                <w:b/>
                <w:sz w:val="17"/>
              </w:rPr>
              <w:t>P4</w:t>
            </w:r>
          </w:p>
        </w:tc>
        <w:tc>
          <w:tcPr>
            <w:tcW w:type="dxa" w:w="1944"/>
            <w:vAlign w:val="center"/>
            <w:tcMar>
              <w:top w:w="75" w:type="dxa"/>
              <w:start w:w="85" w:type="dxa"/>
              <w:bottom w:w="75" w:type="dxa"/>
              <w:end w:w="85" w:type="dxa"/>
            </w:tcMar>
            <w:shd w:fill="FFF2CC"/>
          </w:tcPr>
          <w:p>
            <w:pPr>
              <w:spacing w:after="0" w:before="0" w:line="240" w:lineRule="auto"/>
            </w:pPr>
            <w:r/>
            <w:r>
              <w:rPr>
                <w:rFonts w:ascii="Arial" w:hAnsi="Arial" w:eastAsia="Arial"/>
                <w:b w:val="0"/>
                <w:sz w:val="17"/>
              </w:rPr>
              <w:t>Hợp lý về SP; sai ghi chú</w:t>
            </w:r>
          </w:p>
        </w:tc>
        <w:tc>
          <w:tcPr>
            <w:tcW w:type="dxa" w:w="6264"/>
            <w:vAlign w:val="center"/>
            <w:tcMar>
              <w:top w:w="75" w:type="dxa"/>
              <w:start w:w="85" w:type="dxa"/>
              <w:bottom w:w="75" w:type="dxa"/>
              <w:end w:w="85" w:type="dxa"/>
            </w:tcMar>
            <w:shd w:fill="F2F6FA"/>
          </w:tcPr>
          <w:p>
            <w:pPr>
              <w:spacing w:after="0" w:before="0" w:line="240" w:lineRule="auto"/>
            </w:pPr>
            <w:r/>
            <w:r>
              <w:rPr>
                <w:rFonts w:ascii="Arial" w:hAnsi="Arial" w:eastAsia="Arial"/>
                <w:b w:val="0"/>
                <w:sz w:val="17"/>
              </w:rPr>
              <w:t>Kết quả 13 SP hợp lý vì sau khi người chọn 8 và 13 giải thích, cả nhóm thống nhất chọn lại 13. Tuy nhiên, ghi chú “13 SP = 52 giờ” vi phạm nguyên tắc SP là độ lớn tương đối, không quy đổi cố định sang thời gian.</w:t>
            </w:r>
          </w:p>
        </w:tc>
        <w:tc>
          <w:tcPr>
            <w:tcW w:type="dxa" w:w="6264"/>
            <w:vAlign w:val="center"/>
            <w:tcMar>
              <w:top w:w="75" w:type="dxa"/>
              <w:start w:w="85" w:type="dxa"/>
              <w:bottom w:w="75" w:type="dxa"/>
              <w:end w:w="85" w:type="dxa"/>
            </w:tcMar>
            <w:shd w:fill="F2F6FA"/>
          </w:tcPr>
          <w:p>
            <w:pPr>
              <w:spacing w:after="0" w:before="0" w:line="240" w:lineRule="auto"/>
            </w:pPr>
            <w:r/>
            <w:r>
              <w:rPr>
                <w:rFonts w:ascii="Arial" w:hAnsi="Arial" w:eastAsia="Arial"/>
                <w:b w:val="0"/>
                <w:sz w:val="17"/>
              </w:rPr>
              <w:t>Nếu dùng ghi chú này để tính công, nhóm có thể dự báo thời lượng sai, tạo kỳ vọng giả về năng suất và lập Sprint plan như thể SP có quy đổi giờ cố định.</w:t>
            </w:r>
          </w:p>
        </w:tc>
      </w:tr>
      <w:tr>
        <w:trPr>
          <w:cantSplit/>
        </w:trPr>
        <w:tc>
          <w:tcPr>
            <w:tcW w:type="dxa" w:w="792"/>
            <w:vAlign w:val="center"/>
            <w:tcMar>
              <w:top w:w="75" w:type="dxa"/>
              <w:start w:w="85" w:type="dxa"/>
              <w:bottom w:w="75" w:type="dxa"/>
              <w:end w:w="85" w:type="dxa"/>
            </w:tcMar>
          </w:tcPr>
          <w:p>
            <w:pPr>
              <w:spacing w:after="0" w:before="0" w:line="240" w:lineRule="auto"/>
            </w:pPr>
            <w:r/>
            <w:r>
              <w:rPr>
                <w:rFonts w:ascii="Arial" w:hAnsi="Arial" w:eastAsia="Arial"/>
                <w:b/>
                <w:sz w:val="17"/>
              </w:rPr>
              <w:t>P5</w:t>
            </w:r>
          </w:p>
        </w:tc>
        <w:tc>
          <w:tcPr>
            <w:tcW w:type="dxa" w:w="1944"/>
            <w:vAlign w:val="center"/>
            <w:tcMar>
              <w:top w:w="75" w:type="dxa"/>
              <w:start w:w="85" w:type="dxa"/>
              <w:bottom w:w="75" w:type="dxa"/>
              <w:end w:w="85" w:type="dxa"/>
            </w:tcMar>
            <w:shd w:fill="FCE4D6"/>
          </w:tcPr>
          <w:p>
            <w:pPr>
              <w:spacing w:after="0" w:before="0" w:line="240" w:lineRule="auto"/>
            </w:pPr>
            <w:r/>
            <w:r>
              <w:rPr>
                <w:rFonts w:ascii="Arial" w:hAnsi="Arial" w:eastAsia="Arial"/>
                <w:b w:val="0"/>
                <w:sz w:val="17"/>
              </w:rPr>
              <w:t>Chưa hợp lý</w:t>
            </w:r>
          </w:p>
        </w:tc>
        <w:tc>
          <w:tcPr>
            <w:tcW w:type="dxa" w:w="6264"/>
            <w:vAlign w:val="center"/>
            <w:tcMar>
              <w:top w:w="75" w:type="dxa"/>
              <w:start w:w="85" w:type="dxa"/>
              <w:bottom w:w="75" w:type="dxa"/>
              <w:end w:w="85" w:type="dxa"/>
            </w:tcMar>
          </w:tcPr>
          <w:p>
            <w:pPr>
              <w:spacing w:after="0" w:before="0" w:line="240" w:lineRule="auto"/>
            </w:pPr>
            <w:r/>
            <w:r>
              <w:rPr>
                <w:rFonts w:ascii="Arial" w:hAnsi="Arial" w:eastAsia="Arial"/>
                <w:b w:val="0"/>
                <w:sz w:val="17"/>
              </w:rPr>
              <w:t>PBI chưa rõ quy tắc nghiệp vụ: mã giới thiệu có được dùng cùng khuyến mãi khác không. Chốt 13 SP vì đa số chọn 13 là sai; khi phạm vi chưa rõ, cần làm rõ trước khi ước lượng.</w:t>
            </w:r>
          </w:p>
        </w:tc>
        <w:tc>
          <w:tcPr>
            <w:tcW w:type="dxa" w:w="6264"/>
            <w:vAlign w:val="center"/>
            <w:tcMar>
              <w:top w:w="75" w:type="dxa"/>
              <w:start w:w="85" w:type="dxa"/>
              <w:bottom w:w="75" w:type="dxa"/>
              <w:end w:w="85" w:type="dxa"/>
            </w:tcMar>
          </w:tcPr>
          <w:p>
            <w:pPr>
              <w:spacing w:after="0" w:before="0" w:line="240" w:lineRule="auto"/>
            </w:pPr>
            <w:r/>
            <w:r>
              <w:rPr>
                <w:rFonts w:ascii="Arial" w:hAnsi="Arial" w:eastAsia="Arial"/>
                <w:b w:val="0"/>
                <w:sz w:val="17"/>
              </w:rPr>
              <w:t>Ước lượng dựa trên giả định chưa thống nhất có thể sai lệch lớn; khi quy tắc khuyến mãi được xác nhận muộn, nhóm có nguy cơ phát sinh việc, sửa thiết kế và trượt Sprint Goal.</w:t>
            </w:r>
          </w:p>
        </w:tc>
      </w:tr>
    </w:tbl>
    <w:p>
      <w:pPr>
        <w:spacing w:before="100" w:after="20"/>
      </w:pPr>
      <w:r>
        <w:rPr>
          <w:b/>
        </w:rPr>
        <w:t xml:space="preserve">Kết luận: </w:t>
      </w:r>
      <w:r>
        <w:t>P3 giữ nguyên cả quy trình và kết quả. P4 giữ nguyên 13 SP nhưng phải xóa ghi chú quy đổi sang 52 giờ. P1, P2 và P5 cần xử lý lại theo đúng quy tắc trước khi chấp nhận kết quả ước lượng.</w:t>
      </w:r>
    </w:p>
    <w:p>
      <w:r>
        <w:br w:type="page"/>
      </w:r>
    </w:p>
    <w:p>
      <w:pPr>
        <w:pStyle w:val="Heading1"/>
      </w:pPr>
      <w:r>
        <w:t>PHẦN 2 – SỬA LỖI</w:t>
      </w:r>
    </w:p>
    <w:p>
      <w:pPr>
        <w:spacing w:after="140"/>
      </w:pPr>
      <w:r>
        <w:t>Cách xử lý tiếp theo đối với các PBI có lỗi ở kết quả, quy trình hoặc ghi chú:</w:t>
      </w:r>
    </w:p>
    <w:p>
      <w:pPr>
        <w:pStyle w:val="Heading2"/>
        <w:keepNext/>
      </w:pPr>
      <w:r>
        <w:t>P1 – Đăng nhập bằng số điện thoại</w:t>
      </w:r>
    </w:p>
    <w:p>
      <w:pPr>
        <w:spacing w:after="160"/>
        <w:ind w:left="259"/>
      </w:pPr>
      <w:r>
        <w:t>Không dùng kết quả trung bình 4 SP. Lan đề nghị các Developers chọn 3 và 5 giải thích giả định, phạm vi và rủi ro khiến mức điểm khác nhau; sau khi thảo luận, mọi người chọn kín và lật đồng thời lại cho đến khi chốt được một mức trên thang điểm của đội.</w:t>
      </w:r>
    </w:p>
    <w:p>
      <w:pPr>
        <w:pStyle w:val="Heading2"/>
        <w:keepNext/>
      </w:pPr>
      <w:r>
        <w:t>P2 – Thanh toán bằng ví RikkeiPay</w:t>
      </w:r>
    </w:p>
    <w:p>
      <w:pPr>
        <w:spacing w:after="160"/>
        <w:ind w:left="259"/>
      </w:pPr>
      <w:r>
        <w:t>Bỏ quyết định 5 SP của Đức vì Product Owner không chốt điểm. Đức làm rõ luồng thanh toán và tiêu chí nghiệp vụ; Developers trao đổi rủi ro tích hợp API, trạng thái giao dịch, thanh toán thất bại/hoàn tiền và kiểm thử, sau đó tự chọn thẻ kín, lật đồng thời và tiếp tục thảo luận nếu phiếu còn lệch.</w:t>
      </w:r>
    </w:p>
    <w:p>
      <w:pPr>
        <w:pStyle w:val="Heading2"/>
        <w:keepNext/>
      </w:pPr>
      <w:r>
        <w:t>P4 – Theo dõi vị trí tài xế trên bản đồ</w:t>
      </w:r>
    </w:p>
    <w:p>
      <w:pPr>
        <w:spacing w:after="160"/>
        <w:ind w:left="259"/>
      </w:pPr>
      <w:r>
        <w:t>Giữ nguyên kết quả 13 SP vì nhóm đã giải thích chênh lệch và thống nhất khi chọn lại; chỉ sửa ghi chú bằng cách xóa “13 SP = 52 giờ”. Khi lập kế hoạch, nhóm dùng SP như độ lớn tương đối và dựa vào năng lực/velocity thực tế của các Sprint trước, không áp dụng tỷ lệ giờ cố định cho từng SP.</w:t>
      </w:r>
    </w:p>
    <w:p>
      <w:pPr>
        <w:pStyle w:val="Heading2"/>
        <w:keepNext/>
      </w:pPr>
      <w:r>
        <w:t>P5 – Áp mã giới thiệu bạn bè</w:t>
      </w:r>
    </w:p>
    <w:p>
      <w:pPr>
        <w:spacing w:after="160"/>
        <w:ind w:left="259"/>
      </w:pPr>
      <w:r>
        <w:t>Chưa chốt 13 SP; cần tạm dừng ước lượng và nhờ Product Owner làm rõ tiêu chí chấp nhận: mã giới thiệu có được cộng dồn với mã khuyến mãi khác không, điều kiện áp dụng là gì, giới hạn sử dụng và cách tính ưu đãi ra sao. Khi phạm vi đã rõ, Developers mới Planning Poker lại; người có phiếu cao/thấp giải thích lý do rồi cả nhóm chọn lại, không chốt theo đa số.</w:t>
      </w:r>
    </w:p>
    <w:p>
      <w:pPr>
        <w:pStyle w:val="Heading1"/>
      </w:pPr>
      <w:r>
        <w:t>Đối chiếu yêu cầu</w:t>
      </w:r>
    </w:p>
    <w:p>
      <w:pPr>
        <w:spacing w:after="40"/>
        <w:ind w:left="259"/>
      </w:pPr>
      <w:r>
        <w:rPr>
          <w:b/>
          <w:color w:val="1F7846"/>
        </w:rPr>
        <w:t xml:space="preserve">✓ </w:t>
      </w:r>
      <w:r>
        <w:t>Không lấy trung bình hoặc chốt theo đa số.</w:t>
      </w:r>
    </w:p>
    <w:p>
      <w:pPr>
        <w:spacing w:after="40"/>
        <w:ind w:left="259"/>
      </w:pPr>
      <w:r>
        <w:rPr>
          <w:b/>
          <w:color w:val="1F7846"/>
        </w:rPr>
        <w:t xml:space="preserve">✓ </w:t>
      </w:r>
      <w:r>
        <w:t>Product Owner làm rõ giá trị/phạm vi; Developers chịu trách nhiệm ước lượng SP.</w:t>
      </w:r>
    </w:p>
    <w:p>
      <w:pPr>
        <w:spacing w:after="40"/>
        <w:ind w:left="259"/>
      </w:pPr>
      <w:r>
        <w:rPr>
          <w:b/>
          <w:color w:val="1F7846"/>
        </w:rPr>
        <w:t xml:space="preserve">✓ </w:t>
      </w:r>
      <w:r>
        <w:t>SP không được quy đổi cố định sang giờ hoặc ngày.</w:t>
      </w:r>
    </w:p>
    <w:p>
      <w:pPr>
        <w:spacing w:after="40"/>
        <w:ind w:left="259"/>
      </w:pPr>
      <w:r>
        <w:rPr>
          <w:b/>
          <w:color w:val="1F7846"/>
        </w:rPr>
        <w:t xml:space="preserve">✓ </w:t>
      </w:r>
      <w:r>
        <w:t>PBI chưa đủ rõ phải được làm rõ trước khi ước lượng lại.</w:t>
      </w:r>
    </w:p>
    <w:p>
      <w:pPr>
        <w:spacing w:after="40"/>
        <w:ind w:left="259"/>
      </w:pPr>
      <w:r>
        <w:rPr>
          <w:b/>
          <w:color w:val="1F7846"/>
        </w:rPr>
        <w:t xml:space="preserve">✓ </w:t>
      </w:r>
      <w:r>
        <w:t>P3 giữ nguyên; P4 giữ 13 SP và chỉ sửa ghi chú.</w:t>
      </w:r>
    </w:p>
    <w:sectPr w:rsidR="00FC693F" w:rsidRPr="0006063C" w:rsidSect="00034616">
      <w:headerReference w:type="default" r:id="rId9"/>
      <w:footerReference w:type="default" r:id="rId10"/>
      <w:pgSz w:w="15840" w:h="12240" w:orient="landscape"/>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8828C"/>
        <w:sz w:val="16"/>
      </w:rPr>
      <w:t>RikkeiGo | Phân tích và sửa lỗi ước lượng Story Point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78828C"/>
        <w:sz w:val="16"/>
      </w:rPr>
      <w:t>SCRUM • PLANNING POKER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E546E"/>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tích Planning Poker – RikkeiGo</dc:title>
  <dc:subject>Story Point, Planning Poker, Scrum</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