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cs="Times New Roman"/>
          <w:b/>
          <w:sz w:val="26"/>
        </w:rPr>
        <w:t>TRƯỜNG ĐẠI HỌC SƯ PHẠM KỸ THUẬT</w:t>
        <w:br/>
        <w:t>THÀNH PHỐ HỒ CHÍ MINH</w:t>
      </w:r>
    </w:p>
    <w:p>
      <w:pPr>
        <w:spacing w:after="240"/>
        <w:jc w:val="center"/>
      </w:pPr>
      <w:r>
        <w:rPr>
          <w:rFonts w:ascii="Times New Roman" w:hAnsi="Times New Roman" w:eastAsia="Times New Roman" w:cs="Times New Roman"/>
          <w:b/>
          <w:sz w:val="26"/>
        </w:rPr>
        <w:t>KHOA CÔNG NGHỆ THÔNG TIN</w:t>
      </w:r>
    </w:p>
    <w:p>
      <w:pPr>
        <w:spacing w:after="700"/>
      </w:pPr>
    </w:p>
    <w:p>
      <w:pPr>
        <w:spacing w:after="280"/>
        <w:jc w:val="center"/>
      </w:pPr>
      <w:r>
        <w:rPr>
          <w:rFonts w:ascii="Times New Roman" w:hAnsi="Times New Roman" w:eastAsia="Times New Roman" w:cs="Times New Roman"/>
          <w:b/>
          <w:sz w:val="36"/>
        </w:rPr>
        <w:t>ĐỀ CƯƠNG TIỂU LUẬN CUỐI KHÓA</w:t>
      </w:r>
    </w:p>
    <w:p>
      <w:pPr>
        <w:spacing w:after="280"/>
        <w:jc w:val="center"/>
      </w:pPr>
      <w:r>
        <w:rPr>
          <w:rFonts w:ascii="Times New Roman" w:hAnsi="Times New Roman" w:eastAsia="Times New Roman" w:cs="Times New Roman"/>
          <w:b/>
          <w:sz w:val="26"/>
        </w:rPr>
        <w:t>HỌC PHẦN TRÍ TUỆ NHÂN TẠO CHO IoT</w:t>
      </w:r>
    </w:p>
    <w:p>
      <w:pPr>
        <w:spacing w:after="280"/>
        <w:jc w:val="center"/>
      </w:pPr>
      <w:r>
        <w:rPr>
          <w:rFonts w:ascii="Times New Roman" w:hAnsi="Times New Roman" w:eastAsia="Times New Roman" w:cs="Times New Roman"/>
          <w:b/>
          <w:sz w:val="28"/>
        </w:rPr>
        <w:t>ĐỀ TÀI Đ18</w:t>
      </w:r>
    </w:p>
    <w:p>
      <w:pPr>
        <w:spacing w:before="240" w:after="600"/>
        <w:jc w:val="center"/>
      </w:pPr>
      <w:r>
        <w:rPr>
          <w:rFonts w:ascii="Times New Roman" w:hAnsi="Times New Roman" w:eastAsia="Times New Roman" w:cs="Times New Roman"/>
          <w:b/>
          <w:sz w:val="32"/>
        </w:rPr>
        <w:t>ƯỚC LƯỢNG NHỊP TIM TỪ TÍN HIỆU BVP</w:t>
        <w:br/>
        <w:t>CỔ TAY TRÊN WESAD BẰNG CNN 1-D,</w:t>
        <w:br/>
        <w:t>VỚI THAM CHIẾU ECG NGỰC VÀ ĐÁNH GIÁ</w:t>
        <w:br/>
        <w:t>THEO ĐIỀU KIỆN THỰC NGHIỆM</w:t>
      </w:r>
    </w:p>
    <w:tbl>
      <w:tblPr>
        <w:tblW w:type="auto" w:w="0"/>
        <w:jc w:val="center"/>
        <w:tblLayout w:type="fixed"/>
        <w:tblLook w:firstColumn="1" w:firstRow="1" w:lastColumn="0" w:lastRow="0" w:noHBand="0" w:noVBand="1" w:val="04A0"/>
      </w:tblPr>
      <w:tblGrid>
        <w:gridCol w:w="2835"/>
        <w:gridCol w:w="6520"/>
      </w:tblGrid>
      <w:tr>
        <w:trPr>
          <w:cantSplit/>
          <w:tblHeader w:val="true"/>
        </w:trPr>
        <w:tc>
          <w:tcPr>
            <w:tcW w:type="dxa" w:w="2835"/>
            <w:vAlign w:val="center"/>
            <w:tcMar>
              <w:top w:w="75" w:type="dxa"/>
              <w:bottom w:w="75" w:type="dxa"/>
              <w:left w:w="100" w:type="dxa"/>
              <w:right w:w="100" w:type="dxa"/>
            </w:tcMar>
            <w:shd w:fill="E9EEF3"/>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sz w:val="24"/>
              </w:rPr>
              <w:t>THÔNG TIN</w:t>
            </w:r>
          </w:p>
        </w:tc>
        <w:tc>
          <w:tcPr>
            <w:tcW w:type="dxa" w:w="6520"/>
            <w:vAlign w:val="center"/>
            <w:tcMar>
              <w:top w:w="75" w:type="dxa"/>
              <w:bottom w:w="75" w:type="dxa"/>
              <w:left w:w="100" w:type="dxa"/>
              <w:right w:w="100" w:type="dxa"/>
            </w:tcMar>
            <w:shd w:fill="E9EEF3"/>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sz w:val="24"/>
              </w:rPr>
              <w:t>NỘI DUNG</w:t>
            </w:r>
          </w:p>
        </w:tc>
      </w:tr>
      <w:tr>
        <w:trPr>
          <w:cantSplit/>
        </w:trPr>
        <w:tc>
          <w:tcPr>
            <w:tcW w:type="dxa" w:w="2835"/>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4"/>
              </w:rPr>
              <w:t>Sinh viên</w:t>
            </w:r>
          </w:p>
        </w:tc>
        <w:tc>
          <w:tcPr>
            <w:tcW w:type="dxa" w:w="6520"/>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4"/>
              </w:rPr>
              <w:t>Trần Tiến Thịnh</w:t>
            </w:r>
          </w:p>
        </w:tc>
      </w:tr>
      <w:tr>
        <w:trPr>
          <w:cantSplit/>
        </w:trPr>
        <w:tc>
          <w:tcPr>
            <w:tcW w:type="dxa" w:w="2835"/>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4"/>
              </w:rPr>
              <w:t>MSSV</w:t>
            </w:r>
          </w:p>
        </w:tc>
        <w:tc>
          <w:tcPr>
            <w:tcW w:type="dxa" w:w="6520"/>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4"/>
              </w:rPr>
              <w:t>22110236</w:t>
            </w:r>
          </w:p>
        </w:tc>
      </w:tr>
      <w:tr>
        <w:trPr>
          <w:cantSplit/>
        </w:trPr>
        <w:tc>
          <w:tcPr>
            <w:tcW w:type="dxa" w:w="2835"/>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4"/>
              </w:rPr>
              <w:t>Giảng viên hướng dẫn</w:t>
            </w:r>
          </w:p>
        </w:tc>
        <w:tc>
          <w:tcPr>
            <w:tcW w:type="dxa" w:w="6520"/>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4"/>
              </w:rPr>
              <w:t>Hồ Nhựt Minh</w:t>
            </w:r>
          </w:p>
        </w:tc>
      </w:tr>
      <w:tr>
        <w:trPr>
          <w:cantSplit/>
        </w:trPr>
        <w:tc>
          <w:tcPr>
            <w:tcW w:type="dxa" w:w="2835"/>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4"/>
              </w:rPr>
              <w:t>Năm học</w:t>
            </w:r>
          </w:p>
        </w:tc>
        <w:tc>
          <w:tcPr>
            <w:tcW w:type="dxa" w:w="6520"/>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4"/>
              </w:rPr>
              <w:t>2026–2027</w:t>
            </w:r>
          </w:p>
        </w:tc>
      </w:tr>
    </w:tbl>
    <w:p>
      <w:pPr>
        <w:spacing w:after="0"/>
      </w:pPr>
    </w:p>
    <w:p>
      <w:pPr>
        <w:jc w:val="center"/>
      </w:pPr>
      <w:r>
        <w:rPr>
          <w:rFonts w:ascii="Times New Roman" w:hAnsi="Times New Roman" w:eastAsia="Times New Roman" w:cs="Times New Roman"/>
          <w:i/>
          <w:sz w:val="22"/>
        </w:rPr>
        <w:t>Bản chỉnh sửa khoa học • 22/09/2026</w:t>
      </w:r>
    </w:p>
    <w:p>
      <w:pPr>
        <w:pStyle w:val="Heading1"/>
        <w:pageBreakBefore/>
      </w:pPr>
      <w:r>
        <w:t>1. ĐẶT VẤN ĐỀ VÀ MỤC TIÊU</w:t>
      </w:r>
    </w:p>
    <w:p>
      <w:pPr>
        <w:pStyle w:val="Heading2"/>
      </w:pPr>
      <w:r>
        <w:t>1.1. Bối cảnh và phạm vi</w:t>
      </w:r>
    </w:p>
    <w:p>
      <w:pPr>
        <w:jc w:val="both"/>
      </w:pPr>
      <w:r>
        <w:rPr>
          <w:rFonts w:ascii="Times New Roman" w:hAnsi="Times New Roman" w:eastAsia="Times New Roman" w:cs="Times New Roman"/>
        </w:rPr>
        <w:t>Thiết bị đeo cổ tay có thể ghi tín hiệu BVP (Blood Volume Pulse), một dạng tín hiệu quang thể tích ký (PPG), để hỗ trợ ước lượng nhịp tim. Tín hiệu này có thể bị ảnh hưởng bởi vận động và điều kiện đo. WESAD cung cấp dữ liệu đồng bộ từ thiết bị cổ tay và thiết bị ngực trong nghiên cứu tại phòng thí nghiệm về stress và cảm xúc [1], [2], [4].</w:t>
      </w:r>
    </w:p>
    <w:p>
      <w:pPr>
        <w:jc w:val="both"/>
      </w:pPr>
      <w:r>
        <w:rPr>
          <w:rFonts w:ascii="Times New Roman" w:hAnsi="Times New Roman" w:eastAsia="Times New Roman" w:cs="Times New Roman"/>
        </w:rPr>
        <w:t>Đề tài khảo sát hồi quy nhịp tim từ một kênh BVP bằng CNN 1-D và so sánh với phương pháp đỉnh phổ FFT. Nhịp tim suy ra từ ECG ngực được dùng làm tham chiếu huấn luyện và đánh giá. Ba điều kiện Baseline, Stress và Amusement chỉ dùng để chọn phạm vi dữ liệu và phân tầng kết quả; không đưa nhãn điều kiện vào CNN, không huấn luyện bộ nhận dạng cảm xúc.</w:t>
      </w:r>
    </w:p>
    <w:p>
      <w:pPr>
        <w:pStyle w:val="Heading2"/>
      </w:pPr>
      <w:r>
        <w:t>1.2. Phát biểu bài toán</w:t>
      </w:r>
    </w:p>
    <w:p>
      <w:pPr>
        <w:jc w:val="both"/>
      </w:pPr>
      <w:r>
        <w:rPr>
          <w:rFonts w:ascii="Times New Roman" w:hAnsi="Times New Roman" w:eastAsia="Times New Roman" w:cs="Times New Roman"/>
        </w:rPr>
        <w:t>Mỗi đầu vào là một cửa sổ BVP dài 8 giây, sau hạ mẫu còn 32 Hz, gồm 256 mẫu. Mô hình xuất một giá trị nhịp tim trung bình ước lượng, đơn vị nhịp/phút (BPM):</w:t>
      </w:r>
    </w:p>
    <w:p>
      <w:pPr>
        <w:spacing w:before="60" w:after="120"/>
        <w:jc w:val="center"/>
      </w:pPr>
      <m:oMath>
        <m:sSub>
          <m:e>
            <m:acc>
              <m:accPr>
                <m:chr m:val="̂"/>
              </m:accPr>
              <m:e>
                <m:r>
                  <m:t>H</m:t>
                </m:r>
                <m:r>
                  <m:t>R</m:t>
                </m:r>
              </m:e>
            </m:acc>
          </m:e>
          <m:sub>
            <m:r>
              <m:t>i</m:t>
            </m:r>
          </m:sub>
        </m:sSub>
        <m:r>
          <m:rPr>
            <m:sty m:val="p"/>
          </m:rPr>
          <m:t>=</m:t>
        </m:r>
        <m:sSub>
          <m:e>
            <m:r>
              <m:t>f</m:t>
            </m:r>
          </m:e>
          <m:sub>
            <m:r>
              <m:t>θ</m:t>
            </m:r>
          </m:sub>
        </m:sSub>
        <m:d>
          <m:dPr>
            <m:begChr m:val="("/>
            <m:endChr m:val=")"/>
            <m:sepChr m:val=""/>
            <m:grow/>
          </m:dPr>
          <m:e>
            <m:sSub>
              <m:e>
                <m:r>
                  <m:t>x</m:t>
                </m:r>
              </m:e>
              <m:sub>
                <m:r>
                  <m:t>i</m:t>
                </m:r>
              </m:sub>
            </m:sSub>
          </m:e>
        </m:d>
        <m:r>
          <m:rPr>
            <m:sty m:val="p"/>
          </m:rPr>
          <m:t>,</m:t>
        </m:r>
        <m:r>
          <m:t>  </m:t>
        </m:r>
        <m:sSub>
          <m:e>
            <m:r>
              <m:t>x</m:t>
            </m:r>
          </m:e>
          <m:sub>
            <m:r>
              <m:t>i</m:t>
            </m:r>
          </m:sub>
        </m:sSub>
        <m:r>
          <m:rPr>
            <m:sty m:val="p"/>
          </m:rPr>
          <m:t>∈</m:t>
        </m:r>
        <m:sSup>
          <m:e>
            <m:r>
              <m:rPr>
                <m:sty m:val="p"/>
                <m:scr m:val="double-struck"/>
              </m:rPr>
              <m:t>R</m:t>
            </m:r>
          </m:e>
          <m:sup>
            <m:r>
              <m:t>1</m:t>
            </m:r>
            <m:r>
              <m:rPr>
                <m:sty m:val="p"/>
              </m:rPr>
              <m:t>×</m:t>
            </m:r>
            <m:r>
              <m:t>256</m:t>
            </m:r>
          </m:sup>
        </m:sSup>
        <m:r>
          <m:rPr>
            <m:sty m:val="p"/>
          </m:rPr>
          <m:t>.</m:t>
        </m:r>
      </m:oMath>
    </w:p>
    <w:p>
      <w:pPr>
        <w:jc w:val="both"/>
      </w:pPr>
      <w:r>
        <w:rPr>
          <w:rFonts w:ascii="Times New Roman" w:hAnsi="Times New Roman" w:eastAsia="Times New Roman" w:cs="Times New Roman"/>
        </w:rPr>
        <w:t>Đánh giá được thực hiện trên những người không xuất hiện trong tập huấn luyện. Khi suy luận, nhánh CNN chỉ nhận BVP; không dùng ECG, HR tham chiếu, mã người tham gia hoặc nhãn điều kiện thực nghiệm. Phạm vi chính là phân tích ngoại tuyến và đo chi phí suy luận trên CPU máy tính, chưa phải hệ thống y tế hoặc triển khai trên vi điều khiển.</w:t>
      </w:r>
    </w:p>
    <w:p>
      <w:pPr>
        <w:pStyle w:val="Heading2"/>
      </w:pPr>
      <w:r>
        <w:t>1.3. Mục tiêu và câu hỏi nghiên cứu</w:t>
      </w:r>
    </w:p>
    <w:p>
      <w:pPr>
        <w:jc w:val="both"/>
      </w:pPr>
      <w:r>
        <w:rPr>
          <w:rFonts w:ascii="Times New Roman" w:hAnsi="Times New Roman" w:eastAsia="Times New Roman" w:cs="Times New Roman"/>
        </w:rPr>
        <w:t>Câu hỏi chính: với cùng tập cửa sổ và quy trình đánh giá, CNN 1-D có giảm MAE so với FFT và đối chứng dự đoán hằng số không? Sai số thay đổi ra sao giữa các đối tượng và ba điều kiện thực nghiệm?</w:t>
      </w:r>
    </w:p>
    <w:p>
      <w:pPr>
        <w:jc w:val="both"/>
      </w:pPr>
      <w:r>
        <w:rPr>
          <w:rFonts w:ascii="Times New Roman" w:hAnsi="Times New Roman" w:eastAsia="Times New Roman" w:cs="Times New Roman"/>
        </w:rPr>
        <w:t>Mục tiêu kỹ thuật dự kiến là MAE trung bình đều theo đối tượng kiểm thử không vượt quá 7 BPM và giảm ít nhất 20% so với FFT trên cùng chỉ số. Các ngưỡng này là mục tiêu của đề tài, không phải kết quả đã đạt, tiêu chuẩn lâm sàng hay căn cứ để thay đổi tập kiểm thử.</w:t>
      </w:r>
    </w:p>
    <w:p>
      <w:pPr>
        <w:jc w:val="both"/>
      </w:pPr>
      <w:r>
        <w:rPr>
          <w:rFonts w:ascii="Times New Roman" w:hAnsi="Times New Roman" w:eastAsia="Times New Roman" w:cs="Times New Roman"/>
        </w:rPr>
        <w:t>Sản phẩm phải có quy trình dữ liệu tái lập, kiểm tra nhãn ECG, kết quả của ba seed 42, 123, 999, phân tích lỗi và số đo tài nguyên. Trường hợp không đạt mục tiêu sai số vẫn phải báo cáo trung thực, giải thích giới hạn và không lựa chọn lại dữ liệu để đạt ngưỡng.</w:t>
      </w:r>
    </w:p>
    <w:p>
      <w:pPr>
        <w:spacing w:after="100"/>
        <w:jc w:val="both"/>
      </w:pPr>
      <w:r>
        <w:rPr>
          <w:rFonts w:ascii="Times New Roman" w:hAnsi="Times New Roman" w:eastAsia="Times New Roman" w:cs="Times New Roman"/>
          <w:i/>
          <w:sz w:val="21"/>
        </w:rPr>
        <w:t>Hai con số 14,24 BPM và 6,53 BPM trong bản đầu vào chưa có nguồn thực nghiệm kèm theo; không dùng chúng làm kết quả nền đã được xác nhận hoặc kết quả so sánh trực tiếp.</w:t>
      </w:r>
    </w:p>
    <w:p>
      <w:pPr>
        <w:pStyle w:val="Heading1"/>
        <w:pageBreakBefore/>
      </w:pPr>
      <w:r>
        <w:t>2. TẬP DỮ LIỆU VÀ TIỀN XỬ LÝ</w:t>
      </w:r>
    </w:p>
    <w:p>
      <w:pPr>
        <w:pStyle w:val="Heading2"/>
      </w:pPr>
      <w:r>
        <w:t>2.1. Nguồn dữ liệu và vai trò từng tín hiệu</w:t>
      </w:r>
    </w:p>
    <w:p>
      <w:pPr>
        <w:jc w:val="both"/>
      </w:pPr>
      <w:r>
        <w:rPr>
          <w:rFonts w:ascii="Times New Roman" w:hAnsi="Times New Roman" w:eastAsia="Times New Roman" w:cs="Times New Roman"/>
        </w:rPr>
        <w:t>WESAD có dữ liệu của 15 người tham gia được công bố. Empatica E4 cung cấp BVP 64 Hz, ACC 32 Hz, EDA và nhiệt độ 4 Hz; các kênh của RespiBAN, gồm ECG, được lấy mẫu ở 700 Hz [1], [2]. Danh sách đối tượng giữ theo bản đầu vào: S2–S11 và S13–S17. Phải đối chiếu danh sách tệp và README của bản dữ liệu thực tế trước khi chạy.</w:t>
      </w:r>
    </w:p>
    <w:p>
      <w:pPr>
        <w:jc w:val="both"/>
      </w:pPr>
      <w:r>
        <w:rPr>
          <w:rFonts w:ascii="Times New Roman" w:hAnsi="Times New Roman" w:eastAsia="Times New Roman" w:cs="Times New Roman"/>
        </w:rPr>
        <w:t>BVP là đầu vào duy nhất của các bộ ước lượng chính. ECG chỉ tạo nhãn HR tham chiếu. ACC, EDA và nhiệt độ không tham gia CNN. Nhãn Baseline, Stress, Amusement là nhãn điều kiện của giao thức nghiên cứu; không đồng nhất với chú giải cảm xúc chính xác ở từng thời điểm của từng người.</w:t>
      </w:r>
    </w:p>
    <w:p>
      <w:pPr>
        <w:pStyle w:val="Heading2"/>
      </w:pPr>
      <w:r>
        <w:t>2.2. Số liệu G1 được báo cáo trong bản đầu vào</w:t>
      </w:r>
    </w:p>
    <w:p>
      <w:pPr>
        <w:pStyle w:val="Caption"/>
        <w:keepNext/>
        <w:jc w:val="left"/>
      </w:pPr>
      <w:r>
        <w:t>Bảng 1. Thống kê sơ bộ cần đối chiếu với notebook và nhật ký G1</w:t>
      </w:r>
    </w:p>
    <w:tbl>
      <w:tblPr>
        <w:tblW w:type="auto" w:w="0"/>
        <w:jc w:val="center"/>
        <w:tblLayout w:type="fixed"/>
        <w:tblLook w:firstColumn="1" w:firstRow="1" w:lastColumn="0" w:lastRow="0" w:noHBand="0" w:noVBand="1" w:val="04A0"/>
      </w:tblPr>
      <w:tblGrid>
        <w:gridCol w:w="7030"/>
        <w:gridCol w:w="2324"/>
      </w:tblGrid>
      <w:tr>
        <w:trPr>
          <w:cantSplit/>
          <w:tblHeader w:val="true"/>
        </w:trPr>
        <w:tc>
          <w:tcPr>
            <w:tcW w:type="dxa" w:w="7030"/>
            <w:vAlign w:val="center"/>
            <w:tcMar>
              <w:top w:w="75" w:type="dxa"/>
              <w:bottom w:w="75" w:type="dxa"/>
              <w:left w:w="100" w:type="dxa"/>
              <w:right w:w="100" w:type="dxa"/>
            </w:tcMar>
            <w:shd w:fill="E9EEF3"/>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sz w:val="22"/>
              </w:rPr>
              <w:t>Hạng mục trong bản đầu vào</w:t>
            </w:r>
          </w:p>
        </w:tc>
        <w:tc>
          <w:tcPr>
            <w:tcW w:type="dxa" w:w="2324"/>
            <w:vAlign w:val="center"/>
            <w:tcMar>
              <w:top w:w="75" w:type="dxa"/>
              <w:bottom w:w="75" w:type="dxa"/>
              <w:left w:w="100" w:type="dxa"/>
              <w:right w:w="100" w:type="dxa"/>
            </w:tcMar>
            <w:shd w:fill="E9EEF3"/>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sz w:val="22"/>
              </w:rPr>
              <w:t>Số cửa sổ</w:t>
            </w:r>
          </w:p>
        </w:tc>
      </w:tr>
      <w:tr>
        <w:trPr>
          <w:cantSplit/>
        </w:trPr>
        <w:tc>
          <w:tcPr>
            <w:tcW w:type="dxa" w:w="7030"/>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2"/>
              </w:rPr>
              <w:t>Trước kiểm soát chất lượng</w:t>
            </w:r>
          </w:p>
        </w:tc>
        <w:tc>
          <w:tcPr>
            <w:tcW w:type="dxa" w:w="2324"/>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2"/>
              </w:rPr>
              <w:t>43.385</w:t>
            </w:r>
          </w:p>
        </w:tc>
      </w:tr>
      <w:tr>
        <w:trPr>
          <w:cantSplit/>
        </w:trPr>
        <w:tc>
          <w:tcPr>
            <w:tcW w:type="dxa" w:w="7030"/>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2"/>
              </w:rPr>
              <w:t>Được giữ lại</w:t>
            </w:r>
          </w:p>
        </w:tc>
        <w:tc>
          <w:tcPr>
            <w:tcW w:type="dxa" w:w="2324"/>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2"/>
              </w:rPr>
              <w:t>16.432</w:t>
            </w:r>
          </w:p>
        </w:tc>
      </w:tr>
      <w:tr>
        <w:trPr>
          <w:cantSplit/>
        </w:trPr>
        <w:tc>
          <w:tcPr>
            <w:tcW w:type="dxa" w:w="7030"/>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2"/>
              </w:rPr>
              <w:t>“Nhãn ngoài phạm vi” — cần làm rõ định nghĩa</w:t>
            </w:r>
          </w:p>
        </w:tc>
        <w:tc>
          <w:tcPr>
            <w:tcW w:type="dxa" w:w="2324"/>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2"/>
              </w:rPr>
              <w:t>26.812</w:t>
            </w:r>
          </w:p>
        </w:tc>
      </w:tr>
      <w:tr>
        <w:trPr>
          <w:cantSplit/>
        </w:trPr>
        <w:tc>
          <w:tcPr>
            <w:tcW w:type="dxa" w:w="7030"/>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2"/>
              </w:rPr>
              <w:t>Độ thuần nhãn &lt; 90%</w:t>
            </w:r>
          </w:p>
        </w:tc>
        <w:tc>
          <w:tcPr>
            <w:tcW w:type="dxa" w:w="2324"/>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2"/>
              </w:rPr>
              <w:t>134</w:t>
            </w:r>
          </w:p>
        </w:tc>
      </w:tr>
      <w:tr>
        <w:trPr>
          <w:cantSplit/>
        </w:trPr>
        <w:tc>
          <w:tcPr>
            <w:tcW w:type="dxa" w:w="7030"/>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2"/>
              </w:rPr>
              <w:t>ECG clipping</w:t>
            </w:r>
          </w:p>
        </w:tc>
        <w:tc>
          <w:tcPr>
            <w:tcW w:type="dxa" w:w="2324"/>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2"/>
              </w:rPr>
              <w:t>4</w:t>
            </w:r>
          </w:p>
        </w:tc>
      </w:tr>
      <w:tr>
        <w:trPr>
          <w:cantSplit/>
        </w:trPr>
        <w:tc>
          <w:tcPr>
            <w:tcW w:type="dxa" w:w="7030"/>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2"/>
              </w:rPr>
              <w:t>Khoảng RR bất thường</w:t>
            </w:r>
          </w:p>
        </w:tc>
        <w:tc>
          <w:tcPr>
            <w:tcW w:type="dxa" w:w="2324"/>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2"/>
              </w:rPr>
              <w:t>3</w:t>
            </w:r>
          </w:p>
        </w:tc>
      </w:tr>
    </w:tbl>
    <w:p>
      <w:pPr>
        <w:spacing w:after="0"/>
      </w:pPr>
    </w:p>
    <w:p>
      <w:pPr>
        <w:spacing w:after="100"/>
        <w:jc w:val="both"/>
      </w:pPr>
      <w:r>
        <w:rPr>
          <w:rFonts w:ascii="Times New Roman" w:hAnsi="Times New Roman" w:eastAsia="Times New Roman" w:cs="Times New Roman"/>
          <w:i/>
          <w:sz w:val="21"/>
        </w:rPr>
        <w:t>Nguồn: Bảng 1 của đề cương do sinh viên cung cấp. Chưa kèm notebook G1, tệp NPZ/CSV hoặc log trong hồ sơ rà soát; các số này chưa được tái lập độc lập.</w:t>
      </w:r>
    </w:p>
    <w:p>
      <w:pPr>
        <w:jc w:val="both"/>
      </w:pPr>
      <w:r>
        <w:rPr>
          <w:rFonts w:ascii="Times New Roman" w:hAnsi="Times New Roman" w:eastAsia="Times New Roman" w:cs="Times New Roman"/>
        </w:rPr>
        <w:t>Các số cộng khớp: 43.385 − 16.432 = 26.812 + 134 + 4 + 3 = 26.953. Tuy nhiên, cộng khớp không chứng minh quy tắc QC đúng. Nếu “nhãn ngoài phạm vi” là điều kiện không được nghiên cứu, phải đổi tên thành “loại do phạm vi điều kiện”, không gọi là dữ liệu nhiễu. Mỗi lý do loại cần có định nghĩa và thứ tự đếm, tránh đếm trùng.</w:t>
      </w:r>
    </w:p>
    <w:p>
      <w:pPr>
        <w:pStyle w:val="Heading2"/>
      </w:pPr>
      <w:r>
        <w:t>2.3. Chia dữ liệu theo đối tượng</w:t>
      </w:r>
    </w:p>
    <w:p>
      <w:pPr>
        <w:pStyle w:val="Caption"/>
        <w:keepNext/>
        <w:jc w:val="left"/>
      </w:pPr>
      <w:r>
        <w:t>Bảng 2. Giữ nguyên danh sách chia theo đối tượng của bản đầu vào</w:t>
      </w:r>
    </w:p>
    <w:tbl>
      <w:tblPr>
        <w:tblW w:type="auto" w:w="0"/>
        <w:jc w:val="center"/>
        <w:tblLayout w:type="fixed"/>
        <w:tblLook w:firstColumn="1" w:firstRow="1" w:lastColumn="0" w:lastRow="0" w:noHBand="0" w:noVBand="1" w:val="04A0"/>
      </w:tblPr>
      <w:tblGrid>
        <w:gridCol w:w="1757"/>
        <w:gridCol w:w="4139"/>
        <w:gridCol w:w="3458"/>
      </w:tblGrid>
      <w:tr>
        <w:trPr>
          <w:cantSplit/>
          <w:tblHeader w:val="true"/>
        </w:trPr>
        <w:tc>
          <w:tcPr>
            <w:tcW w:type="dxa" w:w="1757"/>
            <w:vAlign w:val="center"/>
            <w:tcMar>
              <w:top w:w="75" w:type="dxa"/>
              <w:bottom w:w="75" w:type="dxa"/>
              <w:left w:w="100" w:type="dxa"/>
              <w:right w:w="100" w:type="dxa"/>
            </w:tcMar>
            <w:shd w:fill="E9EEF3"/>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sz w:val="22"/>
              </w:rPr>
              <w:t>Tập</w:t>
            </w:r>
          </w:p>
        </w:tc>
        <w:tc>
          <w:tcPr>
            <w:tcW w:type="dxa" w:w="4139"/>
            <w:vAlign w:val="center"/>
            <w:tcMar>
              <w:top w:w="75" w:type="dxa"/>
              <w:bottom w:w="75" w:type="dxa"/>
              <w:left w:w="100" w:type="dxa"/>
              <w:right w:w="100" w:type="dxa"/>
            </w:tcMar>
            <w:shd w:fill="E9EEF3"/>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sz w:val="22"/>
              </w:rPr>
              <w:t>Đối tượng</w:t>
            </w:r>
          </w:p>
        </w:tc>
        <w:tc>
          <w:tcPr>
            <w:tcW w:type="dxa" w:w="3458"/>
            <w:vAlign w:val="center"/>
            <w:tcMar>
              <w:top w:w="75" w:type="dxa"/>
              <w:bottom w:w="75" w:type="dxa"/>
              <w:left w:w="100" w:type="dxa"/>
              <w:right w:w="100" w:type="dxa"/>
            </w:tcMar>
            <w:shd w:fill="E9EEF3"/>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sz w:val="22"/>
              </w:rPr>
              <w:t>Số cửa sổ G1 báo cáo</w:t>
            </w:r>
          </w:p>
        </w:tc>
      </w:tr>
      <w:tr>
        <w:trPr>
          <w:cantSplit/>
        </w:trPr>
        <w:tc>
          <w:tcPr>
            <w:tcW w:type="dxa" w:w="1757"/>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2"/>
              </w:rPr>
              <w:t>Huấn luyện</w:t>
            </w:r>
          </w:p>
        </w:tc>
        <w:tc>
          <w:tcPr>
            <w:tcW w:type="dxa" w:w="4139"/>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2"/>
              </w:rPr>
              <w:t>S2–S10 (9 người)</w:t>
            </w:r>
          </w:p>
        </w:tc>
        <w:tc>
          <w:tcPr>
            <w:tcW w:type="dxa" w:w="3458"/>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2"/>
              </w:rPr>
              <w:t>9.784</w:t>
            </w:r>
          </w:p>
        </w:tc>
      </w:tr>
      <w:tr>
        <w:trPr>
          <w:cantSplit/>
        </w:trPr>
        <w:tc>
          <w:tcPr>
            <w:tcW w:type="dxa" w:w="1757"/>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2"/>
              </w:rPr>
              <w:t>Thẩm định</w:t>
            </w:r>
          </w:p>
        </w:tc>
        <w:tc>
          <w:tcPr>
            <w:tcW w:type="dxa" w:w="4139"/>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2"/>
              </w:rPr>
              <w:t>S11, S13 (2 người)</w:t>
            </w:r>
          </w:p>
        </w:tc>
        <w:tc>
          <w:tcPr>
            <w:tcW w:type="dxa" w:w="3458"/>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2"/>
              </w:rPr>
              <w:t>2.208</w:t>
            </w:r>
          </w:p>
        </w:tc>
      </w:tr>
      <w:tr>
        <w:trPr>
          <w:cantSplit/>
        </w:trPr>
        <w:tc>
          <w:tcPr>
            <w:tcW w:type="dxa" w:w="1757"/>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2"/>
              </w:rPr>
              <w:t>Kiểm thử</w:t>
            </w:r>
          </w:p>
        </w:tc>
        <w:tc>
          <w:tcPr>
            <w:tcW w:type="dxa" w:w="4139"/>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2"/>
              </w:rPr>
              <w:t>S14–S17 (4 người)</w:t>
            </w:r>
          </w:p>
        </w:tc>
        <w:tc>
          <w:tcPr>
            <w:tcW w:type="dxa" w:w="3458"/>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2"/>
              </w:rPr>
              <w:t>4.440</w:t>
            </w:r>
          </w:p>
        </w:tc>
      </w:tr>
    </w:tbl>
    <w:p>
      <w:pPr>
        <w:spacing w:after="0"/>
      </w:pPr>
    </w:p>
    <w:p>
      <w:pPr>
        <w:spacing w:after="100"/>
        <w:jc w:val="both"/>
      </w:pPr>
      <w:r>
        <w:rPr>
          <w:rFonts w:ascii="Times New Roman" w:hAnsi="Times New Roman" w:eastAsia="Times New Roman" w:cs="Times New Roman"/>
          <w:i/>
          <w:sz w:val="21"/>
        </w:rPr>
        <w:t>Tổng số cửa sổ là 16.432. Sau mọi thay đổi tiền xử lý/QC phải tái xuất số đếm; không giữ nguyên các con số cũ như kết quả của quy trình mới. Khóa danh sách đối tượng trước huấn luyện.</w:t>
      </w:r>
    </w:p>
    <w:p>
      <w:pPr>
        <w:pStyle w:val="Heading2"/>
        <w:pageBreakBefore/>
      </w:pPr>
      <w:r>
        <w:t>2.4. Đồng bộ và tiền xử lý BVP</w:t>
      </w:r>
    </w:p>
    <w:p>
      <w:pPr>
        <w:jc w:val="both"/>
      </w:pPr>
      <w:r>
        <w:rPr>
          <w:rFonts w:ascii="Times New Roman" w:hAnsi="Times New Roman" w:eastAsia="Times New Roman" w:cs="Times New Roman"/>
        </w:rPr>
        <w:t>Ưu tiên tệp dữ liệu đã đồng bộ do WESAD cung cấp. Đối chiếu khóa dữ liệu, đơn vị, tần số của từng kênh và trục thời gian của nhãn với README đi kèm. Không cắt BVP và ECG bằng cùng chỉ số mẫu vì hai tín hiệu có tần số lấy mẫu khác nhau.</w:t>
      </w:r>
    </w:p>
    <w:p>
      <w:pPr>
        <w:jc w:val="both"/>
      </w:pPr>
      <w:r>
        <w:rPr>
          <w:rFonts w:ascii="Times New Roman" w:hAnsi="Times New Roman" w:eastAsia="Times New Roman" w:cs="Times New Roman"/>
        </w:rPr>
        <w:t>Với thời điểm bắt đầu tᵢ, cửa sổ được định nghĩa theo khoảng thời gian nửa mở [tᵢ, tᵢ + 8 s), bước nhảy 2 s. Chỉ giữ khoảng mà BVP, ECG và nhãn đều có dữ liệu hợp lệ. Khi tệp dùng mốc thời gian chung, chỉ số của mỗi kênh được ánh xạ từ thời gian bằng chính tần số lấy mẫu của kênh đó; ghi rõ cách làm tròn và kiểm tra sai lệch do biên.</w:t>
      </w:r>
    </w:p>
    <w:p>
      <w:pPr>
        <w:pStyle w:val="Caption"/>
        <w:keepNext/>
        <w:jc w:val="left"/>
      </w:pPr>
      <w:r>
        <w:t>Bảng 3. Quy trình dự kiến để khóa phiên bản tiền xử lý</w:t>
      </w:r>
    </w:p>
    <w:tbl>
      <w:tblPr>
        <w:tblW w:type="auto" w:w="0"/>
        <w:jc w:val="center"/>
        <w:tblLayout w:type="fixed"/>
        <w:tblLook w:firstColumn="1" w:firstRow="1" w:lastColumn="0" w:lastRow="0" w:noHBand="0" w:noVBand="1" w:val="04A0"/>
      </w:tblPr>
      <w:tblGrid>
        <w:gridCol w:w="1701"/>
        <w:gridCol w:w="7654"/>
      </w:tblGrid>
      <w:tr>
        <w:trPr>
          <w:cantSplit/>
          <w:tblHeader w:val="true"/>
        </w:trPr>
        <w:tc>
          <w:tcPr>
            <w:tcW w:type="dxa" w:w="1701"/>
            <w:vAlign w:val="center"/>
            <w:tcMar>
              <w:top w:w="75" w:type="dxa"/>
              <w:bottom w:w="75" w:type="dxa"/>
              <w:left w:w="100" w:type="dxa"/>
              <w:right w:w="100" w:type="dxa"/>
            </w:tcMar>
            <w:shd w:fill="E9EEF3"/>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sz w:val="21"/>
              </w:rPr>
              <w:t>Bước</w:t>
            </w:r>
          </w:p>
        </w:tc>
        <w:tc>
          <w:tcPr>
            <w:tcW w:type="dxa" w:w="7654"/>
            <w:vAlign w:val="center"/>
            <w:tcMar>
              <w:top w:w="75" w:type="dxa"/>
              <w:bottom w:w="75" w:type="dxa"/>
              <w:left w:w="100" w:type="dxa"/>
              <w:right w:w="100" w:type="dxa"/>
            </w:tcMar>
            <w:shd w:fill="E9EEF3"/>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sz w:val="21"/>
              </w:rPr>
              <w:t>Thực hiện và kiểm tra</w:t>
            </w:r>
          </w:p>
        </w:tc>
      </w:tr>
      <w:tr>
        <w:trPr>
          <w:cantSplit/>
        </w:trPr>
        <w:tc>
          <w:tcPr>
            <w:tcW w:type="dxa" w:w="1701"/>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1. Kiểm tra đầu vào</w:t>
            </w:r>
          </w:p>
        </w:tc>
        <w:tc>
          <w:tcPr>
            <w:tcW w:type="dxa" w:w="7654"/>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Kiểm tra định danh đối tượng, tần số, độ dài, mốc thời gian, NaN/Inf và đoạn mất dữ liệu. Không nối hai đoạn rời như một tín hiệu liên tục.</w:t>
            </w:r>
          </w:p>
        </w:tc>
      </w:tr>
      <w:tr>
        <w:trPr>
          <w:cantSplit/>
        </w:trPr>
        <w:tc>
          <w:tcPr>
            <w:tcW w:type="dxa" w:w="1701"/>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2. Hạ mẫu</w:t>
            </w:r>
          </w:p>
        </w:tc>
        <w:tc>
          <w:tcPr>
            <w:tcW w:type="dxa" w:w="7654"/>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BVP 64 → 32 Hz bằng bộ lọc FIR polyphase chống aliasing, chẳng hạn resample_poly với up=1, down=2. Lưu hệ số/cấu hình lọc, padding và phiên bản thư viện [6].</w:t>
            </w:r>
          </w:p>
        </w:tc>
      </w:tr>
      <w:tr>
        <w:trPr>
          <w:cantSplit/>
        </w:trPr>
        <w:tc>
          <w:tcPr>
            <w:tcW w:type="dxa" w:w="1701"/>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3. Lọc thông dải</w:t>
            </w:r>
          </w:p>
        </w:tc>
        <w:tc>
          <w:tcPr>
            <w:tcW w:type="dxa" w:w="7654"/>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Giữ dải 0,5–8 Hz của bản đầu vào. Cấu hình khởi đầu đề xuất: scipy.signal.butter(N=4, ..., fs=32, output="sos") và sosfiltfilt cho phân tích ngoại tuyến; lưu toàn bộ hệ số SOS [6].</w:t>
            </w:r>
          </w:p>
        </w:tc>
      </w:tr>
      <w:tr>
        <w:trPr>
          <w:cantSplit/>
        </w:trPr>
        <w:tc>
          <w:tcPr>
            <w:tcW w:type="dxa" w:w="1701"/>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4. Cắt cửa sổ</w:t>
            </w:r>
          </w:p>
        </w:tc>
        <w:tc>
          <w:tcPr>
            <w:tcW w:type="dxa" w:w="7654"/>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8 s × 32 Hz = 256 mẫu; bước 2 s × 32 Hz = 64 mẫu. Áp dụng cùng quy tắc biên cho các phương pháp; không ghép qua khoảng mất dữ liệu.</w:t>
            </w:r>
          </w:p>
        </w:tc>
      </w:tr>
      <w:tr>
        <w:trPr>
          <w:cantSplit/>
        </w:trPr>
        <w:tc>
          <w:tcPr>
            <w:tcW w:type="dxa" w:w="1701"/>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5. Chọn điều kiện</w:t>
            </w:r>
          </w:p>
        </w:tc>
        <w:tc>
          <w:tcPr>
            <w:tcW w:type="dxa" w:w="7654"/>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Tính tỷ lệ của từng nhãn trên toàn cửa sổ trước khi loại nhãn khác. Giữ cửa sổ có Baseline, Stress hoặc Amusement chiếm ≥ 90%; không tính độ thuần sau khi đã xóa phần nhãn không mong muốn.</w:t>
            </w:r>
          </w:p>
        </w:tc>
      </w:tr>
      <w:tr>
        <w:trPr>
          <w:cantSplit/>
        </w:trPr>
        <w:tc>
          <w:tcPr>
            <w:tcW w:type="dxa" w:w="1701"/>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6. Chuẩn hóa</w:t>
            </w:r>
          </w:p>
        </w:tc>
        <w:tc>
          <w:tcPr>
            <w:tcW w:type="dxa" w:w="7654"/>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Chuẩn hóa từng cửa sổ BVP bằng trung bình và độ lệch chuẩn của chính cửa sổ đó. Kiểm tra cửa sổ phẳng/gần phẳng trước chuẩn hóa; không dùng z-score để che lỗi tín hiệu.</w:t>
            </w:r>
          </w:p>
        </w:tc>
      </w:tr>
    </w:tbl>
    <w:p>
      <w:pPr>
        <w:spacing w:after="0"/>
      </w:pPr>
    </w:p>
    <w:p>
      <w:pPr>
        <w:spacing w:before="60" w:after="120"/>
        <w:jc w:val="center"/>
      </w:pPr>
      <m:oMath>
        <m:sSubSup>
          <m:e>
            <m:r>
              <m:t>x</m:t>
            </m:r>
          </m:e>
          <m:sub>
            <m:r>
              <m:t>i</m:t>
            </m:r>
            <m:r>
              <m:rPr>
                <m:sty m:val="p"/>
              </m:rPr>
              <m:t>,</m:t>
            </m:r>
            <m:r>
              <m:t>k</m:t>
            </m:r>
          </m:sub>
          <m:sup>
            <m:r>
              <m:rPr>
                <m:sty m:val="p"/>
              </m:rPr>
              <m:t>′</m:t>
            </m:r>
          </m:sup>
        </m:sSubSup>
        <m:r>
          <m:rPr>
            <m:sty m:val="p"/>
          </m:rPr>
          <m:t>=</m:t>
        </m:r>
        <m:f>
          <m:fPr>
            <m:type m:val="bar"/>
          </m:fPr>
          <m:num>
            <m:sSub>
              <m:e>
                <m:r>
                  <m:t>x</m:t>
                </m:r>
              </m:e>
              <m:sub>
                <m:r>
                  <m:t>i</m:t>
                </m:r>
                <m:r>
                  <m:rPr>
                    <m:sty m:val="p"/>
                  </m:rPr>
                  <m:t>,</m:t>
                </m:r>
                <m:r>
                  <m:t>k</m:t>
                </m:r>
              </m:sub>
            </m:sSub>
            <m:r>
              <m:rPr>
                <m:sty m:val="p"/>
              </m:rPr>
              <m:t>−</m:t>
            </m:r>
            <m:sSub>
              <m:e>
                <m:r>
                  <m:t>μ</m:t>
                </m:r>
              </m:e>
              <m:sub>
                <m:r>
                  <m:t>i</m:t>
                </m:r>
              </m:sub>
            </m:sSub>
          </m:num>
          <m:den>
            <m:sSub>
              <m:e>
                <m:r>
                  <m:t>σ</m:t>
                </m:r>
              </m:e>
              <m:sub>
                <m:r>
                  <m:t>i</m:t>
                </m:r>
              </m:sub>
            </m:sSub>
            <m:r>
              <m:rPr>
                <m:sty m:val="p"/>
              </m:rPr>
              <m:t>+</m:t>
            </m:r>
            <m:r>
              <m:t>ε</m:t>
            </m:r>
          </m:den>
        </m:f>
        <m:r>
          <m:rPr>
            <m:sty m:val="p"/>
          </m:rPr>
          <m:t>,</m:t>
        </m:r>
        <m:r>
          <m:t>  </m:t>
        </m:r>
        <m:r>
          <m:t>ε</m:t>
        </m:r>
        <m:r>
          <m:rPr>
            <m:sty m:val="p"/>
          </m:rPr>
          <m:t>=</m:t>
        </m:r>
        <m:sSup>
          <m:e>
            <m:r>
              <m:t>10</m:t>
            </m:r>
          </m:e>
          <m:sup>
            <m:r>
              <m:rPr>
                <m:sty m:val="p"/>
              </m:rPr>
              <m:t>−</m:t>
            </m:r>
            <m:r>
              <m:t>8</m:t>
            </m:r>
          </m:sup>
        </m:sSup>
        <m:r>
          <m:rPr>
            <m:sty m:val="p"/>
          </m:rPr>
          <m:t>.</m:t>
        </m:r>
      </m:oMath>
    </w:p>
    <w:p>
      <w:pPr>
        <w:jc w:val="both"/>
      </w:pPr>
      <w:r>
        <w:rPr>
          <w:rFonts w:ascii="Times New Roman" w:hAnsi="Times New Roman" w:eastAsia="Times New Roman" w:cs="Times New Roman"/>
        </w:rPr>
        <w:t>Các cửa sổ chồng lấn 75%. Chia dữ liệu theo đối tượng ngăn cùng người xuất hiện trong các tập; chuẩn hóa riêng từng cửa sổ không đòi hỏi học thống kê từ tập kiểm thử. Nếu bổ sung bất kỳ biến đổi có tham số học được nào, chỉ ước lượng tham số trên tập huấn luyện.</w:t>
      </w:r>
    </w:p>
    <w:p>
      <w:pPr>
        <w:spacing w:after="100"/>
        <w:jc w:val="both"/>
      </w:pPr>
      <w:r>
        <w:rPr>
          <w:rFonts w:ascii="Times New Roman" w:hAnsi="Times New Roman" w:eastAsia="Times New Roman" w:cs="Times New Roman"/>
          <w:i/>
          <w:sz w:val="21"/>
        </w:rPr>
        <w:t>Giới hạn quan trọng: lọc tiến–lùi và hạ mẫu căn giữa trên toàn bản ghi là xử lý ngoại tuyến. Không dùng kết quả này để tuyên bố xử lý trực tuyến nhân quả. Thực nghiệm luồng phải có bộ lọc/bộ đệm riêng và đánh giá lại với đúng tiền xử lý đó.</w:t>
      </w:r>
    </w:p>
    <w:p>
      <w:pPr>
        <w:pStyle w:val="Heading2"/>
        <w:pageBreakBefore/>
      </w:pPr>
      <w:r>
        <w:t>2.5. Tạo HR tham chiếu từ ECG và kiểm soát chất lượng</w:t>
      </w:r>
    </w:p>
    <w:p>
      <w:pPr>
        <w:jc w:val="both"/>
      </w:pPr>
      <w:r>
        <w:rPr>
          <w:rFonts w:ascii="Times New Roman" w:hAnsi="Times New Roman" w:eastAsia="Times New Roman" w:cs="Times New Roman"/>
        </w:rPr>
        <w:t>HR tham chiếu là đại lượng suy ra từ ECG, không phải nhãn chuẩn tuyệt đối. Phát hiện QRS trên từng đoạn ECG liên tục có đủ ngữ cảnh, sau đó chọn các đỉnh thuộc cùng cửa sổ BVP. Dải lọc ECG 5–25 Hz của bản đầu vào là cấu hình dự kiến, không tự bảo đảm phát hiện R chính xác.</w:t>
      </w:r>
    </w:p>
    <w:p>
      <w:pPr>
        <w:jc w:val="both"/>
      </w:pPr>
      <w:r>
        <w:rPr>
          <w:rFonts w:ascii="Times New Roman" w:hAnsi="Times New Roman" w:eastAsia="Times New Roman" w:cs="Times New Roman"/>
        </w:rPr>
        <w:t>Dùng bộ phát hiện QRS có mô tả thuật toán, dự kiến một bản triển khai Pan–Tompkins [5]. Phải ghi tên thư viện, phiên bản, cách lọc, khoảng trơ theo giây, cách xử lý cực tính và bước hiệu chỉnh vị trí đỉnh. Không áp dụng nguyên hệ số bộ lọc thiết kế cho tần số khác vào ECG 700 Hz. Nếu dùng bộ lọc 5–25 Hz thay cho bộ lọc gốc, nêu rõ đây là cấu hình triển khai điều chỉnh.</w:t>
      </w:r>
    </w:p>
    <w:p>
      <w:pPr>
        <w:jc w:val="both"/>
      </w:pPr>
      <w:r>
        <w:rPr>
          <w:rFonts w:ascii="Times New Roman" w:hAnsi="Times New Roman" w:eastAsia="Times New Roman" w:cs="Times New Roman"/>
        </w:rPr>
        <w:t>Gọi tᵢ,₁ &lt; … &lt; tᵢ,ₙ là các thời điểm đỉnh R liên tiếp được chấp nhận trong cửa sổ, tính bằng giây; RRⱼ = tᵢ,ⱼ₊₁ − tᵢ,ⱼ. Nhịp tim tham chiếu được định nghĩa nhất quán là:</w:t>
      </w:r>
    </w:p>
    <w:p>
      <w:pPr>
        <w:spacing w:before="60" w:after="120"/>
        <w:jc w:val="center"/>
      </w:pPr>
      <m:oMath>
        <m:r>
          <m:t>H</m:t>
        </m:r>
        <m:sSubSup>
          <m:e>
            <m:r>
              <m:t>R</m:t>
            </m:r>
          </m:e>
          <m:sub>
            <m:r>
              <m:t>i</m:t>
            </m:r>
          </m:sub>
          <m:sup>
            <m:r>
              <m:rPr>
                <m:sty m:val="p"/>
              </m:rPr>
              <m:t>r</m:t>
            </m:r>
            <m:r>
              <m:rPr>
                <m:sty m:val="p"/>
              </m:rPr>
              <m:t>e</m:t>
            </m:r>
            <m:r>
              <m:rPr>
                <m:sty m:val="p"/>
              </m:rPr>
              <m:t>f</m:t>
            </m:r>
          </m:sup>
        </m:sSubSup>
        <m:r>
          <m:rPr>
            <m:sty m:val="p"/>
          </m:rPr>
          <m:t>=</m:t>
        </m:r>
        <m:f>
          <m:fPr>
            <m:type m:val="bar"/>
          </m:fPr>
          <m:num>
            <m:r>
              <m:t>60</m:t>
            </m:r>
          </m:num>
          <m:den>
            <m:sSub>
              <m:e>
                <m:bar>
                  <m:barPr>
                    <m:pos m:val="top"/>
                  </m:barPr>
                  <m:e>
                    <m:r>
                      <m:t>R</m:t>
                    </m:r>
                    <m:r>
                      <m:t>R</m:t>
                    </m:r>
                  </m:e>
                </m:bar>
              </m:e>
              <m:sub>
                <m:r>
                  <m:t>i</m:t>
                </m:r>
              </m:sub>
            </m:sSub>
          </m:den>
        </m:f>
        <m:r>
          <m:rPr>
            <m:sty m:val="p"/>
          </m:rPr>
          <m:t>=</m:t>
        </m:r>
        <m:r>
          <m:t>60</m:t>
        </m:r>
        <m:r>
          <m:t> </m:t>
        </m:r>
        <m:f>
          <m:fPr>
            <m:type m:val="bar"/>
          </m:fPr>
          <m:num>
            <m:sSub>
              <m:e>
                <m:r>
                  <m:t>n</m:t>
                </m:r>
              </m:e>
              <m:sub>
                <m:r>
                  <m:t>i</m:t>
                </m:r>
              </m:sub>
            </m:sSub>
            <m:r>
              <m:rPr>
                <m:sty m:val="p"/>
              </m:rPr>
              <m:t>−</m:t>
            </m:r>
            <m:r>
              <m:t>1</m:t>
            </m:r>
          </m:num>
          <m:den>
            <m:sSub>
              <m:e>
                <m:r>
                  <m:t>t</m:t>
                </m:r>
              </m:e>
              <m:sub>
                <m:r>
                  <m:t>i</m:t>
                </m:r>
                <m:r>
                  <m:rPr>
                    <m:sty m:val="p"/>
                  </m:rPr>
                  <m:t>,</m:t>
                </m:r>
                <m:sSub>
                  <m:e>
                    <m:r>
                      <m:t>n</m:t>
                    </m:r>
                  </m:e>
                  <m:sub>
                    <m:r>
                      <m:t>i</m:t>
                    </m:r>
                  </m:sub>
                </m:sSub>
              </m:sub>
            </m:sSub>
            <m:r>
              <m:rPr>
                <m:sty m:val="p"/>
              </m:rPr>
              <m:t>−</m:t>
            </m:r>
            <m:sSub>
              <m:e>
                <m:r>
                  <m:t>t</m:t>
                </m:r>
              </m:e>
              <m:sub>
                <m:r>
                  <m:t>i</m:t>
                </m:r>
                <m:r>
                  <m:rPr>
                    <m:sty m:val="p"/>
                  </m:rPr>
                  <m:t>,</m:t>
                </m:r>
                <m:r>
                  <m:t>1</m:t>
                </m:r>
              </m:sub>
            </m:sSub>
          </m:den>
        </m:f>
        <m:r>
          <m:t> </m:t>
        </m:r>
        <m:d>
          <m:dPr>
            <m:begChr m:val="("/>
            <m:endChr m:val=")"/>
            <m:sepChr m:val=""/>
            <m:grow/>
          </m:dPr>
          <m:e>
            <m:r>
              <m:rPr>
                <m:sty m:val="p"/>
              </m:rPr>
              <m:t>B</m:t>
            </m:r>
            <m:r>
              <m:rPr>
                <m:sty m:val="p"/>
              </m:rPr>
              <m:t>P</m:t>
            </m:r>
            <m:r>
              <m:rPr>
                <m:sty m:val="p"/>
              </m:rPr>
              <m:t>M</m:t>
            </m:r>
          </m:e>
        </m:d>
        <m:r>
          <m:rPr>
            <m:sty m:val="p"/>
          </m:rPr>
          <m:t>.</m:t>
        </m:r>
      </m:oMath>
    </w:p>
    <w:p>
      <w:pPr>
        <w:jc w:val="both"/>
      </w:pPr>
      <w:r>
        <w:rPr>
          <w:rFonts w:ascii="Times New Roman" w:hAnsi="Times New Roman" w:eastAsia="Times New Roman" w:cs="Times New Roman"/>
        </w:rPr>
        <w:t>Công thức trên dùng các khoảng RR hoàn chỉnh giữa đỉnh đầu và đỉnh cuối, không tính hai phần chu kỳ ở biên cửa sổ. Nó chỉ tương đương 60/trung bình RR khi dùng đầy đủ các RR liên tiếp đó. Không xóa một số RR rồi vẫn giữ nguyên công thức số đỉnh/thời gian đầu–cuối. Trong thí nghiệm chính, loại cửa sổ có tham chiếu không đáng tin thay vì sửa nhãn theo dự đoán của CNN.</w:t>
      </w:r>
    </w:p>
    <w:p>
      <w:pPr>
        <w:pStyle w:val="Caption"/>
        <w:keepNext/>
        <w:jc w:val="left"/>
      </w:pPr>
      <w:r>
        <w:t>Bảng 4. Quy tắc và hồ sơ kiểm tra nhãn cần hoàn thành trước G2</w:t>
      </w:r>
    </w:p>
    <w:tbl>
      <w:tblPr>
        <w:tblW w:type="auto" w:w="0"/>
        <w:jc w:val="center"/>
        <w:tblLayout w:type="fixed"/>
        <w:tblLook w:firstColumn="1" w:firstRow="1" w:lastColumn="0" w:lastRow="0" w:noHBand="0" w:noVBand="1" w:val="04A0"/>
      </w:tblPr>
      <w:tblGrid>
        <w:gridCol w:w="2041"/>
        <w:gridCol w:w="7313"/>
      </w:tblGrid>
      <w:tr>
        <w:trPr>
          <w:cantSplit/>
          <w:tblHeader w:val="true"/>
        </w:trPr>
        <w:tc>
          <w:tcPr>
            <w:tcW w:type="dxa" w:w="2041"/>
            <w:vAlign w:val="center"/>
            <w:tcMar>
              <w:top w:w="75" w:type="dxa"/>
              <w:bottom w:w="75" w:type="dxa"/>
              <w:left w:w="100" w:type="dxa"/>
              <w:right w:w="100" w:type="dxa"/>
            </w:tcMar>
            <w:shd w:fill="E9EEF3"/>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sz w:val="21"/>
              </w:rPr>
              <w:t>Nội dung</w:t>
            </w:r>
          </w:p>
        </w:tc>
        <w:tc>
          <w:tcPr>
            <w:tcW w:type="dxa" w:w="7313"/>
            <w:vAlign w:val="center"/>
            <w:tcMar>
              <w:top w:w="75" w:type="dxa"/>
              <w:bottom w:w="75" w:type="dxa"/>
              <w:left w:w="100" w:type="dxa"/>
              <w:right w:w="100" w:type="dxa"/>
            </w:tcMar>
            <w:shd w:fill="E9EEF3"/>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sz w:val="21"/>
              </w:rPr>
              <w:t>Yêu cầu</w:t>
            </w:r>
          </w:p>
        </w:tc>
      </w:tr>
      <w:tr>
        <w:trPr>
          <w:cantSplit/>
        </w:trPr>
        <w:tc>
          <w:tcPr>
            <w:tcW w:type="dxa" w:w="2041"/>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Tính đủ và hữu hạn</w:t>
            </w:r>
          </w:p>
        </w:tc>
        <w:tc>
          <w:tcPr>
            <w:tcW w:type="dxa" w:w="7313"/>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Đỉnh tăng theo thời gian; không có NaN/Inf; dự kiến yêu cầu ít nhất 4 đỉnh trong 8 s. Đây là lựa chọn QC của đề tài, không phải quy định của WESAD.</w:t>
            </w:r>
          </w:p>
        </w:tc>
      </w:tr>
      <w:tr>
        <w:trPr>
          <w:cantSplit/>
        </w:trPr>
        <w:tc>
          <w:tcPr>
            <w:tcW w:type="dxa" w:w="2041"/>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Miền HR nghiên cứu</w:t>
            </w:r>
          </w:p>
        </w:tc>
        <w:tc>
          <w:tcPr>
            <w:tcW w:type="dxa" w:w="7313"/>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Giữ HR tham chiếu trong 35–200 BPM, thống nhất với miền tìm đỉnh FFT. Loại ngoài miền là giới hạn nghiên cứu, không phải kết luận bệnh lý.</w:t>
            </w:r>
          </w:p>
        </w:tc>
      </w:tr>
      <w:tr>
        <w:trPr>
          <w:cantSplit/>
        </w:trPr>
        <w:tc>
          <w:tcPr>
            <w:tcW w:type="dxa" w:w="2041"/>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Chất lượng ECG</w:t>
            </w:r>
          </w:p>
        </w:tc>
        <w:tc>
          <w:tcPr>
            <w:tcW w:type="dxa" w:w="7313"/>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Phát hiện mất tín hiệu, đoạn phẳng, clipping và nghi ngờ bỏ/thừa QRS. Clipping phải có tiêu chí bão hòa/đoạn plateau rõ ràng; chỉ chạm cực trị của cửa sổ chưa đủ kết luận.</w:t>
            </w:r>
          </w:p>
        </w:tc>
      </w:tr>
      <w:tr>
        <w:trPr>
          <w:cantSplit/>
        </w:trPr>
        <w:tc>
          <w:tcPr>
            <w:tcW w:type="dxa" w:w="2041"/>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RR nghi ngờ</w:t>
            </w:r>
          </w:p>
        </w:tc>
        <w:tc>
          <w:tcPr>
            <w:tcW w:type="dxa" w:w="7313"/>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Lưu RR và cờ cảnh báo; không tự xem mọi biến thiên RR lớn là nhiễu. Ngưỡng cần được kiểm tra trên train/validation và khóa trước đánh giá cuối.</w:t>
            </w:r>
          </w:p>
        </w:tc>
      </w:tr>
      <w:tr>
        <w:trPr>
          <w:cantSplit/>
        </w:trPr>
        <w:tc>
          <w:tcPr>
            <w:tcW w:type="dxa" w:w="2041"/>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Kiểm tra trực quan</w:t>
            </w:r>
          </w:p>
        </w:tc>
        <w:tc>
          <w:tcPr>
            <w:tcW w:type="dxa" w:w="7313"/>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Kế hoạch: tối thiểu 5 cửa sổ/người/điều kiện nếu đủ dữ liệu, cùng các trường hợp bị gắn cờ; vẽ ECG và đỉnh R. Kiểm tra thủ công kỹ thuật không được gọi là chú giải chuyên gia y khoa.</w:t>
            </w:r>
          </w:p>
        </w:tc>
      </w:tr>
    </w:tbl>
    <w:p>
      <w:pPr>
        <w:spacing w:after="0"/>
      </w:pPr>
    </w:p>
    <w:p>
      <w:pPr>
        <w:jc w:val="both"/>
      </w:pPr>
      <w:r>
        <w:rPr>
          <w:rFonts w:ascii="Times New Roman" w:hAnsi="Times New Roman" w:eastAsia="Times New Roman" w:cs="Times New Roman"/>
        </w:rPr>
        <w:t>Lưu window_id, subject_id, split, t_start/t_end, condition, purity, HR_ref, số đỉnh, RR, cờ QC và lý do loại. QC không được phụ thuộc sai số CNN/FFT. Kiểm tra nhãn test theo quy tắc đã khóa và trước khi xem dự đoán; nếu sửa quy tắc, phải tạo phiên bản dữ liệu mới và tái chạy tất cả đối chứng.</w:t>
      </w:r>
    </w:p>
    <w:p>
      <w:pPr>
        <w:pStyle w:val="Heading1"/>
        <w:pageBreakBefore/>
      </w:pPr>
      <w:r>
        <w:t>3. PHƯƠNG PHÁP ĐỀ XUẤT</w:t>
      </w:r>
    </w:p>
    <w:p>
      <w:pPr>
        <w:pStyle w:val="Heading2"/>
      </w:pPr>
      <w:r>
        <w:t>3.1. Luồng thực nghiệm và ranh giới thông tin</w:t>
      </w:r>
    </w:p>
    <w:p>
      <w:pPr>
        <w:pStyle w:val="Caption"/>
        <w:keepNext/>
        <w:jc w:val="left"/>
      </w:pPr>
      <w:r>
        <w:t>Bảng 5. Tách nhánh suy luận khỏi nhánh tham chiếu</w:t>
      </w:r>
    </w:p>
    <w:tbl>
      <w:tblPr>
        <w:tblW w:type="auto" w:w="0"/>
        <w:jc w:val="center"/>
        <w:tblLayout w:type="fixed"/>
        <w:tblLook w:firstColumn="1" w:firstRow="1" w:lastColumn="0" w:lastRow="0" w:noHBand="0" w:noVBand="1" w:val="04A0"/>
      </w:tblPr>
      <w:tblGrid>
        <w:gridCol w:w="1531"/>
        <w:gridCol w:w="4649"/>
        <w:gridCol w:w="3175"/>
      </w:tblGrid>
      <w:tr>
        <w:trPr>
          <w:cantSplit/>
          <w:tblHeader w:val="true"/>
        </w:trPr>
        <w:tc>
          <w:tcPr>
            <w:tcW w:type="dxa" w:w="1531"/>
            <w:vAlign w:val="center"/>
            <w:tcMar>
              <w:top w:w="75" w:type="dxa"/>
              <w:bottom w:w="75" w:type="dxa"/>
              <w:left w:w="100" w:type="dxa"/>
              <w:right w:w="100" w:type="dxa"/>
            </w:tcMar>
            <w:shd w:fill="E9EEF3"/>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sz w:val="22"/>
              </w:rPr>
              <w:t>Nhánh</w:t>
            </w:r>
          </w:p>
        </w:tc>
        <w:tc>
          <w:tcPr>
            <w:tcW w:type="dxa" w:w="4649"/>
            <w:vAlign w:val="center"/>
            <w:tcMar>
              <w:top w:w="75" w:type="dxa"/>
              <w:bottom w:w="75" w:type="dxa"/>
              <w:left w:w="100" w:type="dxa"/>
              <w:right w:w="100" w:type="dxa"/>
            </w:tcMar>
            <w:shd w:fill="E9EEF3"/>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sz w:val="22"/>
              </w:rPr>
              <w:t>Luồng xử lý</w:t>
            </w:r>
          </w:p>
        </w:tc>
        <w:tc>
          <w:tcPr>
            <w:tcW w:type="dxa" w:w="3175"/>
            <w:vAlign w:val="center"/>
            <w:tcMar>
              <w:top w:w="75" w:type="dxa"/>
              <w:bottom w:w="75" w:type="dxa"/>
              <w:left w:w="100" w:type="dxa"/>
              <w:right w:w="100" w:type="dxa"/>
            </w:tcMar>
            <w:shd w:fill="E9EEF3"/>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sz w:val="22"/>
              </w:rPr>
              <w:t>Vai trò</w:t>
            </w:r>
          </w:p>
        </w:tc>
      </w:tr>
      <w:tr>
        <w:trPr>
          <w:cantSplit/>
        </w:trPr>
        <w:tc>
          <w:tcPr>
            <w:tcW w:type="dxa" w:w="1531"/>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2"/>
              </w:rPr>
              <w:t>BVP</w:t>
            </w:r>
          </w:p>
        </w:tc>
        <w:tc>
          <w:tcPr>
            <w:tcW w:type="dxa" w:w="4649"/>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2"/>
              </w:rPr>
              <w:t>64 Hz → 32 Hz → lọc → cửa sổ 8 s → z-score → FFT hoặc CNN</w:t>
            </w:r>
          </w:p>
        </w:tc>
        <w:tc>
          <w:tcPr>
            <w:tcW w:type="dxa" w:w="3175"/>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2"/>
              </w:rPr>
              <w:t>Tạo HR dự đoán; không nhận nhãn điều kiện hoặc ECG.</w:t>
            </w:r>
          </w:p>
        </w:tc>
      </w:tr>
      <w:tr>
        <w:trPr>
          <w:cantSplit/>
        </w:trPr>
        <w:tc>
          <w:tcPr>
            <w:tcW w:type="dxa" w:w="1531"/>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2"/>
              </w:rPr>
              <w:t>ECG</w:t>
            </w:r>
          </w:p>
        </w:tc>
        <w:tc>
          <w:tcPr>
            <w:tcW w:type="dxa" w:w="4649"/>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2"/>
              </w:rPr>
              <w:t>ECG 700 Hz → phát hiện QRS → kiểm tra đỉnh/RR → HR_ref</w:t>
            </w:r>
          </w:p>
        </w:tc>
        <w:tc>
          <w:tcPr>
            <w:tcW w:type="dxa" w:w="3175"/>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2"/>
              </w:rPr>
              <w:t>Tạo nhãn huấn luyện và giá trị tham chiếu đánh giá; không thuộc đầu vào suy luận.</w:t>
            </w:r>
          </w:p>
        </w:tc>
      </w:tr>
      <w:tr>
        <w:trPr>
          <w:cantSplit/>
        </w:trPr>
        <w:tc>
          <w:tcPr>
            <w:tcW w:type="dxa" w:w="1531"/>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2"/>
              </w:rPr>
              <w:t>Điều kiện</w:t>
            </w:r>
          </w:p>
        </w:tc>
        <w:tc>
          <w:tcPr>
            <w:tcW w:type="dxa" w:w="4649"/>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2"/>
              </w:rPr>
              <w:t>Nhãn giao thức → độ thuần → Baseline/Stress/Amusement</w:t>
            </w:r>
          </w:p>
        </w:tc>
        <w:tc>
          <w:tcPr>
            <w:tcW w:type="dxa" w:w="3175"/>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2"/>
              </w:rPr>
              <w:t>Chọn phạm vi và phân tầng sai số, không điều kiện hóa mô hình.</w:t>
            </w:r>
          </w:p>
        </w:tc>
      </w:tr>
    </w:tbl>
    <w:p>
      <w:pPr>
        <w:spacing w:after="0"/>
      </w:pPr>
    </w:p>
    <w:p>
      <w:pPr>
        <w:pStyle w:val="Heading2"/>
      </w:pPr>
      <w:r>
        <w:t>3.2. Các phương pháp đối chứng</w:t>
      </w:r>
    </w:p>
    <w:p>
      <w:pPr>
        <w:jc w:val="both"/>
      </w:pPr>
      <w:r>
        <w:rPr>
          <w:rFonts w:ascii="Times New Roman" w:hAnsi="Times New Roman" w:eastAsia="Times New Roman" w:cs="Times New Roman"/>
        </w:rPr>
        <w:t>Đối chứng hằng số: dự đoán trung vị HR_ref của tập huấn luyện cho mọi cửa sổ validation/test. Không tính trung vị riêng theo người kiểm thử hoặc theo trạng thái. Đối chứng này kiểm tra nguy cơ CNN chỉ dự đoán quanh mức nhịp tim phổ biến.</w:t>
      </w:r>
    </w:p>
    <w:p>
      <w:pPr>
        <w:jc w:val="both"/>
      </w:pPr>
      <w:r>
        <w:rPr>
          <w:rFonts w:ascii="Times New Roman" w:hAnsi="Times New Roman" w:eastAsia="Times New Roman" w:cs="Times New Roman"/>
        </w:rPr>
        <w:t>Đối chứng FFT: trên cùng cửa sổ BVP đã tiền xử lý, nhân cửa sổ Hann, tính periodogram bằng FFT với NFFT = 4096 và chọn đỉnh công suất lớn nhất trong miền 35/60 đến 200/60 Hz. Không dùng HR_ref để lựa chọn đỉnh phổ hoặc hậu xử lý từng cửa sổ.</w:t>
      </w:r>
    </w:p>
    <w:p>
      <w:pPr>
        <w:spacing w:before="60" w:after="120"/>
        <w:jc w:val="center"/>
      </w:pPr>
      <m:oMath>
        <m:sSub>
          <m:e>
            <m:acc>
              <m:accPr>
                <m:chr m:val="̂"/>
              </m:accPr>
              <m:e>
                <m:r>
                  <m:t>H</m:t>
                </m:r>
                <m:r>
                  <m:t>R</m:t>
                </m:r>
              </m:e>
            </m:acc>
          </m:e>
          <m:sub>
            <m:r>
              <m:t>i</m:t>
            </m:r>
            <m:r>
              <m:rPr>
                <m:sty m:val="p"/>
              </m:rPr>
              <m:t>,</m:t>
            </m:r>
            <m:r>
              <m:rPr>
                <m:sty m:val="p"/>
              </m:rPr>
              <m:t>F</m:t>
            </m:r>
            <m:r>
              <m:rPr>
                <m:sty m:val="p"/>
              </m:rPr>
              <m:t>F</m:t>
            </m:r>
            <m:r>
              <m:rPr>
                <m:sty m:val="p"/>
              </m:rPr>
              <m:t>T</m:t>
            </m:r>
          </m:sub>
        </m:sSub>
        <m:r>
          <m:rPr>
            <m:sty m:val="p"/>
          </m:rPr>
          <m:t>=</m:t>
        </m:r>
        <m:r>
          <m:t>60</m:t>
        </m:r>
        <m:sSub>
          <m:e>
            <m:r>
              <m:t>f</m:t>
            </m:r>
          </m:e>
          <m:sub>
            <m:r>
              <m:t>i</m:t>
            </m:r>
            <m:r>
              <m:rPr>
                <m:sty m:val="p"/>
              </m:rPr>
              <m:t>,</m:t>
            </m:r>
            <m:r>
              <m:rPr>
                <m:sty m:val="p"/>
              </m:rPr>
              <m:t>p</m:t>
            </m:r>
            <m:r>
              <m:rPr>
                <m:sty m:val="p"/>
              </m:rPr>
              <m:t>e</m:t>
            </m:r>
            <m:r>
              <m:rPr>
                <m:sty m:val="p"/>
              </m:rPr>
              <m:t>a</m:t>
            </m:r>
            <m:r>
              <m:rPr>
                <m:sty m:val="p"/>
              </m:rPr>
              <m:t>k</m:t>
            </m:r>
          </m:sub>
        </m:sSub>
        <m:r>
          <m:t> </m:t>
        </m:r>
        <m:d>
          <m:dPr>
            <m:begChr m:val="("/>
            <m:endChr m:val=")"/>
            <m:sepChr m:val=""/>
            <m:grow/>
          </m:dPr>
          <m:e>
            <m:r>
              <m:rPr>
                <m:sty m:val="p"/>
              </m:rPr>
              <m:t>B</m:t>
            </m:r>
            <m:r>
              <m:rPr>
                <m:sty m:val="p"/>
              </m:rPr>
              <m:t>P</m:t>
            </m:r>
            <m:r>
              <m:rPr>
                <m:sty m:val="p"/>
              </m:rPr>
              <m:t>M</m:t>
            </m:r>
          </m:e>
        </m:d>
        <m:r>
          <m:rPr>
            <m:sty m:val="p"/>
          </m:rPr>
          <m:t>.</m:t>
        </m:r>
      </m:oMath>
    </w:p>
    <w:p>
      <w:pPr>
        <w:jc w:val="both"/>
      </w:pPr>
      <w:r>
        <w:rPr>
          <w:rFonts w:ascii="Times New Roman" w:hAnsi="Times New Roman" w:eastAsia="Times New Roman" w:cs="Times New Roman"/>
        </w:rPr>
        <w:t>Với T = 8 s, khoảng cách các bin FFT khi chưa zero-padding là 1/T = 0,125 Hz, tương đương 7,5 BPM. Khi NFFT = 4096 và fₛ = 32 Hz, khoảng cách lưới tính toán là 0,0078125 Hz, tương đương 0,46875 BPM. Zero-padding làm dày lưới phổ, không bổ sung thông tin quan sát hoặc tự nâng khả năng phân giải hai thành phần gần nhau [6]. Không xem 7,5 BPM là cận dưới của MAE.</w:t>
      </w:r>
    </w:p>
    <w:p>
      <w:pPr>
        <w:jc w:val="both"/>
      </w:pPr>
      <w:r>
        <w:rPr>
          <w:rFonts w:ascii="Times New Roman" w:hAnsi="Times New Roman" w:eastAsia="Times New Roman" w:cs="Times New Roman"/>
        </w:rPr>
        <w:t>FFT đơn giản chưa có cơ chế khử nhiễu vận động hoặc bám nhịp theo thời gian. Kết luận chỉ được viết là “so với đối chứng FFT đã cài đặt”, không suy rộng thành vượt mọi phương pháp xử lý tín hiệu. Mọi phương pháp dùng chung window_id và cùng tiêu chí tham chiếu hợp lệ; phải báo cáo số dự đoán thất bại, không âm thầm xóa các cửa sổ bất lợi.</w:t>
      </w:r>
    </w:p>
    <w:p>
      <w:pPr>
        <w:pStyle w:val="Heading2"/>
      </w:pPr>
      <w:r>
        <w:t>3.3. Chuyển mô hình DaLiA → WESAD: chỉ mở rộng có điều kiện</w:t>
      </w:r>
    </w:p>
    <w:p>
      <w:pPr>
        <w:jc w:val="both"/>
      </w:pPr>
      <w:r>
        <w:rPr>
          <w:rFonts w:ascii="Times New Roman" w:hAnsi="Times New Roman" w:eastAsia="Times New Roman" w:cs="Times New Roman"/>
        </w:rPr>
        <w:t>Chỉ thực hiện khi có checkpoint hợp lệ, biết rõ dữ liệu nguồn và chứng minh tương thích số kênh, biểu diễn đầu vào, tần số lấy mẫu, chuẩn hóa, chiều tensor và thang HR đầu ra. Không xem việc nạp được trọng số là đủ. Đánh giá trực tiếp không tinh chỉnh phải gọi là chuyển miền zero-shot; nếu tinh chỉnh trên WESAD, chỉ dùng train/validation và báo cáo thành thí nghiệm khác. Không có checkpoint phù hợp thì bỏ nhánh này, không làm chậm phần chính.</w:t>
      </w:r>
    </w:p>
    <w:p>
      <w:pPr>
        <w:pStyle w:val="Heading2"/>
        <w:pageBreakBefore/>
      </w:pPr>
      <w:r>
        <w:t>3.4. Cấu hình CNN 1-D gọn nhẹ</w:t>
      </w:r>
    </w:p>
    <w:p>
      <w:pPr>
        <w:jc w:val="both"/>
      </w:pPr>
      <w:r>
        <w:rPr>
          <w:rFonts w:ascii="Times New Roman" w:hAnsi="Times New Roman" w:eastAsia="Times New Roman" w:cs="Times New Roman"/>
        </w:rPr>
        <w:t>Giữ ba khối tích chập của bản đầu vào, đồng thời đặc tả rõ BatchNorm và ReLU sau từng khối. CNN nhận dạng sóng BVP một kênh; đây là cấu hình khảo sát của đề tài, không phải bản tái lập nguyên kiến trúc Deep PPG. Công trình Deep PPG sử dụng phổ thời gian–tần số của PPG và gia tốc [3].</w:t>
      </w:r>
    </w:p>
    <w:p>
      <w:pPr>
        <w:pStyle w:val="Caption"/>
        <w:keepNext/>
        <w:jc w:val="left"/>
      </w:pPr>
      <w:r>
        <w:t>Bảng 6. Kiến trúc được đặc tả để triển khai nhất quán</w:t>
      </w:r>
    </w:p>
    <w:tbl>
      <w:tblPr>
        <w:tblW w:type="auto" w:w="0"/>
        <w:jc w:val="center"/>
        <w:tblLayout w:type="fixed"/>
        <w:tblLook w:firstColumn="1" w:firstRow="1" w:lastColumn="0" w:lastRow="0" w:noHBand="0" w:noVBand="1" w:val="04A0"/>
      </w:tblPr>
      <w:tblGrid>
        <w:gridCol w:w="1474"/>
        <w:gridCol w:w="5669"/>
        <w:gridCol w:w="2211"/>
      </w:tblGrid>
      <w:tr>
        <w:trPr>
          <w:cantSplit/>
          <w:tblHeader w:val="true"/>
        </w:trPr>
        <w:tc>
          <w:tcPr>
            <w:tcW w:type="dxa" w:w="1474"/>
            <w:vAlign w:val="center"/>
            <w:tcMar>
              <w:top w:w="75" w:type="dxa"/>
              <w:bottom w:w="75" w:type="dxa"/>
              <w:left w:w="100" w:type="dxa"/>
              <w:right w:w="100" w:type="dxa"/>
            </w:tcMar>
            <w:shd w:fill="E9EEF3"/>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sz w:val="21"/>
              </w:rPr>
              <w:t>Khối</w:t>
            </w:r>
          </w:p>
        </w:tc>
        <w:tc>
          <w:tcPr>
            <w:tcW w:type="dxa" w:w="5669"/>
            <w:vAlign w:val="center"/>
            <w:tcMar>
              <w:top w:w="75" w:type="dxa"/>
              <w:bottom w:w="75" w:type="dxa"/>
              <w:left w:w="100" w:type="dxa"/>
              <w:right w:w="100" w:type="dxa"/>
            </w:tcMar>
            <w:shd w:fill="E9EEF3"/>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sz w:val="21"/>
              </w:rPr>
              <w:t>Cấu hình</w:t>
            </w:r>
          </w:p>
        </w:tc>
        <w:tc>
          <w:tcPr>
            <w:tcW w:type="dxa" w:w="2211"/>
            <w:vAlign w:val="center"/>
            <w:tcMar>
              <w:top w:w="75" w:type="dxa"/>
              <w:bottom w:w="75" w:type="dxa"/>
              <w:left w:w="100" w:type="dxa"/>
              <w:right w:w="100" w:type="dxa"/>
            </w:tcMar>
            <w:shd w:fill="E9EEF3"/>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sz w:val="21"/>
              </w:rPr>
              <w:t>Kích thước đầu ra</w:t>
            </w:r>
          </w:p>
        </w:tc>
      </w:tr>
      <w:tr>
        <w:trPr>
          <w:cantSplit/>
        </w:trPr>
        <w:tc>
          <w:tcPr>
            <w:tcW w:type="dxa" w:w="1474"/>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Đầu vào</w:t>
            </w:r>
          </w:p>
        </w:tc>
        <w:tc>
          <w:tcPr>
            <w:tcW w:type="dxa" w:w="5669"/>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B cửa sổ, 1 kênh, 256 mẫu</w:t>
            </w:r>
          </w:p>
        </w:tc>
        <w:tc>
          <w:tcPr>
            <w:tcW w:type="dxa" w:w="2211"/>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B × 1 × 256</w:t>
            </w:r>
          </w:p>
        </w:tc>
      </w:tr>
      <w:tr>
        <w:trPr>
          <w:cantSplit/>
        </w:trPr>
        <w:tc>
          <w:tcPr>
            <w:tcW w:type="dxa" w:w="1474"/>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Conv 1</w:t>
            </w:r>
          </w:p>
        </w:tc>
        <w:tc>
          <w:tcPr>
            <w:tcW w:type="dxa" w:w="5669"/>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Conv1d(1,16,k=7,s=2,p=3,bias=False) → BatchNorm1d(16) → ReLU</w:t>
            </w:r>
          </w:p>
        </w:tc>
        <w:tc>
          <w:tcPr>
            <w:tcW w:type="dxa" w:w="2211"/>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B × 16 × 128</w:t>
            </w:r>
          </w:p>
        </w:tc>
      </w:tr>
      <w:tr>
        <w:trPr>
          <w:cantSplit/>
        </w:trPr>
        <w:tc>
          <w:tcPr>
            <w:tcW w:type="dxa" w:w="1474"/>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Conv 2</w:t>
            </w:r>
          </w:p>
        </w:tc>
        <w:tc>
          <w:tcPr>
            <w:tcW w:type="dxa" w:w="5669"/>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Conv1d(16,32,k=5,s=2,p=2,bias=False) → BatchNorm1d(32) → ReLU</w:t>
            </w:r>
          </w:p>
        </w:tc>
        <w:tc>
          <w:tcPr>
            <w:tcW w:type="dxa" w:w="2211"/>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B × 32 × 64</w:t>
            </w:r>
          </w:p>
        </w:tc>
      </w:tr>
      <w:tr>
        <w:trPr>
          <w:cantSplit/>
        </w:trPr>
        <w:tc>
          <w:tcPr>
            <w:tcW w:type="dxa" w:w="1474"/>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Conv 3</w:t>
            </w:r>
          </w:p>
        </w:tc>
        <w:tc>
          <w:tcPr>
            <w:tcW w:type="dxa" w:w="5669"/>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Conv1d(32,64,k=3,s=2,p=1,bias=False) → BatchNorm1d(64) → ReLU</w:t>
            </w:r>
          </w:p>
        </w:tc>
        <w:tc>
          <w:tcPr>
            <w:tcW w:type="dxa" w:w="2211"/>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B × 64 × 32</w:t>
            </w:r>
          </w:p>
        </w:tc>
      </w:tr>
      <w:tr>
        <w:trPr>
          <w:cantSplit/>
        </w:trPr>
        <w:tc>
          <w:tcPr>
            <w:tcW w:type="dxa" w:w="1474"/>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Gộp và điều chuẩn</w:t>
            </w:r>
          </w:p>
        </w:tc>
        <w:tc>
          <w:tcPr>
            <w:tcW w:type="dxa" w:w="5669"/>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AdaptiveAvgPool1d(1) → Flatten → Dropout(0,2)</w:t>
            </w:r>
          </w:p>
        </w:tc>
        <w:tc>
          <w:tcPr>
            <w:tcW w:type="dxa" w:w="2211"/>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B × 64</w:t>
            </w:r>
          </w:p>
        </w:tc>
      </w:tr>
      <w:tr>
        <w:trPr>
          <w:cantSplit/>
        </w:trPr>
        <w:tc>
          <w:tcPr>
            <w:tcW w:type="dxa" w:w="1474"/>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Hồi quy</w:t>
            </w:r>
          </w:p>
        </w:tc>
        <w:tc>
          <w:tcPr>
            <w:tcW w:type="dxa" w:w="5669"/>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Linear(64,32) → ReLU → Linear(32,1); có bias ở hai tầng Linear</w:t>
            </w:r>
          </w:p>
        </w:tc>
        <w:tc>
          <w:tcPr>
            <w:tcW w:type="dxa" w:w="2211"/>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B × 1</w:t>
            </w:r>
          </w:p>
        </w:tc>
      </w:tr>
    </w:tbl>
    <w:p>
      <w:pPr>
        <w:spacing w:after="0"/>
      </w:pPr>
    </w:p>
    <w:p>
      <w:pPr>
        <w:jc w:val="both"/>
      </w:pPr>
      <w:r>
        <w:rPr>
          <w:rFonts w:ascii="Times New Roman" w:hAnsi="Times New Roman" w:eastAsia="Times New Roman" w:cs="Times New Roman"/>
        </w:rPr>
        <w:t>Với BatchNorm có tham số affine, cấu hình trên có 11.153 tham số học được (không tính bộ đệm thống kê BatchNorm). Đây là số tính từ kiến trúc được đặc tả, không phải kết quả huấn luyện hoặc số tham số đã xác nhận từ notebook gốc. Kích thước checkpoint, RAM và độ trễ vẫn phải đo thực tế.</w:t>
      </w:r>
    </w:p>
    <w:p>
      <w:pPr>
        <w:pStyle w:val="Heading2"/>
      </w:pPr>
      <w:r>
        <w:t>3.5. Hàm mất mát và giới hạn của kiến trúc</w:t>
      </w:r>
    </w:p>
    <w:p>
      <w:pPr>
        <w:jc w:val="both"/>
      </w:pPr>
      <w:r>
        <w:rPr>
          <w:rFonts w:ascii="Times New Roman" w:hAnsi="Times New Roman" w:eastAsia="Times New Roman" w:cs="Times New Roman"/>
        </w:rPr>
        <w:t>Dùng Huber loss với đầu ra và nhãn ở đơn vị BPM; cấu hình khởi đầu đề xuất δ = 5 BPM, reduction="mean" [7]. Nếu thay đổi thang nhãn phải thay đổi và báo cáo δ tương ứng. Không mặc nhiên xem HuberLoss và SmoothL1Loss là cùng một hàm với mọi δ.</w:t>
      </w:r>
    </w:p>
    <w:p>
      <w:pPr>
        <w:spacing w:before="60" w:after="120"/>
        <w:jc w:val="center"/>
      </w:pPr>
      <m:oMath>
        <m:sSub>
          <m:e>
            <m:r>
              <m:rPr>
                <m:sty m:val="p"/>
              </m:rPr>
              <m:t>ℓ</m:t>
            </m:r>
          </m:e>
          <m:sub>
            <m:r>
              <m:t>δ</m:t>
            </m:r>
          </m:sub>
        </m:sSub>
        <m:d>
          <m:dPr>
            <m:begChr m:val="("/>
            <m:endChr m:val=")"/>
            <m:sepChr m:val=""/>
            <m:grow/>
          </m:dPr>
          <m:e>
            <m:r>
              <m:t>e</m:t>
            </m:r>
          </m:e>
        </m:d>
        <m:r>
          <m:rPr>
            <m:sty m:val="p"/>
          </m:rPr>
          <m:t>=</m:t>
        </m:r>
        <m:f>
          <m:fPr>
            <m:type m:val="bar"/>
          </m:fPr>
          <m:num>
            <m:r>
              <m:t>1</m:t>
            </m:r>
          </m:num>
          <m:den>
            <m:r>
              <m:t>2</m:t>
            </m:r>
          </m:den>
        </m:f>
        <m:sSup>
          <m:e>
            <m:r>
              <m:t>e</m:t>
            </m:r>
          </m:e>
          <m:sup>
            <m:r>
              <m:t>2</m:t>
            </m:r>
          </m:sup>
        </m:sSup>
        <m:r>
          <m:t> </m:t>
        </m:r>
        <m:r>
          <m:rPr>
            <m:nor/>
            <m:sty m:val="p"/>
          </m:rPr>
          <m:t>khi </m:t>
        </m:r>
        <m:d>
          <m:dPr>
            <m:begChr m:val="|"/>
            <m:endChr m:val="|"/>
            <m:sepChr m:val=""/>
            <m:grow/>
          </m:dPr>
          <m:e>
            <m:r>
              <m:t>e</m:t>
            </m:r>
          </m:e>
        </m:d>
        <m:r>
          <m:rPr>
            <m:sty m:val="p"/>
          </m:rPr>
          <m:t>≤</m:t>
        </m:r>
        <m:r>
          <m:t>δ</m:t>
        </m:r>
        <m:r>
          <m:rPr>
            <m:sty m:val="p"/>
          </m:rPr>
          <m:t>.</m:t>
        </m:r>
      </m:oMath>
    </w:p>
    <w:p>
      <w:pPr>
        <w:spacing w:before="60" w:after="120"/>
        <w:jc w:val="center"/>
      </w:pPr>
      <m:oMath>
        <m:sSub>
          <m:e>
            <m:r>
              <m:rPr>
                <m:sty m:val="p"/>
              </m:rPr>
              <m:t>ℓ</m:t>
            </m:r>
          </m:e>
          <m:sub>
            <m:r>
              <m:t>δ</m:t>
            </m:r>
          </m:sub>
        </m:sSub>
        <m:d>
          <m:dPr>
            <m:begChr m:val="("/>
            <m:endChr m:val=")"/>
            <m:sepChr m:val=""/>
            <m:grow/>
          </m:dPr>
          <m:e>
            <m:r>
              <m:t>e</m:t>
            </m:r>
          </m:e>
        </m:d>
        <m:r>
          <m:rPr>
            <m:sty m:val="p"/>
          </m:rPr>
          <m:t>=</m:t>
        </m:r>
        <m:r>
          <m:t>δ</m:t>
        </m:r>
        <m:d>
          <m:dPr>
            <m:begChr m:val="("/>
            <m:endChr m:val=")"/>
            <m:sepChr m:val=""/>
            <m:grow/>
          </m:dPr>
          <m:e>
            <m:d>
              <m:dPr>
                <m:begChr m:val="|"/>
                <m:endChr m:val="|"/>
                <m:sepChr m:val=""/>
                <m:grow/>
              </m:dPr>
              <m:e>
                <m:r>
                  <m:t>e</m:t>
                </m:r>
              </m:e>
            </m:d>
            <m:r>
              <m:rPr>
                <m:sty m:val="p"/>
              </m:rPr>
              <m:t>−</m:t>
            </m:r>
            <m:f>
              <m:fPr>
                <m:type m:val="bar"/>
              </m:fPr>
              <m:num>
                <m:r>
                  <m:t>1</m:t>
                </m:r>
              </m:num>
              <m:den>
                <m:r>
                  <m:t>2</m:t>
                </m:r>
              </m:den>
            </m:f>
            <m:r>
              <m:t>δ</m:t>
            </m:r>
          </m:e>
        </m:d>
        <m:r>
          <m:t> </m:t>
        </m:r>
        <m:r>
          <m:rPr>
            <m:nor/>
            <m:sty m:val="p"/>
          </m:rPr>
          <m:t>khi </m:t>
        </m:r>
        <m:d>
          <m:dPr>
            <m:begChr m:val="|"/>
            <m:endChr m:val="|"/>
            <m:sepChr m:val=""/>
            <m:grow/>
          </m:dPr>
          <m:e>
            <m:r>
              <m:t>e</m:t>
            </m:r>
          </m:e>
        </m:d>
        <m:r>
          <m:rPr>
            <m:sty m:val="p"/>
          </m:rPr>
          <m:t>&gt;</m:t>
        </m:r>
        <m:r>
          <m:t>δ</m:t>
        </m:r>
        <m:r>
          <m:rPr>
            <m:sty m:val="p"/>
          </m:rPr>
          <m:t>.</m:t>
        </m:r>
      </m:oMath>
    </w:p>
    <w:p>
      <w:pPr>
        <w:spacing w:before="60" w:after="120"/>
        <w:jc w:val="center"/>
      </w:pPr>
      <m:oMath>
        <m:r>
          <m:rPr>
            <m:sty m:val="p"/>
            <m:scr m:val="script"/>
          </m:rPr>
          <m:t>L</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rPr>
                    <m:sty m:val="p"/>
                  </m:rPr>
                  <m:t>ℓ</m:t>
                </m:r>
              </m:e>
              <m:sub>
                <m:r>
                  <m:t>δ</m:t>
                </m:r>
              </m:sub>
            </m:sSub>
          </m:e>
        </m:nary>
        <m:d>
          <m:dPr>
            <m:begChr m:val="("/>
            <m:endChr m:val=")"/>
            <m:sepChr m:val=""/>
            <m:grow/>
          </m:dPr>
          <m:e>
            <m:sSub>
              <m:e>
                <m:r>
                  <m:t>e</m:t>
                </m:r>
              </m:e>
              <m:sub>
                <m:r>
                  <m:t>i</m:t>
                </m:r>
              </m:sub>
            </m:sSub>
          </m:e>
        </m:d>
        <m:r>
          <m:rPr>
            <m:sty m:val="p"/>
          </m:rPr>
          <m:t>,</m:t>
        </m:r>
        <m:r>
          <m:t>  </m:t>
        </m:r>
        <m:sSub>
          <m:e>
            <m:r>
              <m:t>e</m:t>
            </m:r>
          </m:e>
          <m:sub>
            <m:r>
              <m:t>i</m:t>
            </m:r>
          </m:sub>
        </m:sSub>
        <m:r>
          <m:rPr>
            <m:sty m:val="p"/>
          </m:rPr>
          <m:t>=</m:t>
        </m:r>
        <m:sSub>
          <m:e>
            <m:acc>
              <m:accPr>
                <m:chr m:val="̂"/>
              </m:accPr>
              <m:e>
                <m:r>
                  <m:t>H</m:t>
                </m:r>
                <m:r>
                  <m:t>R</m:t>
                </m:r>
              </m:e>
            </m:acc>
          </m:e>
          <m:sub>
            <m:r>
              <m:t>i</m:t>
            </m:r>
          </m:sub>
        </m:sSub>
        <m:r>
          <m:rPr>
            <m:sty m:val="p"/>
          </m:rPr>
          <m:t>−</m:t>
        </m:r>
        <m:r>
          <m:t>H</m:t>
        </m:r>
        <m:sSubSup>
          <m:e>
            <m:r>
              <m:t>R</m:t>
            </m:r>
          </m:e>
          <m:sub>
            <m:r>
              <m:t>i</m:t>
            </m:r>
          </m:sub>
          <m:sup>
            <m:r>
              <m:rPr>
                <m:sty m:val="p"/>
              </m:rPr>
              <m:t>r</m:t>
            </m:r>
            <m:r>
              <m:rPr>
                <m:sty m:val="p"/>
              </m:rPr>
              <m:t>e</m:t>
            </m:r>
            <m:r>
              <m:rPr>
                <m:sty m:val="p"/>
              </m:rPr>
              <m:t>f</m:t>
            </m:r>
          </m:sup>
        </m:sSubSup>
        <m:r>
          <m:rPr>
            <m:sty m:val="p"/>
          </m:rPr>
          <m:t>.</m:t>
        </m:r>
      </m:oMath>
    </w:p>
    <w:p>
      <w:pPr>
        <w:jc w:val="both"/>
      </w:pPr>
      <w:r>
        <w:rPr>
          <w:rFonts w:ascii="Times New Roman" w:hAnsi="Times New Roman" w:eastAsia="Times New Roman" w:cs="Times New Roman"/>
        </w:rPr>
        <w:t>Tầng cuối là hồi quy tuyến tính. Đánh giá đầu ra chưa cắt ngưỡng; nếu bổ sung giới hạn 35–200 BPM hoặc làm trơn, phải đăng ký như hậu xử lý riêng và so sánh công bằng. Không loại cửa sổ chỉ vì mô hình dự đoán kém hoặc ngoài miền.</w:t>
      </w:r>
    </w:p>
    <w:p>
      <w:pPr>
        <w:jc w:val="both"/>
      </w:pPr>
      <w:r>
        <w:rPr>
          <w:rFonts w:ascii="Times New Roman" w:hAnsi="Times New Roman" w:eastAsia="Times New Roman" w:cs="Times New Roman"/>
        </w:rPr>
        <w:t>Khi suy luận với thống kê BatchNorm cố định, mỗi vị trí trước global pooling có vùng tiếp nhận 23 mẫu (khoảng 0,72 s); pooling vẫn tổng hợp toàn cửa sổ. Vì vậy, khả năng học chu kỳ dài là vấn đề cần kiểm tra, không thể khẳng định trước. Nếu dự đoán co về trung bình hoặc sai lớn ở HR thấp, phân tích trên validation trước khi cân nhắc mở rộng vùng tiếp nhận; không thay kiến trúc dựa trên lỗi test.</w:t>
      </w:r>
    </w:p>
    <w:p>
      <w:pPr>
        <w:pStyle w:val="Heading1"/>
        <w:pageBreakBefore/>
      </w:pPr>
      <w:r>
        <w:t>4. THIẾT KẾ THỰC NGHIỆM VÀ CHỈ SỐ</w:t>
      </w:r>
    </w:p>
    <w:p>
      <w:pPr>
        <w:pStyle w:val="Heading2"/>
      </w:pPr>
      <w:r>
        <w:t>4.1. Huấn luyện và tái lập</w:t>
      </w:r>
    </w:p>
    <w:p>
      <w:pPr>
        <w:jc w:val="both"/>
      </w:pPr>
      <w:r>
        <w:rPr>
          <w:rFonts w:ascii="Times New Roman" w:hAnsi="Times New Roman" w:eastAsia="Times New Roman" w:cs="Times New Roman"/>
        </w:rPr>
        <w:t>Môi trường dự kiến: Python, PyTorch, NumPy, SciPy, scikit-learn và Matplotlib. Cấu hình máy do bản đầu vào kê khai: Intel Core i5-9300H 2,40 GHz, NVIDIA GeForce GTX 1650 Ti; cần ghi thêm RAM, hệ điều hành, phiên bản thư viện và kiểm tra lại phần cứng khi chạy. Chỉ dùng GPU cho huấn luyện nếu có; đo suy luận chính trên CPU.</w:t>
      </w:r>
    </w:p>
    <w:p>
      <w:pPr>
        <w:jc w:val="both"/>
      </w:pPr>
      <w:r>
        <w:rPr>
          <w:rFonts w:ascii="Times New Roman" w:hAnsi="Times New Roman" w:eastAsia="Times New Roman" w:cs="Times New Roman"/>
        </w:rPr>
        <w:t>Cấu hình khởi đầu đề xuất: AdamW, learning rate 10⁻³, weight decay 10⁻⁴, batch size 64, tối đa 100 epoch; dừng sớm sau 15 epoch không giảm MAE trung bình đều theo đối tượng validation. Lưu checkpoint tốt nhất theo cùng chỉ số. Ba seed 42, 123, 999 áp dụng cho khởi tạo, thứ tự minibatch và các bộ sinh ngẫu nhiên. Đặt model.eval() khi đánh giá; thống kê BatchNorm không được cập nhật từ validation/test.</w:t>
      </w:r>
    </w:p>
    <w:p>
      <w:pPr>
        <w:jc w:val="both"/>
      </w:pPr>
      <w:r>
        <w:rPr>
          <w:rFonts w:ascii="Times New Roman" w:hAnsi="Times New Roman" w:eastAsia="Times New Roman" w:cs="Times New Roman"/>
        </w:rPr>
        <w:t>Khóa cấu hình, QC, split và các đối chứng trước khi chạy đánh giá test cuối. Không chọn seed tốt nhất theo test. Ghi training loss, validation MAE, epoch tốt nhất và thời gian huấn luyện. Ba seed mô tả biến thiên huấn luyện trên cùng cách chia, không phải ba lần kiểm định trên các nhóm người độc lập.</w:t>
      </w:r>
    </w:p>
    <w:p>
      <w:pPr>
        <w:pStyle w:val="Heading2"/>
      </w:pPr>
      <w:r>
        <w:t>4.2. Ma trận thực nghiệm</w:t>
      </w:r>
    </w:p>
    <w:p>
      <w:pPr>
        <w:pStyle w:val="Caption"/>
        <w:keepNext/>
        <w:jc w:val="left"/>
      </w:pPr>
      <w:r>
        <w:t>Bảng 7. Các thí nghiệm chính và mở rộng</w:t>
      </w:r>
    </w:p>
    <w:tbl>
      <w:tblPr>
        <w:tblW w:type="auto" w:w="0"/>
        <w:jc w:val="center"/>
        <w:tblLayout w:type="fixed"/>
        <w:tblLook w:firstColumn="1" w:firstRow="1" w:lastColumn="0" w:lastRow="0" w:noHBand="0" w:noVBand="1" w:val="04A0"/>
      </w:tblPr>
      <w:tblGrid>
        <w:gridCol w:w="737"/>
        <w:gridCol w:w="3515"/>
        <w:gridCol w:w="5102"/>
      </w:tblGrid>
      <w:tr>
        <w:trPr>
          <w:cantSplit/>
          <w:tblHeader w:val="true"/>
        </w:trPr>
        <w:tc>
          <w:tcPr>
            <w:tcW w:type="dxa" w:w="737"/>
            <w:vAlign w:val="center"/>
            <w:tcMar>
              <w:top w:w="75" w:type="dxa"/>
              <w:bottom w:w="75" w:type="dxa"/>
              <w:left w:w="100" w:type="dxa"/>
              <w:right w:w="100" w:type="dxa"/>
            </w:tcMar>
            <w:shd w:fill="E9EEF3"/>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sz w:val="21"/>
              </w:rPr>
              <w:t>Mã</w:t>
            </w:r>
          </w:p>
        </w:tc>
        <w:tc>
          <w:tcPr>
            <w:tcW w:type="dxa" w:w="3515"/>
            <w:vAlign w:val="center"/>
            <w:tcMar>
              <w:top w:w="75" w:type="dxa"/>
              <w:bottom w:w="75" w:type="dxa"/>
              <w:left w:w="100" w:type="dxa"/>
              <w:right w:w="100" w:type="dxa"/>
            </w:tcMar>
            <w:shd w:fill="E9EEF3"/>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sz w:val="21"/>
              </w:rPr>
              <w:t>Nội dung</w:t>
            </w:r>
          </w:p>
        </w:tc>
        <w:tc>
          <w:tcPr>
            <w:tcW w:type="dxa" w:w="5102"/>
            <w:vAlign w:val="center"/>
            <w:tcMar>
              <w:top w:w="75" w:type="dxa"/>
              <w:bottom w:w="75" w:type="dxa"/>
              <w:left w:w="100" w:type="dxa"/>
              <w:right w:w="100" w:type="dxa"/>
            </w:tcMar>
            <w:shd w:fill="E9EEF3"/>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sz w:val="21"/>
              </w:rPr>
              <w:t>Yêu cầu</w:t>
            </w:r>
          </w:p>
        </w:tc>
      </w:tr>
      <w:tr>
        <w:trPr>
          <w:cantSplit/>
        </w:trPr>
        <w:tc>
          <w:tcPr>
            <w:tcW w:type="dxa" w:w="737"/>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E0</w:t>
            </w:r>
          </w:p>
        </w:tc>
        <w:tc>
          <w:tcPr>
            <w:tcW w:type="dxa" w:w="3515"/>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Hằng số từ trung vị HR train</w:t>
            </w:r>
          </w:p>
        </w:tc>
        <w:tc>
          <w:tcPr>
            <w:tcW w:type="dxa" w:w="5102"/>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Bắt buộc; đánh giá đúng cùng tập cửa sổ.</w:t>
            </w:r>
          </w:p>
        </w:tc>
      </w:tr>
      <w:tr>
        <w:trPr>
          <w:cantSplit/>
        </w:trPr>
        <w:tc>
          <w:tcPr>
            <w:tcW w:type="dxa" w:w="737"/>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E1</w:t>
            </w:r>
          </w:p>
        </w:tc>
        <w:tc>
          <w:tcPr>
            <w:tcW w:type="dxa" w:w="3515"/>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FFT + Hann + NFFT 4096</w:t>
            </w:r>
          </w:p>
        </w:tc>
        <w:tc>
          <w:tcPr>
            <w:tcW w:type="dxa" w:w="5102"/>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Bắt buộc; cùng miền HR và không dựa vào nhãn test để chọn đỉnh.</w:t>
            </w:r>
          </w:p>
        </w:tc>
      </w:tr>
      <w:tr>
        <w:trPr>
          <w:cantSplit/>
        </w:trPr>
        <w:tc>
          <w:tcPr>
            <w:tcW w:type="dxa" w:w="737"/>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E2</w:t>
            </w:r>
          </w:p>
        </w:tc>
        <w:tc>
          <w:tcPr>
            <w:tcW w:type="dxa" w:w="3515"/>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CNN WESAD với Huber</w:t>
            </w:r>
          </w:p>
        </w:tc>
        <w:tc>
          <w:tcPr>
            <w:tcW w:type="dxa" w:w="5102"/>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Bắt buộc; ba seed, cùng split, báo cáo tất cả seed.</w:t>
            </w:r>
          </w:p>
        </w:tc>
      </w:tr>
      <w:tr>
        <w:trPr>
          <w:cantSplit/>
        </w:trPr>
        <w:tc>
          <w:tcPr>
            <w:tcW w:type="dxa" w:w="737"/>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E3</w:t>
            </w:r>
          </w:p>
        </w:tc>
        <w:tc>
          <w:tcPr>
            <w:tcW w:type="dxa" w:w="3515"/>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DaLiA → WESAD</w:t>
            </w:r>
          </w:p>
        </w:tc>
        <w:tc>
          <w:tcPr>
            <w:tcW w:type="dxa" w:w="5102"/>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Tùy chọn; chỉ khi có checkpoint tương thích và nguồn gốc rõ.</w:t>
            </w:r>
          </w:p>
        </w:tc>
      </w:tr>
      <w:tr>
        <w:trPr>
          <w:cantSplit/>
        </w:trPr>
        <w:tc>
          <w:tcPr>
            <w:tcW w:type="dxa" w:w="737"/>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E4</w:t>
            </w:r>
          </w:p>
        </w:tc>
        <w:tc>
          <w:tcPr>
            <w:tcW w:type="dxa" w:w="3515"/>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Phân tích lỗi E0–E2 (và E3 nếu có)</w:t>
            </w:r>
          </w:p>
        </w:tc>
        <w:tc>
          <w:tcPr>
            <w:tcW w:type="dxa" w:w="5102"/>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Theo người, điều kiện, dải HR tham chiếu và trường hợp thất bại.</w:t>
            </w:r>
          </w:p>
        </w:tc>
      </w:tr>
    </w:tbl>
    <w:p>
      <w:pPr>
        <w:spacing w:after="0"/>
      </w:pPr>
    </w:p>
    <w:p>
      <w:pPr>
        <w:pStyle w:val="Heading2"/>
      </w:pPr>
      <w:r>
        <w:t>4.3. Nghiên cứu bóc tách</w:t>
      </w:r>
    </w:p>
    <w:p>
      <w:pPr>
        <w:pStyle w:val="Caption"/>
        <w:keepNext/>
        <w:jc w:val="left"/>
      </w:pPr>
      <w:r>
        <w:t>Bảng 8. Mỗi biến thể chỉ thay đổi một yếu tố so với A0</w:t>
      </w:r>
    </w:p>
    <w:tbl>
      <w:tblPr>
        <w:tblW w:type="auto" w:w="0"/>
        <w:jc w:val="center"/>
        <w:tblLayout w:type="fixed"/>
        <w:tblLook w:firstColumn="1" w:firstRow="1" w:lastColumn="0" w:lastRow="0" w:noHBand="0" w:noVBand="1" w:val="04A0"/>
      </w:tblPr>
      <w:tblGrid>
        <w:gridCol w:w="737"/>
        <w:gridCol w:w="3515"/>
        <w:gridCol w:w="5102"/>
      </w:tblGrid>
      <w:tr>
        <w:trPr>
          <w:cantSplit/>
          <w:tblHeader w:val="true"/>
        </w:trPr>
        <w:tc>
          <w:tcPr>
            <w:tcW w:type="dxa" w:w="737"/>
            <w:vAlign w:val="center"/>
            <w:tcMar>
              <w:top w:w="75" w:type="dxa"/>
              <w:bottom w:w="75" w:type="dxa"/>
              <w:left w:w="100" w:type="dxa"/>
              <w:right w:w="100" w:type="dxa"/>
            </w:tcMar>
            <w:shd w:fill="E9EEF3"/>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sz w:val="21"/>
              </w:rPr>
              <w:t>Mã</w:t>
            </w:r>
          </w:p>
        </w:tc>
        <w:tc>
          <w:tcPr>
            <w:tcW w:type="dxa" w:w="3515"/>
            <w:vAlign w:val="center"/>
            <w:tcMar>
              <w:top w:w="75" w:type="dxa"/>
              <w:bottom w:w="75" w:type="dxa"/>
              <w:left w:w="100" w:type="dxa"/>
              <w:right w:w="100" w:type="dxa"/>
            </w:tcMar>
            <w:shd w:fill="E9EEF3"/>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sz w:val="21"/>
              </w:rPr>
              <w:t>Thay đổi</w:t>
            </w:r>
          </w:p>
        </w:tc>
        <w:tc>
          <w:tcPr>
            <w:tcW w:type="dxa" w:w="5102"/>
            <w:vAlign w:val="center"/>
            <w:tcMar>
              <w:top w:w="75" w:type="dxa"/>
              <w:bottom w:w="75" w:type="dxa"/>
              <w:left w:w="100" w:type="dxa"/>
              <w:right w:w="100" w:type="dxa"/>
            </w:tcMar>
            <w:shd w:fill="E9EEF3"/>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sz w:val="21"/>
              </w:rPr>
              <w:t>Điều kiện so sánh</w:t>
            </w:r>
          </w:p>
        </w:tc>
      </w:tr>
      <w:tr>
        <w:trPr>
          <w:cantSplit/>
        </w:trPr>
        <w:tc>
          <w:tcPr>
            <w:tcW w:type="dxa" w:w="737"/>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A0</w:t>
            </w:r>
          </w:p>
        </w:tc>
        <w:tc>
          <w:tcPr>
            <w:tcW w:type="dxa" w:w="3515"/>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CNN đầy đủ ở Bảng 6; Huber δ=5</w:t>
            </w:r>
          </w:p>
        </w:tc>
        <w:tc>
          <w:tcPr>
            <w:tcW w:type="dxa" w:w="5102"/>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Trùng E2, không huấn luyện lặp lại.</w:t>
            </w:r>
          </w:p>
        </w:tc>
      </w:tr>
      <w:tr>
        <w:trPr>
          <w:cantSplit/>
        </w:trPr>
        <w:tc>
          <w:tcPr>
            <w:tcW w:type="dxa" w:w="737"/>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A1</w:t>
            </w:r>
          </w:p>
        </w:tc>
        <w:tc>
          <w:tcPr>
            <w:tcW w:type="dxa" w:w="3515"/>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Bỏ chuẩn hóa z-score</w:t>
            </w:r>
          </w:p>
        </w:tc>
        <w:tc>
          <w:tcPr>
            <w:tcW w:type="dxa" w:w="5102"/>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Giữ lọc, tập cửa sổ, split và seed.</w:t>
            </w:r>
          </w:p>
        </w:tc>
      </w:tr>
      <w:tr>
        <w:trPr>
          <w:cantSplit/>
        </w:trPr>
        <w:tc>
          <w:tcPr>
            <w:tcW w:type="dxa" w:w="737"/>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A2</w:t>
            </w:r>
          </w:p>
        </w:tc>
        <w:tc>
          <w:tcPr>
            <w:tcW w:type="dxa" w:w="3515"/>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Bỏ cả ba BatchNorm</w:t>
            </w:r>
          </w:p>
        </w:tc>
        <w:tc>
          <w:tcPr>
            <w:tcW w:type="dxa" w:w="5102"/>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Giữ phần còn lại và ghi lại số tham số.</w:t>
            </w:r>
          </w:p>
        </w:tc>
      </w:tr>
      <w:tr>
        <w:trPr>
          <w:cantSplit/>
        </w:trPr>
        <w:tc>
          <w:tcPr>
            <w:tcW w:type="dxa" w:w="737"/>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A3</w:t>
            </w:r>
          </w:p>
        </w:tc>
        <w:tc>
          <w:tcPr>
            <w:tcW w:type="dxa" w:w="3515"/>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Thay Huber bằng MSE</w:t>
            </w:r>
          </w:p>
        </w:tc>
        <w:tc>
          <w:tcPr>
            <w:tcW w:type="dxa" w:w="5102"/>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Giữ thang BPM, split, seed và ngân sách huấn luyện.</w:t>
            </w:r>
          </w:p>
        </w:tc>
      </w:tr>
    </w:tbl>
    <w:p>
      <w:pPr>
        <w:spacing w:after="0"/>
      </w:pPr>
    </w:p>
    <w:p>
      <w:pPr>
        <w:spacing w:after="100"/>
        <w:jc w:val="both"/>
      </w:pPr>
      <w:r>
        <w:rPr>
          <w:rFonts w:ascii="Times New Roman" w:hAnsi="Times New Roman" w:eastAsia="Times New Roman" w:cs="Times New Roman"/>
          <w:i/>
          <w:sz w:val="21"/>
        </w:rPr>
        <w:t>Kế hoạch đầy đủ là 4 cấu hình CNN × 3 seed = 12 lần huấn luyện, không kể nhánh chuyển miền. Nếu thiếu thời gian, ưu tiên E0–E2 và A3; công bố rõ phần ablation chưa thực hiện, không trình bày như đã hoàn tất.</w:t>
      </w:r>
    </w:p>
    <w:p>
      <w:pPr>
        <w:pStyle w:val="Heading2"/>
        <w:pageBreakBefore/>
      </w:pPr>
      <w:r>
        <w:t>4.4. Chỉ số, tổng hợp kết quả và diễn giải</w:t>
      </w:r>
    </w:p>
    <w:p>
      <w:pPr>
        <w:jc w:val="both"/>
      </w:pPr>
      <w:r>
        <w:rPr>
          <w:rFonts w:ascii="Times New Roman" w:hAnsi="Times New Roman" w:eastAsia="Times New Roman" w:cs="Times New Roman"/>
        </w:rPr>
        <w:t>Đặt eᵢ = HR dự đoán − HR tham chiếu. MAE và RMSE đều báo cáo bằng BPM:</w:t>
      </w:r>
    </w:p>
    <w:p>
      <w:pPr>
        <w:spacing w:before="60" w:after="120"/>
        <w:jc w:val="center"/>
      </w:pPr>
      <m:oMath>
        <m:r>
          <m:rPr>
            <m:sty m:val="p"/>
          </m:rPr>
          <m:t>MAE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sSub>
                  <m:e>
                    <m:r>
                      <m:t>e</m:t>
                    </m:r>
                  </m:e>
                  <m:sub>
                    <m:r>
                      <m:t>i</m:t>
                    </m:r>
                  </m:sub>
                </m:sSub>
              </m:e>
            </m:d>
          </m:e>
        </m:nary>
        <m:r>
          <m:rPr>
            <m:sty m:val="p"/>
          </m:rPr>
          <m:t>,</m:t>
        </m:r>
        <m:r>
          <m:t>  </m:t>
        </m:r>
        <m:r>
          <m:rPr>
            <m:sty m:val="p"/>
          </m:rPr>
          <m:t>RMSE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bSup>
                  <m:e>
                    <m:r>
                      <m:t>e</m:t>
                    </m:r>
                  </m:e>
                  <m:sub>
                    <m:r>
                      <m:t>i</m:t>
                    </m:r>
                  </m:sub>
                  <m:sup>
                    <m:r>
                      <m:t>2</m:t>
                    </m:r>
                  </m:sup>
                </m:sSubSup>
              </m:e>
            </m:nary>
          </m:e>
        </m:rad>
        <m:r>
          <m:rPr>
            <m:sty m:val="p"/>
          </m:rPr>
          <m:t>.</m:t>
        </m:r>
      </m:oMath>
    </w:p>
    <w:p>
      <w:pPr>
        <w:spacing w:before="60" w:after="120"/>
        <w:jc w:val="center"/>
      </w:pPr>
      <m:oMath>
        <m:sSub>
          <m:e>
            <m:r>
              <m:rPr>
                <m:sty m:val="p"/>
              </m:rPr>
              <m:t>MAE</m:t>
            </m:r>
          </m:e>
          <m:sub>
            <m:r>
              <m:rPr>
                <m:sty m:val="p"/>
              </m:rPr>
              <m:t>m</m:t>
            </m:r>
            <m:r>
              <m:rPr>
                <m:sty m:val="p"/>
              </m:rPr>
              <m:t>a</m:t>
            </m:r>
            <m:r>
              <m:rPr>
                <m:sty m:val="p"/>
              </m:rPr>
              <m:t>c</m:t>
            </m:r>
            <m:r>
              <m:rPr>
                <m:sty m:val="p"/>
              </m:rPr>
              <m:t>r</m:t>
            </m:r>
            <m:r>
              <m:rPr>
                <m:sty m:val="p"/>
              </m:rPr>
              <m:t>o</m:t>
            </m:r>
          </m:sub>
        </m:sSub>
        <m:r>
          <m:rPr>
            <m:sty m:val="p"/>
          </m:rPr>
          <m:t>=</m:t>
        </m:r>
        <m:f>
          <m:fPr>
            <m:type m:val="bar"/>
          </m:fPr>
          <m:num>
            <m:r>
              <m:t>1</m:t>
            </m:r>
          </m:num>
          <m:den>
            <m:r>
              <m:t>S</m:t>
            </m:r>
          </m:den>
        </m:f>
        <m:nary>
          <m:naryPr>
            <m:chr m:val="∑"/>
            <m:limLoc m:val="undOvr"/>
            <m:subHide m:val="off"/>
            <m:supHide m:val="off"/>
          </m:naryPr>
          <m:sub>
            <m:r>
              <m:t>s</m:t>
            </m:r>
            <m:r>
              <m:rPr>
                <m:sty m:val="p"/>
              </m:rPr>
              <m:t>=</m:t>
            </m:r>
            <m:r>
              <m:t>1</m:t>
            </m:r>
          </m:sub>
          <m:sup>
            <m:r>
              <m:t>S</m:t>
            </m:r>
          </m:sup>
          <m:e>
            <m:d>
              <m:dPr>
                <m:begChr m:val="("/>
                <m:endChr m:val=")"/>
                <m:sepChr m:val=""/>
                <m:grow/>
              </m:dPr>
              <m:e>
                <m:f>
                  <m:fPr>
                    <m:type m:val="bar"/>
                  </m:fPr>
                  <m:num>
                    <m:r>
                      <m:t>1</m:t>
                    </m:r>
                  </m:num>
                  <m:den>
                    <m:sSub>
                      <m:e>
                        <m:r>
                          <m:t>N</m:t>
                        </m:r>
                      </m:e>
                      <m:sub>
                        <m:r>
                          <m:t>s</m:t>
                        </m:r>
                      </m:sub>
                    </m:sSub>
                  </m:den>
                </m:f>
                <m:nary>
                  <m:naryPr>
                    <m:chr m:val="∑"/>
                    <m:limLoc m:val="undOvr"/>
                    <m:subHide m:val="off"/>
                    <m:supHide m:val="on"/>
                  </m:naryPr>
                  <m:sub>
                    <m:r>
                      <m:t>i</m:t>
                    </m:r>
                    <m:r>
                      <m:rPr>
                        <m:sty m:val="p"/>
                      </m:rPr>
                      <m:t>∈</m:t>
                    </m:r>
                    <m:r>
                      <m:t>s</m:t>
                    </m:r>
                  </m:sub>
                  <m:sup>
                    <m:r>
                      <m:t>​</m:t>
                    </m:r>
                  </m:sup>
                  <m:e>
                    <m:d>
                      <m:dPr>
                        <m:begChr m:val="|"/>
                        <m:endChr m:val="|"/>
                        <m:sepChr m:val=""/>
                        <m:grow/>
                      </m:dPr>
                      <m:e>
                        <m:sSub>
                          <m:e>
                            <m:r>
                              <m:t>e</m:t>
                            </m:r>
                          </m:e>
                          <m:sub>
                            <m:r>
                              <m:t>i</m:t>
                            </m:r>
                          </m:sub>
                        </m:sSub>
                      </m:e>
                    </m:d>
                  </m:e>
                </m:nary>
              </m:e>
            </m:d>
          </m:e>
        </m:nary>
        <m:r>
          <m:rPr>
            <m:sty m:val="p"/>
          </m:rPr>
          <m:t>.</m:t>
        </m:r>
      </m:oMath>
    </w:p>
    <w:p>
      <w:pPr>
        <w:jc w:val="both"/>
      </w:pPr>
      <w:r>
        <w:rPr>
          <w:rFonts w:ascii="Times New Roman" w:hAnsi="Times New Roman" w:eastAsia="Times New Roman" w:cs="Times New Roman"/>
        </w:rPr>
        <w:t>Chỉ số chính là MAE_macro: tính MAE riêng của từng người rồi lấy trung bình đều, với S = 4 ở test. Báo cáo thêm MAE/RMSE gộp tất cả cửa sổ và RMSE từng người; không nhầm trung bình RMSE theo người với RMSE gộp. Khi MAE_FFT &gt; 0, tỷ lệ giảm MAE phải dùng cùng kiểu tổng hợp ở tử và mẫu:</w:t>
      </w:r>
    </w:p>
    <w:p>
      <w:pPr>
        <w:spacing w:before="60" w:after="120"/>
        <w:jc w:val="center"/>
      </w:pPr>
      <m:oMath>
        <m:r>
          <m:t>G</m:t>
        </m:r>
        <m:r>
          <m:rPr>
            <m:sty m:val="p"/>
          </m:rPr>
          <m:t>=</m:t>
        </m:r>
        <m:r>
          <m:t>100</m:t>
        </m:r>
        <m:r>
          <m:t> </m:t>
        </m:r>
        <m:f>
          <m:fPr>
            <m:type m:val="bar"/>
          </m:fPr>
          <m:num>
            <m:sSub>
              <m:e>
                <m:r>
                  <m:rPr>
                    <m:sty m:val="p"/>
                  </m:rPr>
                  <m:t>MAE</m:t>
                </m:r>
              </m:e>
              <m:sub>
                <m:r>
                  <m:rPr>
                    <m:sty m:val="p"/>
                  </m:rPr>
                  <m:t>F</m:t>
                </m:r>
                <m:r>
                  <m:rPr>
                    <m:sty m:val="p"/>
                  </m:rPr>
                  <m:t>F</m:t>
                </m:r>
                <m:r>
                  <m:rPr>
                    <m:sty m:val="p"/>
                  </m:rPr>
                  <m:t>T</m:t>
                </m:r>
              </m:sub>
            </m:sSub>
            <m:r>
              <m:rPr>
                <m:sty m:val="p"/>
              </m:rPr>
              <m:t>−</m:t>
            </m:r>
            <m:sSub>
              <m:e>
                <m:r>
                  <m:rPr>
                    <m:sty m:val="p"/>
                  </m:rPr>
                  <m:t>MAE</m:t>
                </m:r>
              </m:e>
              <m:sub>
                <m:r>
                  <m:rPr>
                    <m:sty m:val="p"/>
                  </m:rPr>
                  <m:t>C</m:t>
                </m:r>
                <m:r>
                  <m:rPr>
                    <m:sty m:val="p"/>
                  </m:rPr>
                  <m:t>N</m:t>
                </m:r>
                <m:r>
                  <m:rPr>
                    <m:sty m:val="p"/>
                  </m:rPr>
                  <m:t>N</m:t>
                </m:r>
              </m:sub>
            </m:sSub>
          </m:num>
          <m:den>
            <m:sSub>
              <m:e>
                <m:r>
                  <m:rPr>
                    <m:sty m:val="p"/>
                  </m:rPr>
                  <m:t>MAE</m:t>
                </m:r>
              </m:e>
              <m:sub>
                <m:r>
                  <m:rPr>
                    <m:sty m:val="p"/>
                  </m:rPr>
                  <m:t>F</m:t>
                </m:r>
                <m:r>
                  <m:rPr>
                    <m:sty m:val="p"/>
                  </m:rPr>
                  <m:t>F</m:t>
                </m:r>
                <m:r>
                  <m:rPr>
                    <m:sty m:val="p"/>
                  </m:rPr>
                  <m:t>T</m:t>
                </m:r>
              </m:sub>
            </m:sSub>
          </m:den>
        </m:f>
        <m:r>
          <m:t> </m:t>
        </m:r>
        <m:d>
          <m:dPr>
            <m:begChr m:val="("/>
            <m:endChr m:val=")"/>
            <m:sepChr m:val=""/>
            <m:grow/>
          </m:dPr>
          <m:e>
            <m:r>
              <m:rPr>
                <m:sty m:val="p"/>
              </m:rPr>
              <m:t>%</m:t>
            </m:r>
          </m:e>
        </m:d>
        <m:r>
          <m:rPr>
            <m:sty m:val="p"/>
          </m:rPr>
          <m:t>.</m:t>
        </m:r>
      </m:oMath>
    </w:p>
    <w:p>
      <w:pPr>
        <w:jc w:val="both"/>
      </w:pPr>
      <w:r>
        <w:rPr>
          <w:rFonts w:ascii="Times New Roman" w:hAnsi="Times New Roman" w:eastAsia="Times New Roman" w:cs="Times New Roman"/>
        </w:rPr>
        <w:t>Với mỗi seed, xuất bảng tổng thể và bảng từng người. Sau đó tính trung bình ± độ lệch chuẩn mẫu qua ba seed. Với từng điều kiện, báo cáo số người có dữ liệu, số cửa sổ, phân bố HR tham chiếu và sai số riêng từng người trước khi lấy trung bình đều. Không suy diễn khác biệt sai số giữa Stress và Baseline là tác động nhân quả của cảm xúc, vì còn khác biệt HR, đối tượng và chất lượng tín hiệu.</w:t>
      </w:r>
    </w:p>
    <w:p>
      <w:pPr>
        <w:jc w:val="both"/>
      </w:pPr>
      <w:r>
        <w:rPr>
          <w:rFonts w:ascii="Times New Roman" w:hAnsi="Times New Roman" w:eastAsia="Times New Roman" w:cs="Times New Roman"/>
        </w:rPr>
        <w:t>Bổ sung bias, Pearson và đồ thị Bland–Altman. Pearson chỉ phản ánh liên hệ tuyến tính, không thay thế độ chính xác. Với nhiều cửa sổ lặp và chồng lấn trên cùng người, đồ thị bias ± 1,96 SD gộp chỉ được trình bày như mô tả; không coi các cửa sổ là mẫu độc lập để tính khoảng tin cậy hoặc kết luận tương đương lâm sàng. Phân tích đồng thuận suy luận phải xét đo lặp theo người [8].</w:t>
      </w:r>
    </w:p>
    <w:p>
      <w:pPr>
        <w:jc w:val="both"/>
      </w:pPr>
      <w:r>
        <w:rPr>
          <w:rFonts w:ascii="Times New Roman" w:hAnsi="Times New Roman" w:eastAsia="Times New Roman" w:cs="Times New Roman"/>
        </w:rPr>
        <w:t>So sánh ghép cặp trên từng người: chênh lệch MAE_CNN − MAE_FFT, kèm kết quả từng seed. Không thực hiện kiểm định dựa trên hàng nghìn cửa sổ như các quan sát độc lập. Với chỉ bốn người kiểm thử, ưu tiên báo cáo mô tả và thừa nhận độ bất định; đánh giá LOSO chỉ là mở rộng, phải tổ chức validation nội bộ riêng và không trộn với kết quả split cố định.</w:t>
      </w:r>
    </w:p>
    <w:p>
      <w:pPr>
        <w:pStyle w:val="Heading2"/>
      </w:pPr>
      <w:r>
        <w:t>4.5. Chi phí suy luận và bằng chứng bắt buộc</w:t>
      </w:r>
    </w:p>
    <w:p>
      <w:pPr>
        <w:jc w:val="both"/>
      </w:pPr>
      <w:r>
        <w:rPr>
          <w:rFonts w:ascii="Times New Roman" w:hAnsi="Times New Roman" w:eastAsia="Times New Roman" w:cs="Times New Roman"/>
        </w:rPr>
        <w:t>Đo CPU, batch=1, model.eval() và inference_mode; khóa số luồng (khởi đầu đề xuất: 1), kiểu dữ liệu và thiết bị. Sau 100 lượt làm nóng, đo ít nhất 1.000 lượt, báo cáo trung vị và P95. Tách thời gian suy luận mạng khỏi tiền xử lý BVP và tổng thời gian xử lý một cửa sổ. Nhánh ECG tạo nhãn không thuộc chi phí suy luận thực tế.</w:t>
      </w:r>
    </w:p>
    <w:p>
      <w:pPr>
        <w:jc w:val="both"/>
      </w:pPr>
      <w:r>
        <w:rPr>
          <w:rFonts w:ascii="Times New Roman" w:hAnsi="Times New Roman" w:eastAsia="Times New Roman" w:cs="Times New Roman"/>
        </w:rPr>
        <w:t>Báo cáo số tham số, kích thước checkpoint và cấu hình đo; RAM đỉnh chỉ báo cáo nếu có phương pháp đo rõ ràng. Cửa sổ cần 8 s dữ liệu, cập nhật mỗi 2 s, nên độ trễ mạng vài mili giây không đồng nghĩa độ trễ đầu-cuối vài mili giây. Chỉ kết luận chạy trên gateway/MCU sau khi đo trên đúng thiết bị với đúng quy trình xử lý.</w:t>
      </w:r>
    </w:p>
    <w:p>
      <w:pPr>
        <w:spacing w:after="100"/>
        <w:jc w:val="both"/>
      </w:pPr>
      <w:r>
        <w:rPr>
          <w:rFonts w:ascii="Times New Roman" w:hAnsi="Times New Roman" w:eastAsia="Times New Roman" w:cs="Times New Roman"/>
          <w:i/>
          <w:sz w:val="21"/>
        </w:rPr>
        <w:t>Hình/bảng bắt buộc: đường học train/validation; tổng thể và phân tầng; HR tham chiếu–dự đoán theo thời gian; scatter với đường đồng nhất; Bland–Altman có chú thích đo lặp; ít nhất một lỗi điển hình kèm BVP, phổ FFT, ECG và đỉnh R. Không gọi HR_ref là “giá trị thật” không sai số.</w:t>
      </w:r>
    </w:p>
    <w:p>
      <w:pPr>
        <w:pStyle w:val="Heading1"/>
        <w:pageBreakBefore/>
      </w:pPr>
      <w:r>
        <w:t>5. KẾ HOẠCH THỰC HIỆN VÀ BÀN GIAO</w:t>
      </w:r>
    </w:p>
    <w:p>
      <w:pPr>
        <w:pStyle w:val="Heading2"/>
      </w:pPr>
      <w:r>
        <w:t>5.1. Tiến độ bốn tuần</w:t>
      </w:r>
    </w:p>
    <w:p>
      <w:pPr>
        <w:pStyle w:val="Caption"/>
        <w:keepNext/>
        <w:jc w:val="left"/>
      </w:pPr>
      <w:r>
        <w:t>Bảng 9. Tiến độ và điểm kiểm tra</w:t>
      </w:r>
    </w:p>
    <w:tbl>
      <w:tblPr>
        <w:tblW w:type="auto" w:w="0"/>
        <w:jc w:val="center"/>
        <w:tblLayout w:type="fixed"/>
        <w:tblLook w:firstColumn="1" w:firstRow="1" w:lastColumn="0" w:lastRow="0" w:noHBand="0" w:noVBand="1" w:val="04A0"/>
      </w:tblPr>
      <w:tblGrid>
        <w:gridCol w:w="737"/>
        <w:gridCol w:w="4252"/>
        <w:gridCol w:w="4365"/>
      </w:tblGrid>
      <w:tr>
        <w:trPr>
          <w:cantSplit/>
          <w:tblHeader w:val="true"/>
        </w:trPr>
        <w:tc>
          <w:tcPr>
            <w:tcW w:type="dxa" w:w="737"/>
            <w:vAlign w:val="center"/>
            <w:tcMar>
              <w:top w:w="75" w:type="dxa"/>
              <w:bottom w:w="75" w:type="dxa"/>
              <w:left w:w="100" w:type="dxa"/>
              <w:right w:w="100" w:type="dxa"/>
            </w:tcMar>
            <w:shd w:fill="E9EEF3"/>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sz w:val="21"/>
              </w:rPr>
              <w:t>Tuần</w:t>
            </w:r>
          </w:p>
        </w:tc>
        <w:tc>
          <w:tcPr>
            <w:tcW w:type="dxa" w:w="4252"/>
            <w:vAlign w:val="center"/>
            <w:tcMar>
              <w:top w:w="75" w:type="dxa"/>
              <w:bottom w:w="75" w:type="dxa"/>
              <w:left w:w="100" w:type="dxa"/>
              <w:right w:w="100" w:type="dxa"/>
            </w:tcMar>
            <w:shd w:fill="E9EEF3"/>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sz w:val="21"/>
              </w:rPr>
              <w:t>Công việc ưu tiên</w:t>
            </w:r>
          </w:p>
        </w:tc>
        <w:tc>
          <w:tcPr>
            <w:tcW w:type="dxa" w:w="4365"/>
            <w:vAlign w:val="center"/>
            <w:tcMar>
              <w:top w:w="75" w:type="dxa"/>
              <w:bottom w:w="75" w:type="dxa"/>
              <w:left w:w="100" w:type="dxa"/>
              <w:right w:w="100" w:type="dxa"/>
            </w:tcMar>
            <w:shd w:fill="E9EEF3"/>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sz w:val="21"/>
              </w:rPr>
              <w:t>Đầu ra kiểm chứng</w:t>
            </w:r>
          </w:p>
        </w:tc>
      </w:tr>
      <w:tr>
        <w:trPr>
          <w:cantSplit/>
        </w:trPr>
        <w:tc>
          <w:tcPr>
            <w:tcW w:type="dxa" w:w="737"/>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1</w:t>
            </w:r>
          </w:p>
        </w:tc>
        <w:tc>
          <w:tcPr>
            <w:tcW w:type="dxa" w:w="4252"/>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Đối chiếu G1; kiểm tra đồng bộ, nhãn R/QC; khóa split; cài E0 và E1.</w:t>
            </w:r>
          </w:p>
        </w:tc>
        <w:tc>
          <w:tcPr>
            <w:tcW w:type="dxa" w:w="4365"/>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Manifest cửa sổ; bảng QC có định nghĩa; hình ECG/R; đối chứng chạy được trên train/validation.</w:t>
            </w:r>
          </w:p>
        </w:tc>
      </w:tr>
      <w:tr>
        <w:trPr>
          <w:cantSplit/>
        </w:trPr>
        <w:tc>
          <w:tcPr>
            <w:tcW w:type="dxa" w:w="737"/>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2</w:t>
            </w:r>
          </w:p>
        </w:tc>
        <w:tc>
          <w:tcPr>
            <w:tcW w:type="dxa" w:w="4252"/>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Cài CNN; kiểm tra chiều tensor/số tham số; huấn luyện và điều chỉnh trên validation.</w:t>
            </w:r>
          </w:p>
        </w:tc>
        <w:tc>
          <w:tcPr>
            <w:tcW w:type="dxa" w:w="4365"/>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Cấu hình khóa; log; checkpoint; đường học; không dùng test chọn cấu hình.</w:t>
            </w:r>
          </w:p>
        </w:tc>
      </w:tr>
      <w:tr>
        <w:trPr>
          <w:cantSplit/>
        </w:trPr>
        <w:tc>
          <w:tcPr>
            <w:tcW w:type="dxa" w:w="737"/>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3</w:t>
            </w:r>
          </w:p>
        </w:tc>
        <w:tc>
          <w:tcPr>
            <w:tcW w:type="dxa" w:w="4252"/>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Chạy ba seed; ablation theo ngân sách; đánh giá test sau khi khóa toàn bộ lựa chọn.</w:t>
            </w:r>
          </w:p>
        </w:tc>
        <w:tc>
          <w:tcPr>
            <w:tcW w:type="dxa" w:w="4365"/>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Dự đoán theo window_id; bảng từng người/điều kiện; kết quả tất cả seed.</w:t>
            </w:r>
          </w:p>
        </w:tc>
      </w:tr>
      <w:tr>
        <w:trPr>
          <w:cantSplit/>
        </w:trPr>
        <w:tc>
          <w:tcPr>
            <w:tcW w:type="dxa" w:w="737"/>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4</w:t>
            </w:r>
          </w:p>
        </w:tc>
        <w:tc>
          <w:tcPr>
            <w:tcW w:type="dxa" w:w="4252"/>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Phân tích lỗi; đo CPU; hoàn thiện báo cáo và kiểm tra tái lập.</w:t>
            </w:r>
          </w:p>
        </w:tc>
        <w:tc>
          <w:tcPr>
            <w:tcW w:type="dxa" w:w="4365"/>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Hình/bảng; nhật ký đo; báo cáo; gói mã và hướng dẫn chạy.</w:t>
            </w:r>
          </w:p>
        </w:tc>
      </w:tr>
    </w:tbl>
    <w:p>
      <w:pPr>
        <w:spacing w:after="0"/>
      </w:pPr>
    </w:p>
    <w:p>
      <w:pPr>
        <w:pStyle w:val="Heading2"/>
      </w:pPr>
      <w:r>
        <w:t>5.2. Sản phẩm bàn giao</w:t>
      </w:r>
    </w:p>
    <w:p>
      <w:pPr>
        <w:jc w:val="both"/>
      </w:pPr>
      <w:r>
        <w:rPr>
          <w:rFonts w:ascii="Times New Roman" w:hAnsi="Times New Roman" w:eastAsia="Times New Roman" w:cs="Times New Roman"/>
        </w:rPr>
        <w:t>Báo cáo kỹ thuật 15–25 trang; không làm slide theo phạm vi bản đầu vào. Kèm notebook/mã Python, README mô tả thứ tự chạy, requirements.txt hoặc tệp môi trường khóa phiên bản, tệp cấu hình và danh sách đối tượng train/validation/test.</w:t>
      </w:r>
    </w:p>
    <w:p>
      <w:pPr>
        <w:jc w:val="both"/>
      </w:pPr>
      <w:r>
        <w:rPr>
          <w:rFonts w:ascii="Times New Roman" w:hAnsi="Times New Roman" w:eastAsia="Times New Roman" w:cs="Times New Roman"/>
        </w:rPr>
        <w:t>Gói kết quả gồm manifest/QC, checkpoint theo validation của từng seed, log, dự đoán từng cửa sổ, mã tạo hình/bảng, hồ sơ kiểm tra ECG và nhật ký đo CPU. Chia sẻ mã và dữ liệu phải tuân thủ điều kiện sử dụng WESAD [1], [2].</w:t>
      </w:r>
    </w:p>
    <w:p>
      <w:pPr>
        <w:pStyle w:val="Heading2"/>
      </w:pPr>
      <w:r>
        <w:t>5.3. Rủi ro và kiểm soát</w:t>
      </w:r>
    </w:p>
    <w:p>
      <w:pPr>
        <w:pStyle w:val="Caption"/>
        <w:keepNext/>
        <w:jc w:val="left"/>
      </w:pPr>
      <w:r>
        <w:t>Bảng 10. Rủi ro quyết định độ tin cậy của kết quả</w:t>
      </w:r>
    </w:p>
    <w:tbl>
      <w:tblPr>
        <w:tblW w:type="auto" w:w="0"/>
        <w:jc w:val="center"/>
        <w:tblLayout w:type="fixed"/>
        <w:tblLook w:firstColumn="1" w:firstRow="1" w:lastColumn="0" w:lastRow="0" w:noHBand="0" w:noVBand="1" w:val="04A0"/>
      </w:tblPr>
      <w:tblGrid>
        <w:gridCol w:w="2835"/>
        <w:gridCol w:w="6520"/>
      </w:tblGrid>
      <w:tr>
        <w:trPr>
          <w:cantSplit/>
          <w:tblHeader w:val="true"/>
        </w:trPr>
        <w:tc>
          <w:tcPr>
            <w:tcW w:type="dxa" w:w="2835"/>
            <w:vAlign w:val="center"/>
            <w:tcMar>
              <w:top w:w="75" w:type="dxa"/>
              <w:bottom w:w="75" w:type="dxa"/>
              <w:left w:w="100" w:type="dxa"/>
              <w:right w:w="100" w:type="dxa"/>
            </w:tcMar>
            <w:shd w:fill="E9EEF3"/>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sz w:val="21"/>
              </w:rPr>
              <w:t>Rủi ro</w:t>
            </w:r>
          </w:p>
        </w:tc>
        <w:tc>
          <w:tcPr>
            <w:tcW w:type="dxa" w:w="6520"/>
            <w:vAlign w:val="center"/>
            <w:tcMar>
              <w:top w:w="75" w:type="dxa"/>
              <w:bottom w:w="75" w:type="dxa"/>
              <w:left w:w="100" w:type="dxa"/>
              <w:right w:w="100" w:type="dxa"/>
            </w:tcMar>
            <w:shd w:fill="E9EEF3"/>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sz w:val="21"/>
              </w:rPr>
              <w:t>Biện pháp</w:t>
            </w:r>
          </w:p>
        </w:tc>
      </w:tr>
      <w:tr>
        <w:trPr>
          <w:cantSplit/>
        </w:trPr>
        <w:tc>
          <w:tcPr>
            <w:tcW w:type="dxa" w:w="2835"/>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Sai nhãn ECG hoặc sai đồng bộ</w:t>
            </w:r>
          </w:p>
        </w:tc>
        <w:tc>
          <w:tcPr>
            <w:tcW w:type="dxa" w:w="6520"/>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Kiểm tra trực quan, tham số QRS có tài liệu, cùng khoảng thời gian; lưu mọi thay đổi nhãn.</w:t>
            </w:r>
          </w:p>
        </w:tc>
      </w:tr>
      <w:tr>
        <w:trPr>
          <w:cantSplit/>
        </w:trPr>
        <w:tc>
          <w:tcPr>
            <w:tcW w:type="dxa" w:w="2835"/>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Rò rỉ hoặc lựa chọn theo test</w:t>
            </w:r>
          </w:p>
        </w:tc>
        <w:tc>
          <w:tcPr>
            <w:tcW w:type="dxa" w:w="6520"/>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Giữ split theo người; khóa quy tắc trên train/validation; test chỉ dùng đánh giá cuối.</w:t>
            </w:r>
          </w:p>
        </w:tc>
      </w:tr>
      <w:tr>
        <w:trPr>
          <w:cantSplit/>
        </w:trPr>
        <w:tc>
          <w:tcPr>
            <w:tcW w:type="dxa" w:w="2835"/>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Chọn lọc cửa sổ thuận lợi</w:t>
            </w:r>
          </w:p>
        </w:tc>
        <w:tc>
          <w:tcPr>
            <w:tcW w:type="dxa" w:w="6520"/>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QC không phụ thuộc sai số; báo cáo số loại và tỷ lệ giữ theo người/điều kiện; cùng manifest cho mọi mô hình.</w:t>
            </w:r>
          </w:p>
        </w:tc>
      </w:tr>
      <w:tr>
        <w:trPr>
          <w:cantSplit/>
        </w:trPr>
        <w:tc>
          <w:tcPr>
            <w:tcW w:type="dxa" w:w="2835"/>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CNN không tốt hơn đối chứng</w:t>
            </w:r>
          </w:p>
        </w:tc>
        <w:tc>
          <w:tcPr>
            <w:tcW w:type="dxa" w:w="6520"/>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Giữ kết quả âm; kiểm tra co về trung bình, miền HR, phổ nhiễu và vùng tiếp nhận; không tuyên bố ưu thế trước thực nghiệm.</w:t>
            </w:r>
          </w:p>
        </w:tc>
      </w:tr>
      <w:tr>
        <w:trPr>
          <w:cantSplit/>
        </w:trPr>
        <w:tc>
          <w:tcPr>
            <w:tcW w:type="dxa" w:w="2835"/>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Thiếu thời gian/checkpoint chuyển miền</w:t>
            </w:r>
          </w:p>
        </w:tc>
        <w:tc>
          <w:tcPr>
            <w:tcW w:type="dxa" w:w="6520"/>
            <w:vAlign w:val="center"/>
            <w:tcMar>
              <w:top w:w="75" w:type="dxa"/>
              <w:bottom w:w="75" w:type="dxa"/>
              <w:left w:w="100" w:type="dxa"/>
              <w:right w:w="100" w:type="dxa"/>
            </w:tcMar>
            <w:tcBorders>
              <w:top w:val="single" w:sz="4" w:color="BCC5CE"/>
              <w:left w:val="single" w:sz="4" w:color="BCC5CE"/>
              <w:bottom w:val="single" w:sz="4" w:color="BCC5CE"/>
              <w:right w:val="single" w:sz="4" w:color="BCC5CE"/>
            </w:tcBorders>
          </w:tcPr>
          <w:p>
            <w:pPr>
              <w:keepNext w:val="0"/>
              <w:spacing w:after="20" w:before="20" w:line="240" w:lineRule="auto"/>
            </w:pPr>
            <w:r>
              <w:rPr>
                <w:rFonts w:ascii="Times New Roman" w:hAnsi="Times New Roman" w:eastAsia="Times New Roman" w:cs="Times New Roman"/>
                <w:b w:val="0"/>
                <w:sz w:val="21"/>
              </w:rPr>
              <w:t>Ưu tiên E0–E2, ba seed và kiểm tra dữ liệu; E3/LOSO là mở rộng, không điều kiện để hoàn thành.</w:t>
            </w:r>
          </w:p>
        </w:tc>
      </w:tr>
    </w:tbl>
    <w:p>
      <w:pPr>
        <w:spacing w:after="0"/>
      </w:pPr>
    </w:p>
    <w:p>
      <w:pPr>
        <w:pStyle w:val="Heading2"/>
      </w:pPr>
      <w:r>
        <w:t>5.4. Giới hạn của kết luận</w:t>
      </w:r>
    </w:p>
    <w:p>
      <w:pPr>
        <w:jc w:val="both"/>
      </w:pPr>
      <w:r>
        <w:rPr>
          <w:rFonts w:ascii="Times New Roman" w:hAnsi="Times New Roman" w:eastAsia="Times New Roman" w:cs="Times New Roman"/>
        </w:rPr>
        <w:t>Kết quả chỉ áp dụng cho WESAD, các cửa sổ qua QC của ba điều kiện, miền 35–200 BPM và bốn người test. Không suy rộng sang bệnh nhân, loạn nhịp, sinh hoạt tự do hoặc MCU. Đây là đánh giá một cấu hình gọn có thể tái lập, không chứng minh nhận dạng cảm xúc, giá trị lâm sàng hay ưu thế so với mọi phương pháp khác.</w:t>
      </w:r>
    </w:p>
    <w:p>
      <w:pPr>
        <w:pStyle w:val="Heading1"/>
        <w:pageBreakBefore/>
      </w:pPr>
      <w:r>
        <w:t>6. TÀI LIỆU THAM KHẢO</w:t>
      </w:r>
    </w:p>
    <w:p>
      <w:pPr>
        <w:jc w:val="both"/>
      </w:pPr>
      <w:r>
        <w:rPr>
          <w:rFonts w:ascii="Times New Roman" w:hAnsi="Times New Roman" w:eastAsia="Times New Roman" w:cs="Times New Roman"/>
        </w:rPr>
        <w:t>[1] P. Schmidt, A. Reiss, R. Dürichen, C. Marberger và K. Van Laerhoven, “Introducing WESAD, a Multimodal Dataset for Wearable Stress and Affect Detection,” ICMI, 2018, tr. 400–408. DOI: 10.1145/3242969.3242985.</w:t>
      </w:r>
    </w:p>
    <w:p>
      <w:pPr>
        <w:jc w:val="both"/>
      </w:pPr>
      <w:r>
        <w:rPr>
          <w:rFonts w:ascii="Times New Roman" w:hAnsi="Times New Roman" w:eastAsia="Times New Roman" w:cs="Times New Roman"/>
        </w:rPr>
        <w:t>[2] P. Schmidt và A. Reiss, WESAD (Wearable Stress and Affect Detection) [bộ dữ liệu], UCI Machine Learning Repository, 2018. DOI: 10.24432/C57K5T. Thông tin về số người tham gia, thiết bị và tần số lấy mẫu được đối chiếu ngày 22/09/2026.</w:t>
      </w:r>
    </w:p>
    <w:p>
      <w:pPr>
        <w:jc w:val="both"/>
      </w:pPr>
      <w:r>
        <w:rPr>
          <w:rFonts w:ascii="Times New Roman" w:hAnsi="Times New Roman" w:eastAsia="Times New Roman" w:cs="Times New Roman"/>
        </w:rPr>
        <w:t>[3] A. Reiss, I. Indlekofer, P. Schmidt và K. Van Laerhoven, “Deep PPG: Large-Scale Heart Rate Estimation with Convolutional Neural Networks,” Sensors, 19(14), 3079, 2019. DOI: 10.3390/s19143079.</w:t>
      </w:r>
    </w:p>
    <w:p>
      <w:pPr>
        <w:jc w:val="both"/>
      </w:pPr>
      <w:r>
        <w:rPr>
          <w:rFonts w:ascii="Times New Roman" w:hAnsi="Times New Roman" w:eastAsia="Times New Roman" w:cs="Times New Roman"/>
        </w:rPr>
        <w:t>[4] P. H. Charlton và cộng sự, “The 2023 wearable photoplethysmography roadmap,” Physiological Measurement, 44(11), 111001, 2023. DOI: 10.1088/1361-6579/acead2.</w:t>
      </w:r>
    </w:p>
    <w:p>
      <w:pPr>
        <w:jc w:val="both"/>
      </w:pPr>
      <w:r>
        <w:rPr>
          <w:rFonts w:ascii="Times New Roman" w:hAnsi="Times New Roman" w:eastAsia="Times New Roman" w:cs="Times New Roman"/>
        </w:rPr>
        <w:t>[5] J. Pan và W. J. Tompkins, “A Real-Time QRS Detection Algorithm,” IEEE Transactions on Biomedical Engineering, 32(3), tr. 230–236, 1985. DOI: 10.1109/TBME.1985.325532.</w:t>
      </w:r>
    </w:p>
    <w:p>
      <w:pPr>
        <w:jc w:val="both"/>
      </w:pPr>
      <w:r>
        <w:rPr>
          <w:rFonts w:ascii="Times New Roman" w:hAnsi="Times New Roman" w:eastAsia="Times New Roman" w:cs="Times New Roman"/>
        </w:rPr>
        <w:t>[6] SciPy Community, SciPy Documentation: scipy.signal.resample_poly; scipy.signal.sosfiltfilt; Signal Processing — Spectral Analysis. Tài liệu chính thức tại docs.scipy.org, truy cập ngày 22/09/2026. Phiên bản dùng trong thực nghiệm phải ghi riêng trong requirements.txt.</w:t>
      </w:r>
    </w:p>
    <w:p>
      <w:pPr>
        <w:jc w:val="both"/>
      </w:pPr>
      <w:r>
        <w:rPr>
          <w:rFonts w:ascii="Times New Roman" w:hAnsi="Times New Roman" w:eastAsia="Times New Roman" w:cs="Times New Roman"/>
        </w:rPr>
        <w:t>[7] PyTorch Contributors, PyTorch Documentation: torch.nn.HuberLoss. Tài liệu chính thức tại docs.pytorch.org, truy cập ngày 22/09/2026. Tham số delta phải được ghi rõ cùng đơn vị của biến mục tiêu.</w:t>
      </w:r>
    </w:p>
    <w:p>
      <w:pPr>
        <w:jc w:val="both"/>
      </w:pPr>
      <w:r>
        <w:rPr>
          <w:rFonts w:ascii="Times New Roman" w:hAnsi="Times New Roman" w:eastAsia="Times New Roman" w:cs="Times New Roman"/>
        </w:rPr>
        <w:t>[8] J. M. Bland và D. G. Altman, “Agreement between methods of measurement with multiple observations per individual,” Journal of Biopharmaceutical Statistics, 17(4), tr. 571–582, 2007. DOI: 10.1080/10543400701329422.</w:t>
      </w:r>
    </w:p>
    <w:p>
      <w:pPr>
        <w:pStyle w:val="Heading2"/>
      </w:pPr>
      <w:r>
        <w:t>Ghi chú về trạng thái bằng chứng</w:t>
      </w:r>
    </w:p>
    <w:p>
      <w:pPr>
        <w:jc w:val="both"/>
      </w:pPr>
      <w:r>
        <w:rPr>
          <w:rFonts w:ascii="Times New Roman" w:hAnsi="Times New Roman" w:eastAsia="Times New Roman" w:cs="Times New Roman"/>
        </w:rPr>
        <w:t>Các số lượng cửa sổ G1 được bảo lưu để đối chiếu với bản đầu vào, không phải kết quả tính lại của bản chỉnh sửa. Những thông số được nêu là “khởi đầu đề xuất” hoặc “dự kiến” phải được kiểm tra, khóa cấu hình và báo cáo phiên bản trước thực nghiệm. Chưa có MAE, RMSE, checkpoint huấn luyện hoặc số đo độ trễ mới được xác lập trong tài liệu này.</w:t>
      </w:r>
    </w:p>
    <w:p>
      <w:pPr>
        <w:jc w:val="both"/>
      </w:pPr>
      <w:r>
        <w:rPr>
          <w:rFonts w:ascii="Times New Roman" w:hAnsi="Times New Roman" w:eastAsia="Times New Roman" w:cs="Times New Roman"/>
        </w:rPr>
        <w:t>Bản chỉnh sửa giữ nguyên thông tin sinh viên, giảng viên, học phần, năm học và hướng nghiên cứu BVP → HR của bản đầu vào. Các thay đổi trọng tâm là làm rõ vai trò nhãn điều kiện, tư cách tham chiếu ECG, tính công bằng của đối chứng, quản lý rò rỉ dữ liệu, phạm vi kết luận và khả năng tái lập.</w:t>
      </w:r>
    </w:p>
    <w:sectPr w:rsidR="00FC693F" w:rsidRPr="0006063C" w:rsidSect="00034616">
      <w:headerReference w:type="default" r:id="rId9"/>
      <w:footerReference w:type="default" r:id="rId10"/>
      <w:pgSz w:w="11906" w:h="16838"/>
      <w:pgMar w:top="1134" w:right="1134" w:bottom="1020" w:left="1417"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sz w:val="18"/>
      </w:rPr>
      <w:t xml:space="preserve">Đ18 • Trần Tiến Thịnh  |  Trang </w:t>
    </w:r>
    <w:r/>
    <w:fldSimple w:instr="PAGE">
      <w:r>
        <w:t>1</w:t>
      </w:r>
    </w:fldSimple>
    <w:r>
      <w:rPr>
        <w:rFonts w:ascii="Times New Roman" w:hAnsi="Times New Roman" w:eastAsia="Times New Roman" w:cs="Times New Roman"/>
        <w:sz w:val="18"/>
      </w:rPr>
      <w:t xml:space="preserve"> / </w:t>
    </w:r>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s="Times New Roman"/>
        <w:color w:val="53616D"/>
        <w:sz w:val="18"/>
      </w:rPr>
      <w:t>TRÍ TUỆ NHÂN TẠO CHO IoT  •  ĐỀ CƯƠNG Đ18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Times New Roman" w:hAnsi="Times New Roman" w:eastAsia="Times New Roman" w:cs="Times New Roman"/>
      <w:b/>
      <w:bCs/>
      <w:color w:val="172C43"/>
      <w:sz w:val="2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Times New Roman" w:hAnsi="Times New Roman" w:eastAsia="Times New Roman" w:cs="Times New Roman"/>
      <w:b/>
      <w:bCs/>
      <w:color w:val="172C43"/>
      <w:sz w:val="25"/>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Times New Roman" w:hAnsi="Times New Roman" w:eastAsia="Times New Roman" w:cs="Times New Roman"/>
      <w:b/>
      <w:bCs/>
      <w:color w:val="172C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80"/>
      <w:contextualSpacing/>
    </w:pPr>
    <w:rPr>
      <w:rFonts w:asciiTheme="majorHAnsi" w:eastAsiaTheme="majorEastAsia" w:hAnsiTheme="majorHAnsi" w:cstheme="majorBidi" w:ascii="Times New Roman" w:hAnsi="Times New Roman" w:eastAsia="Times New Roman" w:cs="Times New Roman"/>
      <w:b/>
      <w:color w:val="172C43"/>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Times New Roman" w:hAnsi="Times New Roman" w:eastAsia="Times New Roman" w:cs="Times New Roman"/>
      <w:b/>
      <w:bCs/>
      <w:i/>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Đ18 – Trần Tiến Thịnh – Bản chỉnh sửa khoa học</dc:title>
  <dc:subject>Rà soát và chỉnh sửa đề cương tiểu luận Trí tuệ nhân tạo cho IoT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