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1 – NỘI DUNG 1 VÀ 2</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center"/>
      </w:pPr>
      <w:r>
        <w:rPr>
          <w:b w:val="0"/>
          <w:i/>
          <w:sz w:val="24"/>
        </w:rPr>
        <w:t>Hạn nộp: 22/10/2026 (10% điểm học phần)</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Đề bài và phạm vi Báo cáo 1</w:t>
      </w:r>
    </w:p>
    <w:p>
      <w:pPr>
        <w:jc w:val="both"/>
      </w:pPr>
      <w:r>
        <w:rPr>
          <w:b w:val="0"/>
          <w:i w:val="0"/>
        </w:rPr>
        <w:t>2. Xây dựng bộ dữ liệu ảnh cây thân gỗ (Nội dung 1)</w:t>
      </w:r>
    </w:p>
    <w:p>
      <w:pPr>
        <w:jc w:val="both"/>
      </w:pPr>
      <w:r>
        <w:rPr>
          <w:b w:val="0"/>
          <w:i w:val="0"/>
        </w:rPr>
        <w:t xml:space="preserve">    2.1. Tiêu chí của bộ dữ liệu</w:t>
      </w:r>
    </w:p>
    <w:p>
      <w:pPr>
        <w:jc w:val="both"/>
      </w:pPr>
      <w:r>
        <w:rPr>
          <w:b w:val="0"/>
          <w:i w:val="0"/>
        </w:rPr>
        <w:t xml:space="preserve">    2.2. Nguồn và quy trình sưu tầm</w:t>
      </w:r>
    </w:p>
    <w:p>
      <w:pPr>
        <w:jc w:val="both"/>
      </w:pPr>
      <w:r>
        <w:rPr>
          <w:b w:val="0"/>
          <w:i w:val="0"/>
        </w:rPr>
        <w:t xml:space="preserve">    2.3. Thống kê bộ dữ liệu</w:t>
      </w:r>
    </w:p>
    <w:p>
      <w:pPr>
        <w:jc w:val="both"/>
      </w:pPr>
      <w:r>
        <w:rPr>
          <w:b w:val="0"/>
          <w:i w:val="0"/>
        </w:rPr>
        <w:t xml:space="preserve">    2.4. Đặc điểm giống nhau và khác nhau của các cây trong ảnh</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3.1. Định hướng thiết kế</w:t>
      </w:r>
    </w:p>
    <w:p>
      <w:pPr>
        <w:jc w:val="both"/>
      </w:pPr>
      <w:r>
        <w:rPr>
          <w:b w:val="0"/>
          <w:i w:val="0"/>
        </w:rPr>
        <w:t xml:space="preserve">    3.2 – 3.5. Bốn bộ đặc trưng: màu sắc, hình dạng, kết cấu/bố cục, embedding sâu</w:t>
      </w:r>
    </w:p>
    <w:p>
      <w:pPr>
        <w:jc w:val="both"/>
      </w:pPr>
      <w:r>
        <w:rPr>
          <w:b w:val="0"/>
          <w:i w:val="0"/>
        </w:rPr>
        <w:t xml:space="preserve">    3.6. Đánh giá định lượng giá trị thông tin của các đặc trưng</w:t>
      </w:r>
    </w:p>
    <w:p>
      <w:pPr>
        <w:jc w:val="both"/>
      </w:pPr>
      <w:r>
        <w:rPr>
          <w:b w:val="0"/>
          <w:i w:val="0"/>
        </w:rPr>
        <w:t xml:space="preserve">    3.7. Ví dụ minh hoạ: đặc trưng tìm sự tương đồng và sự khác biệt</w:t>
      </w:r>
    </w:p>
    <w:p>
      <w:pPr>
        <w:jc w:val="both"/>
      </w:pPr>
      <w:r>
        <w:rPr>
          <w:b w:val="0"/>
          <w:i w:val="0"/>
        </w:rPr>
        <w:t>4. Kết luận và kế hoạch cho Báo cáo 2</w:t>
      </w:r>
    </w:p>
    <w:p>
      <w:r>
        <w:br w:type="page"/>
      </w:r>
    </w:p>
    <w:p>
      <w:pPr>
        <w:pStyle w:val="Heading1"/>
      </w:pPr>
      <w:r>
        <w:t>1. Đề bài và phạm vi Báo cáo 1</w:t>
      </w:r>
    </w:p>
    <w:p>
      <w:pPr>
        <w:jc w:val="both"/>
      </w:pPr>
      <w:r>
        <w:rPr>
          <w:b w:val="0"/>
          <w:i w:val="0"/>
        </w:rPr>
        <w:t>Đề bài nhóm 27: Xây dựng hệ CSDL lưu trữ và tìm kiếm ảnh cây. Học phần chia làm ba mốc: Báo cáo 1 (10%, hạn 22/10/2026) gồm nội dung 1 và 2; Báo cáo 2 (20%, hạn 03/12/2026) gồm nội dung 3 và 4; báo cáo demo (60%) vào ngày thi gồm tất cả các nội dung. Báo cáo này trình bày hai nội dung đầu:</w:t>
      </w:r>
    </w:p>
    <w:p>
      <w:pPr>
        <w:pStyle w:val="ListNumber"/>
        <w:numPr>
          <w:ilvl w:val="0"/>
          <w:numId w:val="10"/>
        </w:numPr>
        <w:jc w:val="both"/>
      </w:pPr>
      <w:r>
        <w:t>Xây dựng/sưu tầm bộ dữ liệu ít nhất 500 ảnh về các cây thân gỗ trưởng thành. Các ảnh được lưu trữ với cùng kích thước, mỗi ảnh gồm 1 cây hoàn chỉnh nằm giữa ảnh, các cây được chụp ngang, vật trong ảnh có tỉ lệ khung hình tương đồng nhau giữa các ảnh. Mô tả đặc điểm giống và khác nhau của các cây trong các ảnh thu thập được.</w:t>
      </w:r>
    </w:p>
    <w:p>
      <w:pPr>
        <w:pStyle w:val="ListNumber"/>
        <w:numPr>
          <w:ilvl w:val="0"/>
          <w:numId w:val="10"/>
        </w:numPr>
        <w:jc w:val="both"/>
      </w:pPr>
      <w:r>
        <w:t>Xây dựng một hoặc vài bộ đặc trưng để nhận diện các cây từ bộ dữ liệu đã thu thập. Các bộ thuộc tính phải bao gồm các đặc trưng giúp tìm sự tương đồng và tìm sự khác biệt giữa các cây trong các ảnh. Trình bày cụ thể về từng loại đặc trưng này cùng giá trị thông tin của các đặc trưng được sử dụng.</w:t>
      </w:r>
    </w:p>
    <w:p>
      <w:pPr>
        <w:jc w:val="both"/>
      </w:pPr>
      <w:r>
        <w:rPr>
          <w:b w:val="0"/>
          <w:i w:val="0"/>
        </w:rPr>
        <w:t>Kết quả chính: bộ dữ liệu 627 ảnh JPEG 512×512 đã tách nền (đạt yêu cầu ≥ 500) kèm 10 ảnh truy vấn thử tách riêng; bốn bộ đặc trưng (màu sắc, hình dạng, kết cấu/bố cục, embedding sâu) được định nghĩa, cài đặt và đánh giá giá trị thông tin bằng số liệu. Mã nguồn trích rút và CSDL đặc trưng (nội dung 3) đã được cài đặt sẵn để phục vụ các phép đo trong báo cáo này và sẽ được trình bày chi tiết ở Báo cáo 2.</w:t>
      </w:r>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Tách nền: </w:t>
      </w:r>
      <w:r>
        <w:t>ảnh lưu trong CSDL chỉ còn cây trên nền trắng (thư mục data/images_nobg); ảnh chuẩn hoá còn nền (data/images) chỉ là dữ liệu trung gian để tách nền. Ảnh truy vấn được tách nền theo đúng cách đó trước khi so sánh.</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Tách nền tự động từng ảnh (chỉ giữ cây, nền thay bằng màu trắng) rồi qua cổng kiểm soát chất lượng: chỉ nhận ảnh tìm thấy cây, có tỉ lệ vùng cây trong [4%, 90%] và tâm vùng cây lệch tâm ảnh không quá 30% mỗi trục → loại thêm 37 ảnh.</w:t>
      </w:r>
    </w:p>
    <w:p>
      <w:pPr>
        <w:pStyle w:val="ListNumber"/>
        <w:numPr>
          <w:ilvl w:val="0"/>
          <w:numId w:val="11"/>
        </w:numPr>
        <w:jc w:val="both"/>
      </w:pPr>
      <w:r>
        <w:t>Kết quả: 627 ảnh đã tách nền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CSDL sau chuẩn hoá và tách nền (nhãn chi nếu có)</w:t>
      </w:r>
    </w:p>
    <w:p>
      <w:pPr>
        <w:pStyle w:val="Heading2"/>
      </w:pPr>
      <w:r>
        <w:t>2.3. Thống kê bộ dữ liệu</w:t>
      </w:r>
    </w:p>
    <w:p>
      <w:pPr>
        <w:jc w:val="center"/>
      </w:pPr>
      <w:r>
        <w:rPr>
          <w:b/>
          <w:sz w:val="23"/>
        </w:rPr>
        <w:t>Bảng 1.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 đã tách nền (nền trắng)</w:t>
            </w:r>
          </w:p>
        </w:tc>
      </w:tr>
      <w:tr>
        <w:tc>
          <w:tcPr>
            <w:tcW w:type="dxa" w:w="3402"/>
          </w:tcPr>
          <w:p>
            <w:r/>
            <w:r>
              <w:rPr>
                <w:sz w:val="21"/>
              </w:rPr>
              <w:t>Dung lượng trung bình / ảnh</w:t>
            </w:r>
          </w:p>
        </w:tc>
        <w:tc>
          <w:tcPr>
            <w:tcW w:type="dxa" w:w="5669"/>
          </w:tcPr>
          <w:p>
            <w:r/>
            <w:r>
              <w:rPr>
                <w:sz w:val="21"/>
              </w:rPr>
              <w:t>61 KB (đã tách nền); 106 KB (trước tách nền)</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2.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Ảnh gốc có 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 Sau khi tách nền chỉ còn tầng giữa (cây) trên nền trắng.</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ảnh của các ảnh gốc khá giống nhau (nền lấn át màu của cây); đây là lý do ảnh được tách nền trước khi lưu và trích rút đặc trưng.</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sau khi tách nền, bối cảnh chỉ còn ảnh hưởng gián tiếp qua ánh sáng trên tán (độ sáng V,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3.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100</w:t>
            </w:r>
          </w:p>
        </w:tc>
        <w:tc>
          <w:tcPr>
            <w:tcW w:type="dxa" w:w="737"/>
          </w:tcPr>
          <w:p>
            <w:pPr>
              <w:jc w:val="center"/>
            </w:pPr>
            <w:r/>
            <w:r>
              <w:rPr>
                <w:sz w:val="18"/>
              </w:rPr>
              <w:t>0,27</w:t>
            </w:r>
          </w:p>
        </w:tc>
        <w:tc>
          <w:tcPr>
            <w:tcW w:type="dxa" w:w="737"/>
          </w:tcPr>
          <w:p>
            <w:pPr>
              <w:jc w:val="center"/>
            </w:pPr>
            <w:r/>
            <w:r>
              <w:rPr>
                <w:sz w:val="18"/>
              </w:rPr>
              <w:t>0,41</w:t>
            </w:r>
          </w:p>
        </w:tc>
        <w:tc>
          <w:tcPr>
            <w:tcW w:type="dxa" w:w="1077"/>
          </w:tcPr>
          <w:p>
            <w:pPr>
              <w:jc w:val="center"/>
            </w:pPr>
            <w:r/>
            <w:r>
              <w:rPr>
                <w:sz w:val="18"/>
              </w:rPr>
              <w:t>0,81</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107</w:t>
            </w:r>
          </w:p>
        </w:tc>
        <w:tc>
          <w:tcPr>
            <w:tcW w:type="dxa" w:w="737"/>
          </w:tcPr>
          <w:p>
            <w:pPr>
              <w:jc w:val="center"/>
            </w:pPr>
            <w:r/>
            <w:r>
              <w:rPr>
                <w:sz w:val="18"/>
              </w:rPr>
              <w:t>0,32</w:t>
            </w:r>
          </w:p>
        </w:tc>
        <w:tc>
          <w:tcPr>
            <w:tcW w:type="dxa" w:w="737"/>
          </w:tcPr>
          <w:p>
            <w:pPr>
              <w:jc w:val="center"/>
            </w:pPr>
            <w:r/>
            <w:r>
              <w:rPr>
                <w:sz w:val="18"/>
              </w:rPr>
              <w:t>0,44</w:t>
            </w:r>
          </w:p>
        </w:tc>
        <w:tc>
          <w:tcPr>
            <w:tcW w:type="dxa" w:w="1077"/>
          </w:tcPr>
          <w:p>
            <w:pPr>
              <w:jc w:val="center"/>
            </w:pPr>
            <w:r/>
            <w:r>
              <w:rPr>
                <w:sz w:val="18"/>
              </w:rPr>
              <w:t>0,81</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94</w:t>
            </w:r>
          </w:p>
        </w:tc>
        <w:tc>
          <w:tcPr>
            <w:tcW w:type="dxa" w:w="737"/>
          </w:tcPr>
          <w:p>
            <w:pPr>
              <w:jc w:val="center"/>
            </w:pPr>
            <w:r/>
            <w:r>
              <w:rPr>
                <w:sz w:val="18"/>
              </w:rPr>
              <w:t>0,35</w:t>
            </w:r>
          </w:p>
        </w:tc>
        <w:tc>
          <w:tcPr>
            <w:tcW w:type="dxa" w:w="737"/>
          </w:tcPr>
          <w:p>
            <w:pPr>
              <w:jc w:val="center"/>
            </w:pPr>
            <w:r/>
            <w:r>
              <w:rPr>
                <w:sz w:val="18"/>
              </w:rPr>
              <w:t>0,36</w:t>
            </w:r>
          </w:p>
        </w:tc>
        <w:tc>
          <w:tcPr>
            <w:tcW w:type="dxa" w:w="1077"/>
          </w:tcPr>
          <w:p>
            <w:pPr>
              <w:jc w:val="center"/>
            </w:pPr>
            <w:r/>
            <w:r>
              <w:rPr>
                <w:sz w:val="18"/>
              </w:rPr>
              <w:t>0,80</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112</w:t>
            </w:r>
          </w:p>
        </w:tc>
        <w:tc>
          <w:tcPr>
            <w:tcW w:type="dxa" w:w="737"/>
          </w:tcPr>
          <w:p>
            <w:pPr>
              <w:jc w:val="center"/>
            </w:pPr>
            <w:r/>
            <w:r>
              <w:rPr>
                <w:sz w:val="18"/>
              </w:rPr>
              <w:t>0,31</w:t>
            </w:r>
          </w:p>
        </w:tc>
        <w:tc>
          <w:tcPr>
            <w:tcW w:type="dxa" w:w="737"/>
          </w:tcPr>
          <w:p>
            <w:pPr>
              <w:jc w:val="center"/>
            </w:pPr>
            <w:r/>
            <w:r>
              <w:rPr>
                <w:sz w:val="18"/>
              </w:rPr>
              <w:t>0,31</w:t>
            </w:r>
          </w:p>
        </w:tc>
        <w:tc>
          <w:tcPr>
            <w:tcW w:type="dxa" w:w="1077"/>
          </w:tcPr>
          <w:p>
            <w:pPr>
              <w:jc w:val="center"/>
            </w:pPr>
            <w:r/>
            <w:r>
              <w:rPr>
                <w:sz w:val="18"/>
              </w:rPr>
              <w:t>0,71</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90</w:t>
            </w:r>
          </w:p>
        </w:tc>
        <w:tc>
          <w:tcPr>
            <w:tcW w:type="dxa" w:w="737"/>
          </w:tcPr>
          <w:p>
            <w:pPr>
              <w:jc w:val="center"/>
            </w:pPr>
            <w:r/>
            <w:r>
              <w:rPr>
                <w:sz w:val="18"/>
              </w:rPr>
              <w:t>0,26</w:t>
            </w:r>
          </w:p>
        </w:tc>
        <w:tc>
          <w:tcPr>
            <w:tcW w:type="dxa" w:w="737"/>
          </w:tcPr>
          <w:p>
            <w:pPr>
              <w:jc w:val="center"/>
            </w:pPr>
            <w:r/>
            <w:r>
              <w:rPr>
                <w:sz w:val="18"/>
              </w:rPr>
              <w:t>0,41</w:t>
            </w:r>
          </w:p>
        </w:tc>
        <w:tc>
          <w:tcPr>
            <w:tcW w:type="dxa" w:w="1077"/>
          </w:tcPr>
          <w:p>
            <w:pPr>
              <w:jc w:val="center"/>
            </w:pPr>
            <w:r/>
            <w:r>
              <w:rPr>
                <w:sz w:val="18"/>
              </w:rPr>
              <w:t>0,79</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90</w:t>
            </w:r>
          </w:p>
        </w:tc>
        <w:tc>
          <w:tcPr>
            <w:tcW w:type="dxa" w:w="737"/>
          </w:tcPr>
          <w:p>
            <w:pPr>
              <w:jc w:val="center"/>
            </w:pPr>
            <w:r/>
            <w:r>
              <w:rPr>
                <w:sz w:val="18"/>
              </w:rPr>
              <w:t>0,37</w:t>
            </w:r>
          </w:p>
        </w:tc>
        <w:tc>
          <w:tcPr>
            <w:tcW w:type="dxa" w:w="737"/>
          </w:tcPr>
          <w:p>
            <w:pPr>
              <w:jc w:val="center"/>
            </w:pPr>
            <w:r/>
            <w:r>
              <w:rPr>
                <w:sz w:val="18"/>
              </w:rPr>
              <w:t>0,37</w:t>
            </w:r>
          </w:p>
        </w:tc>
        <w:tc>
          <w:tcPr>
            <w:tcW w:type="dxa" w:w="1077"/>
          </w:tcPr>
          <w:p>
            <w:pPr>
              <w:jc w:val="center"/>
            </w:pPr>
            <w:r/>
            <w:r>
              <w:rPr>
                <w:sz w:val="18"/>
              </w:rPr>
              <w:t>0,77</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104</w:t>
            </w:r>
          </w:p>
        </w:tc>
        <w:tc>
          <w:tcPr>
            <w:tcW w:type="dxa" w:w="737"/>
          </w:tcPr>
          <w:p>
            <w:pPr>
              <w:jc w:val="center"/>
            </w:pPr>
            <w:r/>
            <w:r>
              <w:rPr>
                <w:sz w:val="18"/>
              </w:rPr>
              <w:t>0,33</w:t>
            </w:r>
          </w:p>
        </w:tc>
        <w:tc>
          <w:tcPr>
            <w:tcW w:type="dxa" w:w="737"/>
          </w:tcPr>
          <w:p>
            <w:pPr>
              <w:jc w:val="center"/>
            </w:pPr>
            <w:r/>
            <w:r>
              <w:rPr>
                <w:sz w:val="18"/>
              </w:rPr>
              <w:t>0,33</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94</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0,76</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90° (Populus) đến 112° (Pinus),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4.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90,865</w:t>
            </w:r>
          </w:p>
        </w:tc>
        <w:tc>
          <w:tcPr>
            <w:tcW w:type="dxa" w:w="2268"/>
          </w:tcPr>
          <w:p>
            <w:pPr>
              <w:jc w:val="center"/>
            </w:pPr>
            <w:r/>
            <w:r>
              <w:rPr>
                <w:sz w:val="19"/>
              </w:rPr>
              <w:t>103,729</w:t>
            </w:r>
          </w:p>
        </w:tc>
      </w:tr>
      <w:tr>
        <w:tc>
          <w:tcPr>
            <w:tcW w:type="dxa" w:w="3969"/>
          </w:tcPr>
          <w:p>
            <w:r/>
            <w:r>
              <w:rPr>
                <w:sz w:val="19"/>
              </w:rPr>
              <w:t>Độ bão hoà S trung bình</w:t>
            </w:r>
          </w:p>
        </w:tc>
        <w:tc>
          <w:tcPr>
            <w:tcW w:type="dxa" w:w="2268"/>
          </w:tcPr>
          <w:p>
            <w:pPr>
              <w:jc w:val="center"/>
            </w:pPr>
            <w:r/>
            <w:r>
              <w:rPr>
                <w:sz w:val="19"/>
              </w:rPr>
              <w:t>0,319</w:t>
            </w:r>
          </w:p>
        </w:tc>
        <w:tc>
          <w:tcPr>
            <w:tcW w:type="dxa" w:w="2268"/>
          </w:tcPr>
          <w:p>
            <w:pPr>
              <w:jc w:val="center"/>
            </w:pPr>
            <w:r/>
            <w:r>
              <w:rPr>
                <w:sz w:val="19"/>
              </w:rPr>
              <w:t>0,330</w:t>
            </w:r>
          </w:p>
        </w:tc>
      </w:tr>
      <w:tr>
        <w:tc>
          <w:tcPr>
            <w:tcW w:type="dxa" w:w="3969"/>
          </w:tcPr>
          <w:p>
            <w:r/>
            <w:r>
              <w:rPr>
                <w:sz w:val="19"/>
              </w:rPr>
              <w:t>Độ sáng V trung bình</w:t>
            </w:r>
          </w:p>
        </w:tc>
        <w:tc>
          <w:tcPr>
            <w:tcW w:type="dxa" w:w="2268"/>
          </w:tcPr>
          <w:p>
            <w:pPr>
              <w:jc w:val="center"/>
            </w:pPr>
            <w:r/>
            <w:r>
              <w:rPr>
                <w:sz w:val="19"/>
              </w:rPr>
              <w:t>0,392</w:t>
            </w:r>
          </w:p>
        </w:tc>
        <w:tc>
          <w:tcPr>
            <w:tcW w:type="dxa" w:w="2268"/>
          </w:tcPr>
          <w:p>
            <w:pPr>
              <w:jc w:val="center"/>
            </w:pPr>
            <w:r/>
            <w:r>
              <w:rPr>
                <w:sz w:val="19"/>
              </w:rPr>
              <w:t>0,321</w:t>
            </w:r>
          </w:p>
        </w:tc>
      </w:tr>
      <w:tr>
        <w:tc>
          <w:tcPr>
            <w:tcW w:type="dxa" w:w="3969"/>
          </w:tcPr>
          <w:p>
            <w:r/>
            <w:r>
              <w:rPr>
                <w:sz w:val="19"/>
              </w:rPr>
              <w:t>Mật độ cạnh</w:t>
            </w:r>
          </w:p>
        </w:tc>
        <w:tc>
          <w:tcPr>
            <w:tcW w:type="dxa" w:w="2268"/>
          </w:tcPr>
          <w:p>
            <w:pPr>
              <w:jc w:val="center"/>
            </w:pPr>
            <w:r/>
            <w:r>
              <w:rPr>
                <w:sz w:val="19"/>
              </w:rPr>
              <w:t>0,788</w:t>
            </w:r>
          </w:p>
        </w:tc>
        <w:tc>
          <w:tcPr>
            <w:tcW w:type="dxa" w:w="2268"/>
          </w:tcPr>
          <w:p>
            <w:pPr>
              <w:jc w:val="center"/>
            </w:pPr>
            <w:r/>
            <w:r>
              <w:rPr>
                <w:sz w:val="19"/>
              </w:rPr>
              <w:t>0,719</w:t>
            </w:r>
          </w:p>
        </w:tc>
      </w:tr>
      <w:tr>
        <w:tc>
          <w:tcPr>
            <w:tcW w:type="dxa" w:w="3969"/>
          </w:tcPr>
          <w:p>
            <w:r/>
            <w:r>
              <w:rPr>
                <w:sz w:val="19"/>
              </w:rPr>
              <w:t>GLCM contrast (d=1)</w:t>
            </w:r>
          </w:p>
        </w:tc>
        <w:tc>
          <w:tcPr>
            <w:tcW w:type="dxa" w:w="2268"/>
          </w:tcPr>
          <w:p>
            <w:pPr>
              <w:jc w:val="center"/>
            </w:pPr>
            <w:r/>
            <w:r>
              <w:rPr>
                <w:sz w:val="19"/>
              </w:rPr>
              <w:t>0,015</w:t>
            </w:r>
          </w:p>
        </w:tc>
        <w:tc>
          <w:tcPr>
            <w:tcW w:type="dxa" w:w="2268"/>
          </w:tcPr>
          <w:p>
            <w:pPr>
              <w:jc w:val="center"/>
            </w:pPr>
            <w:r/>
            <w:r>
              <w:rPr>
                <w:sz w:val="19"/>
              </w:rPr>
              <w:t>0,012</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tách nền (cây trên nền trắng): màu và kết cấu chỉ lấy các điểm ảnh cây, hình dạng dùng mặt nạ hình bao của cây, embedding chạy trên toàn ảnh đã tách nền.</w:t>
      </w:r>
    </w:p>
    <w:p>
      <w:pPr>
        <w:jc w:val="center"/>
      </w:pPr>
      <w:r>
        <w:rPr>
          <w:b/>
          <w:sz w:val="23"/>
        </w:rPr>
        <w:t>Bảng 5.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225</w:t>
            </w:r>
          </w:p>
        </w:tc>
        <w:tc>
          <w:tcPr>
            <w:tcW w:type="dxa" w:w="1247"/>
          </w:tcPr>
          <w:p>
            <w:r/>
            <w:r>
              <w:rPr>
                <w:sz w:val="19"/>
              </w:rPr>
              <w:t>L1</w:t>
            </w:r>
          </w:p>
        </w:tc>
        <w:tc>
          <w:tcPr>
            <w:tcW w:type="dxa" w:w="1928"/>
          </w:tcPr>
          <w:p>
            <w:r/>
            <w:r>
              <w:rPr>
                <w:sz w:val="19"/>
              </w:rPr>
              <w:t>Cây có màu gì, phân bố ở đâu trên tán?</w:t>
            </w:r>
          </w:p>
        </w:tc>
        <w:tc>
          <w:tcPr>
            <w:tcW w:type="dxa" w:w="1701"/>
          </w:tcPr>
          <w:p>
            <w:r/>
            <w:r>
              <w:rPr>
                <w:sz w:val="19"/>
              </w:rPr>
              <w:t>Cùng mùa, cùng loại lá</w:t>
            </w:r>
          </w:p>
        </w:tc>
        <w:tc>
          <w:tcPr>
            <w:tcW w:type="dxa" w:w="1701"/>
          </w:tcPr>
          <w:p>
            <w:r/>
            <w:r>
              <w:rPr>
                <w:sz w:val="19"/>
              </w:rPr>
              <w:t>Lá xanh ↔ vàng ↔ trụi lá; lá kim sẫm ↔ lá rộng sáng</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Dáng tán, cấu trúc cành</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(225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Vì ảnh đã tách nền, mọi biểu đồ chỉ đếm các điểm ảnh cây: nếu đếm cả nền trắng thì ô màu trắng sẽ chiếm phần lớn biểu đồ và lấn át màu của cây (hiệu ứng che mặt). Bộ màu gồm 3 khối:</w:t>
      </w:r>
    </w:p>
    <w:p>
      <w:pPr>
        <w:jc w:val="center"/>
      </w:pPr>
      <w:r>
        <w:rPr>
          <w:b/>
          <w:sz w:val="23"/>
        </w:rPr>
        <w:t>Bảng 6.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hsv_fg</w:t>
            </w:r>
          </w:p>
        </w:tc>
        <w:tc>
          <w:tcPr>
            <w:tcW w:type="dxa" w:w="737"/>
          </w:tcPr>
          <w:p>
            <w:r/>
            <w:r>
              <w:rPr>
                <w:sz w:val="19"/>
              </w:rPr>
              <w:t>72</w:t>
            </w:r>
          </w:p>
        </w:tc>
        <w:tc>
          <w:tcPr>
            <w:tcW w:type="dxa" w:w="2948"/>
          </w:tcPr>
          <w:p>
            <w:r/>
            <w:r>
              <w:rPr>
                <w:sz w:val="19"/>
              </w:rPr>
              <w:t>Biểu đồ HSV 8×3×3 trên các điểm ảnh cây</w:t>
            </w:r>
          </w:p>
        </w:tc>
        <w:tc>
          <w:tcPr>
            <w:tcW w:type="dxa" w:w="4082"/>
          </w:tcPr>
          <w:p>
            <w:r/>
            <w:r>
              <w:rPr>
                <w:sz w:val="19"/>
              </w:rPr>
              <w:t>Màu tổng thể của cây (lá xanh/vàng/nâu, trụi lá, lá kim sẫm) – tìm cây cùng mùa, cùng loại lá</w:t>
            </w:r>
          </w:p>
        </w:tc>
      </w:tr>
      <w:tr>
        <w:tc>
          <w:tcPr>
            <w:tcW w:type="dxa" w:w="1304"/>
          </w:tcPr>
          <w:p>
            <w:r/>
            <w:r>
              <w:rPr>
                <w:sz w:val="19"/>
              </w:rPr>
              <w:t>hsv_grid</w:t>
            </w:r>
          </w:p>
        </w:tc>
        <w:tc>
          <w:tcPr>
            <w:tcW w:type="dxa" w:w="737"/>
          </w:tcPr>
          <w:p>
            <w:r/>
            <w:r>
              <w:rPr>
                <w:sz w:val="19"/>
              </w:rPr>
              <w:t>144</w:t>
            </w:r>
          </w:p>
        </w:tc>
        <w:tc>
          <w:tcPr>
            <w:tcW w:type="dxa" w:w="2948"/>
          </w:tcPr>
          <w:p>
            <w:r/>
            <w:r>
              <w:rPr>
                <w:sz w:val="19"/>
              </w:rPr>
              <w:t>Chia hộp bao của cây thành lưới 3×3, mỗi vùng biểu đồ 4×2×2 = 16 ô (chỉ điểm ảnh cây)</w:t>
            </w:r>
          </w:p>
        </w:tc>
        <w:tc>
          <w:tcPr>
            <w:tcW w:type="dxa" w:w="4082"/>
          </w:tcPr>
          <w:p>
            <w:r/>
            <w:r>
              <w:rPr>
                <w:sz w:val="19"/>
              </w:rPr>
              <w:t>Quan hệ không gian của màu trên cây: ngọn ↔ thân, rìa trái ↔ phải; phân biệt cây cùng tổng màu nhưng bố trí khác (thân nâu lộ dài, tán sáng ở ngọn…)</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vùng cây của ảnh đã tách nền và được thiết kế để ít phụ thuộc vào vị trí, kích thước và (một phần) góc quay của cây trong ảnh:</w:t>
      </w:r>
    </w:p>
    <w:p>
      <w:pPr>
        <w:jc w:val="center"/>
      </w:pPr>
      <w:r>
        <w:rPr>
          <w:b/>
          <w:sz w:val="23"/>
        </w:rPr>
        <w:t>Bảng 7.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8.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9.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0,071</w:t>
            </w:r>
          </w:p>
        </w:tc>
        <w:tc>
          <w:tcPr>
            <w:tcW w:type="dxa" w:w="1020"/>
          </w:tcPr>
          <w:p>
            <w:pPr>
              <w:jc w:val="center"/>
            </w:pPr>
            <w:r/>
            <w:r>
              <w:rPr>
                <w:sz w:val="18"/>
              </w:rPr>
              <w:t>1,068</w:t>
            </w:r>
          </w:p>
        </w:tc>
        <w:tc>
          <w:tcPr>
            <w:tcW w:type="dxa" w:w="907"/>
          </w:tcPr>
          <w:p>
            <w:pPr>
              <w:jc w:val="center"/>
            </w:pPr>
            <w:r/>
            <w:r>
              <w:rPr>
                <w:sz w:val="18"/>
              </w:rPr>
              <w:t>0,561</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0,064</w:t>
            </w:r>
          </w:p>
        </w:tc>
        <w:tc>
          <w:tcPr>
            <w:tcW w:type="dxa" w:w="1020"/>
          </w:tcPr>
          <w:p>
            <w:pPr>
              <w:jc w:val="center"/>
            </w:pPr>
            <w:r/>
            <w:r>
              <w:rPr>
                <w:sz w:val="18"/>
              </w:rPr>
              <w:t>1,041</w:t>
            </w:r>
          </w:p>
        </w:tc>
        <w:tc>
          <w:tcPr>
            <w:tcW w:type="dxa" w:w="907"/>
          </w:tcPr>
          <w:p>
            <w:pPr>
              <w:jc w:val="center"/>
            </w:pPr>
            <w:r/>
            <w:r>
              <w:rPr>
                <w:sz w:val="18"/>
              </w:rPr>
              <w:t>0,545</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0,151</w:t>
            </w:r>
          </w:p>
        </w:tc>
        <w:tc>
          <w:tcPr>
            <w:tcW w:type="dxa" w:w="1020"/>
          </w:tcPr>
          <w:p>
            <w:pPr>
              <w:jc w:val="center"/>
            </w:pPr>
            <w:r/>
            <w:r>
              <w:rPr>
                <w:sz w:val="18"/>
              </w:rPr>
              <w:t>1,130</w:t>
            </w:r>
          </w:p>
        </w:tc>
        <w:tc>
          <w:tcPr>
            <w:tcW w:type="dxa" w:w="907"/>
          </w:tcPr>
          <w:p>
            <w:pPr>
              <w:jc w:val="center"/>
            </w:pPr>
            <w:r/>
            <w:r>
              <w:rPr>
                <w:sz w:val="18"/>
              </w:rPr>
              <w:t>0,508</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0,049</w:t>
            </w:r>
          </w:p>
        </w:tc>
        <w:tc>
          <w:tcPr>
            <w:tcW w:type="dxa" w:w="1020"/>
          </w:tcPr>
          <w:p>
            <w:pPr>
              <w:jc w:val="center"/>
            </w:pPr>
            <w:r/>
            <w:r>
              <w:rPr>
                <w:sz w:val="18"/>
              </w:rPr>
              <w:t>1,035</w:t>
            </w:r>
          </w:p>
        </w:tc>
        <w:tc>
          <w:tcPr>
            <w:tcW w:type="dxa" w:w="907"/>
          </w:tcPr>
          <w:p>
            <w:pPr>
              <w:jc w:val="center"/>
            </w:pPr>
            <w:r/>
            <w:r>
              <w:rPr>
                <w:sz w:val="18"/>
              </w:rPr>
              <w:t>0,480</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0,097</w:t>
            </w:r>
          </w:p>
        </w:tc>
        <w:tc>
          <w:tcPr>
            <w:tcW w:type="dxa" w:w="1020"/>
          </w:tcPr>
          <w:p>
            <w:pPr>
              <w:jc w:val="center"/>
            </w:pPr>
            <w:r/>
            <w:r>
              <w:rPr>
                <w:sz w:val="18"/>
              </w:rPr>
              <w:t>1,061</w:t>
            </w:r>
          </w:p>
        </w:tc>
        <w:tc>
          <w:tcPr>
            <w:tcW w:type="dxa" w:w="907"/>
          </w:tcPr>
          <w:p>
            <w:pPr>
              <w:jc w:val="center"/>
            </w:pPr>
            <w:r/>
            <w:r>
              <w:rPr>
                <w:sz w:val="18"/>
              </w:rPr>
              <w:t>0,393</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0,124</w:t>
            </w:r>
          </w:p>
        </w:tc>
        <w:tc>
          <w:tcPr>
            <w:tcW w:type="dxa" w:w="1020"/>
          </w:tcPr>
          <w:p>
            <w:pPr>
              <w:jc w:val="center"/>
            </w:pPr>
            <w:r/>
            <w:r>
              <w:rPr>
                <w:sz w:val="18"/>
              </w:rPr>
              <w:t>1,079</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0,049</w:t>
            </w:r>
          </w:p>
        </w:tc>
        <w:tc>
          <w:tcPr>
            <w:tcW w:type="dxa" w:w="1020"/>
          </w:tcPr>
          <w:p>
            <w:pPr>
              <w:jc w:val="center"/>
            </w:pPr>
            <w:r/>
            <w:r>
              <w:rPr>
                <w:sz w:val="18"/>
              </w:rPr>
              <w:t>1,013</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0,330</w:t>
            </w:r>
          </w:p>
        </w:tc>
        <w:tc>
          <w:tcPr>
            <w:tcW w:type="dxa" w:w="1020"/>
          </w:tcPr>
          <w:p>
            <w:pPr>
              <w:jc w:val="center"/>
            </w:pPr>
            <w:r/>
            <w:r>
              <w:rPr>
                <w:sz w:val="18"/>
              </w:rPr>
              <w:t>1,172</w:t>
            </w:r>
          </w:p>
        </w:tc>
        <w:tc>
          <w:tcPr>
            <w:tcW w:type="dxa" w:w="907"/>
          </w:tcPr>
          <w:p>
            <w:pPr>
              <w:jc w:val="center"/>
            </w:pPr>
            <w:r/>
            <w:r>
              <w:rPr>
                <w:sz w:val="18"/>
              </w:rPr>
              <w:t>0,316</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0,145</w:t>
            </w:r>
          </w:p>
        </w:tc>
        <w:tc>
          <w:tcPr>
            <w:tcW w:type="dxa" w:w="1020"/>
          </w:tcPr>
          <w:p>
            <w:pPr>
              <w:jc w:val="center"/>
            </w:pPr>
            <w:r/>
            <w:r>
              <w:rPr>
                <w:sz w:val="18"/>
              </w:rPr>
              <w:t>1,099</w:t>
            </w:r>
          </w:p>
        </w:tc>
        <w:tc>
          <w:tcPr>
            <w:tcW w:type="dxa" w:w="907"/>
          </w:tcPr>
          <w:p>
            <w:pPr>
              <w:jc w:val="center"/>
            </w:pPr>
            <w:r/>
            <w:r>
              <w:rPr>
                <w:sz w:val="18"/>
              </w:rPr>
              <w:t>0,287</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bl>
    <w:p/>
    <w:p>
      <w:pPr>
        <w:jc w:val="center"/>
      </w:pPr>
      <w:r>
        <w:rPr>
          <w:b/>
          <w:sz w:val="23"/>
        </w:rPr>
        <w:t>Bảng 10.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225</w:t>
            </w:r>
          </w:p>
        </w:tc>
        <w:tc>
          <w:tcPr>
            <w:tcW w:type="dxa" w:w="1417"/>
          </w:tcPr>
          <w:p>
            <w:pPr>
              <w:jc w:val="center"/>
            </w:pPr>
            <w:r/>
            <w:r>
              <w:rPr>
                <w:sz w:val="19"/>
              </w:rPr>
              <w:t>0,061</w:t>
            </w:r>
          </w:p>
        </w:tc>
        <w:tc>
          <w:tcPr>
            <w:tcW w:type="dxa" w:w="1417"/>
          </w:tcPr>
          <w:p>
            <w:pPr>
              <w:jc w:val="center"/>
            </w:pPr>
            <w:r/>
            <w:r>
              <w:rPr>
                <w:sz w:val="19"/>
              </w:rPr>
              <w:t>1,043</w:t>
            </w:r>
          </w:p>
        </w:tc>
        <w:tc>
          <w:tcPr>
            <w:tcW w:type="dxa" w:w="1417"/>
          </w:tcPr>
          <w:p>
            <w:pPr>
              <w:jc w:val="center"/>
            </w:pPr>
            <w:r/>
            <w:r>
              <w:rPr>
                <w:sz w:val="19"/>
              </w:rPr>
              <w:t>0,570</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0,124</w:t>
            </w:r>
          </w:p>
        </w:tc>
        <w:tc>
          <w:tcPr>
            <w:tcW w:type="dxa" w:w="1417"/>
          </w:tcPr>
          <w:p>
            <w:pPr>
              <w:jc w:val="center"/>
            </w:pPr>
            <w:r/>
            <w:r>
              <w:rPr>
                <w:sz w:val="19"/>
              </w:rPr>
              <w:t>1,068</w:t>
            </w:r>
          </w:p>
        </w:tc>
        <w:tc>
          <w:tcPr>
            <w:tcW w:type="dxa" w:w="1417"/>
          </w:tcPr>
          <w:p>
            <w:pPr>
              <w:jc w:val="center"/>
            </w:pPr>
            <w:r/>
            <w:r>
              <w:rPr>
                <w:sz w:val="19"/>
              </w:rPr>
              <w:t>0,463</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0,071</w:t>
            </w:r>
          </w:p>
        </w:tc>
        <w:tc>
          <w:tcPr>
            <w:tcW w:type="dxa" w:w="1417"/>
          </w:tcPr>
          <w:p>
            <w:pPr>
              <w:jc w:val="center"/>
            </w:pPr>
            <w:r/>
            <w:r>
              <w:rPr>
                <w:sz w:val="19"/>
              </w:rPr>
              <w:t>1,068</w:t>
            </w:r>
          </w:p>
        </w:tc>
        <w:tc>
          <w:tcPr>
            <w:tcW w:type="dxa" w:w="1417"/>
          </w:tcPr>
          <w:p>
            <w:pPr>
              <w:jc w:val="center"/>
            </w:pPr>
            <w:r/>
            <w:r>
              <w:rPr>
                <w:sz w:val="19"/>
              </w:rPr>
              <w:t>0,561</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0,561), gấp 3,0 lần ngẫu nhiên.</w:t>
      </w:r>
    </w:p>
    <w:p>
      <w:pPr>
        <w:pStyle w:val="ListBullet"/>
        <w:jc w:val="both"/>
      </w:pPr>
      <w:r>
        <w:t>Khối có tỉ số Fisher lớn nhất là edge (0,330): ít chiều nhưng mỗi chiều tách chi tốt, nên là đặc trưng “tìm sự khác biệt” rất hiệu quả trên mỗi chiều lưu trữ.</w:t>
      </w:r>
    </w:p>
    <w:p>
      <w:pPr>
        <w:pStyle w:val="ListBullet"/>
        <w:jc w:val="both"/>
      </w:pPr>
      <w:r>
        <w:t>Sau khi tách nền, các khối màu chỉ mô tả chính cây; khối hsv_grid (màu theo vị trí trên tán) mang nhiều thông tin hơn hsv_fg vì phân biệt được cả cách bố trí màu (thân lộ, ngọn sáng) chứ không chỉ tổng màu.</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5" name="Picture 5"/>
            <wp:cNvGraphicFramePr>
              <a:graphicFrameLocks noChangeAspect="1"/>
            </wp:cNvGraphicFramePr>
            <a:graphic>
              <a:graphicData uri="http://schemas.openxmlformats.org/drawingml/2006/picture">
                <pic:pic>
                  <pic:nvPicPr>
                    <pic:cNvPr id="0" name="16_similarity_triplet.png"/>
                    <pic:cNvPicPr/>
                  </pic:nvPicPr>
                  <pic:blipFill>
                    <a:blip r:embed="rId13"/>
                    <a:stretch>
                      <a:fillRect/>
                    </a:stretch>
                  </pic:blipFill>
                  <pic:spPr>
                    <a:xfrm>
                      <a:off x="0" y="0"/>
                      <a:ext cx="5400000" cy="1963636"/>
                    </a:xfrm>
                    <a:prstGeom prst="rect"/>
                  </pic:spPr>
                </pic:pic>
              </a:graphicData>
            </a:graphic>
          </wp:inline>
        </w:drawing>
      </w:r>
    </w:p>
    <w:p>
      <w:pPr>
        <w:jc w:val="center"/>
      </w:pPr>
      <w:r>
        <w:rPr>
          <w:i/>
          <w:sz w:val="23"/>
        </w:rPr>
        <w:t>Hình 5. Ba ảnh minh hoạ: A, B (Populus) và C (Quercus)</w:t>
      </w:r>
    </w:p>
    <w:p>
      <w:pPr>
        <w:jc w:val="center"/>
      </w:pPr>
      <w:r>
        <w:rPr>
          <w:b/>
          <w:sz w:val="23"/>
        </w:rPr>
        <w:t>Bảng 11.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109,7</w:t>
            </w:r>
          </w:p>
        </w:tc>
        <w:tc>
          <w:tcPr>
            <w:tcW w:type="dxa" w:w="1701"/>
          </w:tcPr>
          <w:p>
            <w:pPr>
              <w:jc w:val="center"/>
            </w:pPr>
            <w:r/>
            <w:r>
              <w:rPr>
                <w:sz w:val="19"/>
              </w:rPr>
              <w:t>97,1</w:t>
            </w:r>
          </w:p>
        </w:tc>
        <w:tc>
          <w:tcPr>
            <w:tcW w:type="dxa" w:w="1701"/>
          </w:tcPr>
          <w:p>
            <w:pPr>
              <w:jc w:val="center"/>
            </w:pPr>
            <w:r/>
            <w:r>
              <w:rPr>
                <w:sz w:val="19"/>
              </w:rPr>
              <w:t>109,4</w:t>
            </w:r>
          </w:p>
        </w:tc>
      </w:tr>
      <w:tr>
        <w:tc>
          <w:tcPr>
            <w:tcW w:type="dxa" w:w="3969"/>
          </w:tcPr>
          <w:p>
            <w:r/>
            <w:r>
              <w:rPr>
                <w:sz w:val="19"/>
              </w:rPr>
              <w:t>Độ bão hoà S trung bình</w:t>
            </w:r>
          </w:p>
        </w:tc>
        <w:tc>
          <w:tcPr>
            <w:tcW w:type="dxa" w:w="1701"/>
          </w:tcPr>
          <w:p>
            <w:pPr>
              <w:jc w:val="center"/>
            </w:pPr>
            <w:r/>
            <w:r>
              <w:rPr>
                <w:sz w:val="19"/>
              </w:rPr>
              <w:t>0,222</w:t>
            </w:r>
          </w:p>
        </w:tc>
        <w:tc>
          <w:tcPr>
            <w:tcW w:type="dxa" w:w="1701"/>
          </w:tcPr>
          <w:p>
            <w:pPr>
              <w:jc w:val="center"/>
            </w:pPr>
            <w:r/>
            <w:r>
              <w:rPr>
                <w:sz w:val="19"/>
              </w:rPr>
              <w:t>0,306</w:t>
            </w:r>
          </w:p>
        </w:tc>
        <w:tc>
          <w:tcPr>
            <w:tcW w:type="dxa" w:w="1701"/>
          </w:tcPr>
          <w:p>
            <w:pPr>
              <w:jc w:val="center"/>
            </w:pPr>
            <w:r/>
            <w:r>
              <w:rPr>
                <w:sz w:val="19"/>
              </w:rPr>
              <w:t>0,330</w:t>
            </w:r>
          </w:p>
        </w:tc>
      </w:tr>
      <w:tr>
        <w:tc>
          <w:tcPr>
            <w:tcW w:type="dxa" w:w="3969"/>
          </w:tcPr>
          <w:p>
            <w:r/>
            <w:r>
              <w:rPr>
                <w:sz w:val="19"/>
              </w:rPr>
              <w:t>Độ sáng V trung bình</w:t>
            </w:r>
          </w:p>
        </w:tc>
        <w:tc>
          <w:tcPr>
            <w:tcW w:type="dxa" w:w="1701"/>
          </w:tcPr>
          <w:p>
            <w:pPr>
              <w:jc w:val="center"/>
            </w:pPr>
            <w:r/>
            <w:r>
              <w:rPr>
                <w:sz w:val="19"/>
              </w:rPr>
              <w:t>0,417</w:t>
            </w:r>
          </w:p>
        </w:tc>
        <w:tc>
          <w:tcPr>
            <w:tcW w:type="dxa" w:w="1701"/>
          </w:tcPr>
          <w:p>
            <w:pPr>
              <w:jc w:val="center"/>
            </w:pPr>
            <w:r/>
            <w:r>
              <w:rPr>
                <w:sz w:val="19"/>
              </w:rPr>
              <w:t>0,421</w:t>
            </w:r>
          </w:p>
        </w:tc>
        <w:tc>
          <w:tcPr>
            <w:tcW w:type="dxa" w:w="1701"/>
          </w:tcPr>
          <w:p>
            <w:pPr>
              <w:jc w:val="center"/>
            </w:pPr>
            <w:r/>
            <w:r>
              <w:rPr>
                <w:sz w:val="19"/>
              </w:rPr>
              <w:t>0,361</w:t>
            </w:r>
          </w:p>
        </w:tc>
      </w:tr>
      <w:tr>
        <w:tc>
          <w:tcPr>
            <w:tcW w:type="dxa" w:w="3969"/>
          </w:tcPr>
          <w:p>
            <w:r/>
            <w:r>
              <w:rPr>
                <w:sz w:val="19"/>
              </w:rPr>
              <w:t>Mật độ cạnh</w:t>
            </w:r>
          </w:p>
        </w:tc>
        <w:tc>
          <w:tcPr>
            <w:tcW w:type="dxa" w:w="1701"/>
          </w:tcPr>
          <w:p>
            <w:pPr>
              <w:jc w:val="center"/>
            </w:pPr>
            <w:r/>
            <w:r>
              <w:rPr>
                <w:sz w:val="19"/>
              </w:rPr>
              <w:t>0,852</w:t>
            </w:r>
          </w:p>
        </w:tc>
        <w:tc>
          <w:tcPr>
            <w:tcW w:type="dxa" w:w="1701"/>
          </w:tcPr>
          <w:p>
            <w:pPr>
              <w:jc w:val="center"/>
            </w:pPr>
            <w:r/>
            <w:r>
              <w:rPr>
                <w:sz w:val="19"/>
              </w:rPr>
              <w:t>0,779</w:t>
            </w:r>
          </w:p>
        </w:tc>
        <w:tc>
          <w:tcPr>
            <w:tcW w:type="dxa" w:w="1701"/>
          </w:tcPr>
          <w:p>
            <w:pPr>
              <w:jc w:val="center"/>
            </w:pPr>
            <w:r/>
            <w:r>
              <w:rPr>
                <w:sz w:val="19"/>
              </w:rPr>
              <w:t>0,818</w:t>
            </w:r>
          </w:p>
        </w:tc>
      </w:tr>
      <w:tr>
        <w:tc>
          <w:tcPr>
            <w:tcW w:type="dxa" w:w="3969"/>
          </w:tcPr>
          <w:p>
            <w:r/>
            <w:r>
              <w:rPr>
                <w:sz w:val="19"/>
              </w:rPr>
              <w:t>GLCM contrast (d=1)</w:t>
            </w:r>
          </w:p>
        </w:tc>
        <w:tc>
          <w:tcPr>
            <w:tcW w:type="dxa" w:w="1701"/>
          </w:tcPr>
          <w:p>
            <w:pPr>
              <w:jc w:val="center"/>
            </w:pPr>
            <w:r/>
            <w:r>
              <w:rPr>
                <w:sz w:val="19"/>
              </w:rPr>
              <w:t>0,016</w:t>
            </w:r>
          </w:p>
        </w:tc>
        <w:tc>
          <w:tcPr>
            <w:tcW w:type="dxa" w:w="1701"/>
          </w:tcPr>
          <w:p>
            <w:pPr>
              <w:jc w:val="center"/>
            </w:pPr>
            <w:r/>
            <w:r>
              <w:rPr>
                <w:sz w:val="19"/>
              </w:rPr>
              <w:t>0,012</w:t>
            </w:r>
          </w:p>
        </w:tc>
        <w:tc>
          <w:tcPr>
            <w:tcW w:type="dxa" w:w="1701"/>
          </w:tcPr>
          <w:p>
            <w:pPr>
              <w:jc w:val="center"/>
            </w:pPr>
            <w:r/>
            <w:r>
              <w:rPr>
                <w:sz w:val="19"/>
              </w:rPr>
              <w:t>0,032</w:t>
            </w:r>
          </w:p>
        </w:tc>
      </w:tr>
    </w:tbl>
    <w:p/>
    <w:p>
      <w:pPr>
        <w:jc w:val="center"/>
      </w:pPr>
      <w:r>
        <w:rPr>
          <w:b/>
          <w:sz w:val="23"/>
        </w:rPr>
        <w:t>Bảng 12.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8,841</w:t>
            </w:r>
          </w:p>
        </w:tc>
        <w:tc>
          <w:tcPr>
            <w:tcW w:type="dxa" w:w="1247"/>
          </w:tcPr>
          <w:p>
            <w:pPr>
              <w:jc w:val="center"/>
            </w:pPr>
            <w:r/>
            <w:r>
              <w:rPr>
                <w:sz w:val="19"/>
              </w:rPr>
              <w:t>9,207</w:t>
            </w:r>
          </w:p>
        </w:tc>
        <w:tc>
          <w:tcPr>
            <w:tcW w:type="dxa" w:w="1247"/>
          </w:tcPr>
          <w:p>
            <w:pPr>
              <w:jc w:val="center"/>
            </w:pPr>
            <w:r/>
            <w:r>
              <w:rPr>
                <w:sz w:val="19"/>
              </w:rPr>
              <w:t>11,977</w:t>
            </w:r>
          </w:p>
        </w:tc>
        <w:tc>
          <w:tcPr>
            <w:tcW w:type="dxa" w:w="1701"/>
          </w:tcPr>
          <w:p>
            <w:pPr>
              <w:jc w:val="center"/>
            </w:pPr>
            <w:r/>
            <w:r>
              <w:rPr>
                <w:sz w:val="19"/>
              </w:rPr>
              <w:t>đúng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5,427</w:t>
            </w:r>
          </w:p>
        </w:tc>
        <w:tc>
          <w:tcPr>
            <w:tcW w:type="dxa" w:w="1247"/>
          </w:tcPr>
          <w:p>
            <w:pPr>
              <w:jc w:val="center"/>
            </w:pPr>
            <w:r/>
            <w:r>
              <w:rPr>
                <w:sz w:val="19"/>
              </w:rPr>
              <w:t>6,726</w:t>
            </w:r>
          </w:p>
        </w:tc>
        <w:tc>
          <w:tcPr>
            <w:tcW w:type="dxa" w:w="1247"/>
          </w:tcPr>
          <w:p>
            <w:pPr>
              <w:jc w:val="center"/>
            </w:pPr>
            <w:r/>
            <w:r>
              <w:rPr>
                <w:sz w:val="19"/>
              </w:rPr>
              <w:t>8,018</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7,543</w:t>
            </w:r>
          </w:p>
        </w:tc>
        <w:tc>
          <w:tcPr>
            <w:tcW w:type="dxa" w:w="1247"/>
          </w:tcPr>
          <w:p>
            <w:pPr>
              <w:jc w:val="center"/>
            </w:pPr>
            <w:r/>
            <w:r>
              <w:rPr>
                <w:sz w:val="19"/>
              </w:rPr>
              <w:t>9,384</w:t>
            </w:r>
          </w:p>
        </w:tc>
        <w:tc>
          <w:tcPr>
            <w:tcW w:type="dxa" w:w="1247"/>
          </w:tcPr>
          <w:p>
            <w:pPr>
              <w:jc w:val="center"/>
            </w:pPr>
            <w:r/>
            <w:r>
              <w:rPr>
                <w:sz w:val="19"/>
              </w:rPr>
              <w:t>9,070</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0,215</w:t>
            </w:r>
          </w:p>
        </w:tc>
        <w:tc>
          <w:tcPr>
            <w:tcW w:type="dxa" w:w="1247"/>
          </w:tcPr>
          <w:p>
            <w:pPr>
              <w:jc w:val="center"/>
            </w:pPr>
            <w:r/>
            <w:r>
              <w:rPr>
                <w:sz w:val="19"/>
              </w:rPr>
              <w:t>0,147</w:t>
            </w:r>
          </w:p>
        </w:tc>
        <w:tc>
          <w:tcPr>
            <w:tcW w:type="dxa" w:w="1247"/>
          </w:tcPr>
          <w:p>
            <w:pPr>
              <w:jc w:val="center"/>
            </w:pPr>
            <w:r/>
            <w:r>
              <w:rPr>
                <w:sz w:val="19"/>
              </w:rPr>
              <w:t>0,300</w:t>
            </w:r>
          </w:p>
        </w:tc>
        <w:tc>
          <w:tcPr>
            <w:tcW w:type="dxa" w:w="1701"/>
          </w:tcPr>
          <w:p>
            <w:pPr>
              <w:jc w:val="center"/>
            </w:pPr>
            <w:r/>
            <w:r>
              <w:rPr>
                <w:sz w:val="19"/>
              </w:rPr>
              <w:t>không</w:t>
            </w:r>
          </w:p>
        </w:tc>
      </w:tr>
    </w:tbl>
    <w:p/>
    <w:p>
      <w:pPr>
        <w:jc w:val="both"/>
      </w:pPr>
      <w:r>
        <w:rPr>
          <w:b w:val="0"/>
          <w:i w:val="0"/>
        </w:rPr>
        <w:t>Theo các bộ màu sắc, hình dạng, kết cấu / bố cục, hai cây cùng chi A–B gần nhau hơn so với cây khác chi C: các đặc trưng này vừa giúp tìm sự tương đồng (A–B nhỏ) vừa tìm sự khác biệt (A–C, B–C lớn). Riêng bộ embedding sâu cho kết quả ngược lại ở ví dụ này, minh hoạ rằng không bộ đặc trưng nào đúng trong mọi trường hợp và vì sao hệ thống kết hợp nhiều bộ theo trọng số.</w:t>
      </w:r>
    </w:p>
    <w:p>
      <w:pPr>
        <w:pStyle w:val="Heading1"/>
      </w:pPr>
      <w:r>
        <w:t>4. Kết luận và kế hoạch cho Báo cáo 2</w:t>
      </w:r>
    </w:p>
    <w:p>
      <w:pPr>
        <w:jc w:val="both"/>
      </w:pPr>
      <w:r>
        <w:rPr>
          <w:b w:val="0"/>
          <w:i w:val="0"/>
        </w:rPr>
        <w:t>Nội dung 1: bộ dữ liệu 627 ảnh cây thân gỗ trưởng thành đơn lẻ, cùng kích thước 512×512, cây nằm giữa ảnh, chụp ngang, đã tách nền (cây trên nền trắng), có siêu dữ liệu nguồn/giấy phép và nhãn chi; điểm giống và khác giữa các cây được mô tả cả định tính lẫn định lượng theo chi và theo nhóm lá rộng/lá kim.</w:t>
      </w:r>
    </w:p>
    <w:p>
      <w:pPr>
        <w:jc w:val="both"/>
      </w:pPr>
      <w:r>
        <w:rPr>
          <w:b w:val="0"/>
          <w:i w:val="0"/>
        </w:rPr>
        <w:t>Nội dung 2: bốn bộ đặc trưng gồm 1703 chiều, mỗi khối được giải thích ý nghĩa và đo giá trị thông tin (tỉ số Fisher, tỉ số tách, độ chính xác 1-NN). Mọi bộ đều vượt mức ngẫu nhiên (0.186); bộ có 1-NN cao nhất là màu sắc (0.570).</w:t>
      </w:r>
    </w:p>
    <w:p>
      <w:pPr>
        <w:jc w:val="both"/>
      </w:pPr>
      <w:r>
        <w:rPr>
          <w:b w:val="0"/>
          <w:i w:val="0"/>
        </w:rPr>
        <w:t>Kế hoạch Báo cáo 2 (nội dung 3 và 4): trình bày chi tiết thuật toán trích rút và lược đồ CSDL SQLite theo mô hình lai (siêu dữ liệu quan hệ + vector đặc trưng), chỉ mục k-d tree và K-means; hệ thống tìm 5 ảnh giống nhất với sơ đồ khối, kết quả trung gian và đánh giá P@5/mAP. Phần mã nguồn cho các nội dung này đã có trong kho mã của nhóm.</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