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45" w:type="dxa"/>
        <w:tblInd w:w="-106" w:type="dxa"/>
        <w:tblLook w:val="01E0" w:firstRow="1" w:lastRow="1" w:firstColumn="1" w:lastColumn="1" w:noHBand="0" w:noVBand="0"/>
      </w:tblPr>
      <w:tblGrid>
        <w:gridCol w:w="3900"/>
        <w:gridCol w:w="5245"/>
      </w:tblGrid>
      <w:tr w:rsidR="001C5993" w:rsidRPr="001C5993" w14:paraId="4D7A8E97" w14:textId="77777777" w:rsidTr="004B64F9">
        <w:trPr>
          <w:trHeight w:val="1071"/>
        </w:trPr>
        <w:tc>
          <w:tcPr>
            <w:tcW w:w="3900" w:type="dxa"/>
          </w:tcPr>
          <w:p w14:paraId="6DBDB644" w14:textId="77777777" w:rsidR="0005306D" w:rsidRPr="001C5993" w:rsidRDefault="000713AA" w:rsidP="00243446">
            <w:pPr>
              <w:spacing w:after="0" w:line="240"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 xml:space="preserve">CÔNG TY </w:t>
            </w:r>
            <w:r w:rsidR="00C47EDD" w:rsidRPr="001C5993">
              <w:rPr>
                <w:rFonts w:ascii="Times New Roman" w:hAnsi="Times New Roman" w:cs="Times New Roman"/>
                <w:color w:val="000000" w:themeColor="text1"/>
              </w:rPr>
              <w:t>CỔ PHẦN</w:t>
            </w:r>
            <w:r w:rsidRPr="001C5993">
              <w:rPr>
                <w:rFonts w:ascii="Times New Roman" w:hAnsi="Times New Roman" w:cs="Times New Roman"/>
                <w:color w:val="000000" w:themeColor="text1"/>
              </w:rPr>
              <w:t xml:space="preserve"> </w:t>
            </w:r>
          </w:p>
          <w:p w14:paraId="220650DB" w14:textId="77777777" w:rsidR="000713AA" w:rsidRPr="001C5993" w:rsidRDefault="000713AA" w:rsidP="00243446">
            <w:pPr>
              <w:spacing w:after="0" w:line="240"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CHỨNG KHOÁN VNDIRECT</w:t>
            </w:r>
          </w:p>
          <w:p w14:paraId="6758A8AA" w14:textId="77777777" w:rsidR="000713AA" w:rsidRPr="001C5993" w:rsidRDefault="000713AA" w:rsidP="00243446">
            <w:pPr>
              <w:spacing w:after="0" w:line="240" w:lineRule="auto"/>
              <w:jc w:val="center"/>
              <w:rPr>
                <w:rFonts w:ascii="Times New Roman" w:hAnsi="Times New Roman" w:cs="Times New Roman"/>
                <w:bCs/>
                <w:color w:val="000000" w:themeColor="text1"/>
              </w:rPr>
            </w:pPr>
            <w:r w:rsidRPr="001C5993">
              <w:rPr>
                <w:rFonts w:ascii="Times New Roman" w:hAnsi="Times New Roman" w:cs="Times New Roman"/>
                <w:bCs/>
                <w:color w:val="000000" w:themeColor="text1"/>
              </w:rPr>
              <w:t>----------</w:t>
            </w:r>
          </w:p>
          <w:p w14:paraId="4F4B6A0F" w14:textId="0B23B13D" w:rsidR="000713AA" w:rsidRPr="001C5993" w:rsidRDefault="000713AA" w:rsidP="00385126">
            <w:pPr>
              <w:spacing w:after="0" w:line="240" w:lineRule="auto"/>
              <w:jc w:val="center"/>
              <w:rPr>
                <w:rFonts w:ascii="Times New Roman" w:hAnsi="Times New Roman" w:cs="Times New Roman"/>
                <w:bCs/>
                <w:color w:val="000000" w:themeColor="text1"/>
              </w:rPr>
            </w:pPr>
            <w:r w:rsidRPr="001C5993">
              <w:rPr>
                <w:rFonts w:ascii="Times New Roman" w:hAnsi="Times New Roman" w:cs="Times New Roman"/>
                <w:color w:val="000000" w:themeColor="text1"/>
              </w:rPr>
              <w:t>Số:           /201</w:t>
            </w:r>
            <w:r w:rsidR="00385126" w:rsidRPr="001C5993">
              <w:rPr>
                <w:rFonts w:ascii="Times New Roman" w:hAnsi="Times New Roman" w:cs="Times New Roman"/>
                <w:color w:val="000000" w:themeColor="text1"/>
              </w:rPr>
              <w:t>9</w:t>
            </w:r>
            <w:r w:rsidRPr="001C5993">
              <w:rPr>
                <w:rFonts w:ascii="Times New Roman" w:hAnsi="Times New Roman" w:cs="Times New Roman"/>
                <w:color w:val="000000" w:themeColor="text1"/>
              </w:rPr>
              <w:t>/BC-BGĐ</w:t>
            </w:r>
          </w:p>
        </w:tc>
        <w:tc>
          <w:tcPr>
            <w:tcW w:w="5245" w:type="dxa"/>
          </w:tcPr>
          <w:p w14:paraId="1B30954C" w14:textId="77777777" w:rsidR="000713AA" w:rsidRPr="001C5993" w:rsidRDefault="000713AA" w:rsidP="00243446">
            <w:pPr>
              <w:spacing w:after="0" w:line="240"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CỘNG HÒA XÃ HỘI CHỦ NGHĨA VIỆT NAM</w:t>
            </w:r>
          </w:p>
          <w:p w14:paraId="31DC41E7" w14:textId="77777777" w:rsidR="000713AA" w:rsidRPr="001C5993" w:rsidRDefault="000713AA" w:rsidP="00243446">
            <w:pPr>
              <w:spacing w:after="0" w:line="240"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Độc lập – Tự do – Hạnh phúc</w:t>
            </w:r>
          </w:p>
          <w:p w14:paraId="69D904B8" w14:textId="77777777" w:rsidR="000713AA" w:rsidRPr="001C5993" w:rsidRDefault="000713AA" w:rsidP="00243446">
            <w:pPr>
              <w:spacing w:after="0" w:line="240" w:lineRule="auto"/>
              <w:jc w:val="center"/>
              <w:rPr>
                <w:rFonts w:ascii="Times New Roman" w:hAnsi="Times New Roman" w:cs="Times New Roman"/>
                <w:bCs/>
                <w:color w:val="000000" w:themeColor="text1"/>
              </w:rPr>
            </w:pPr>
            <w:r w:rsidRPr="001C5993">
              <w:rPr>
                <w:rFonts w:ascii="Times New Roman" w:hAnsi="Times New Roman" w:cs="Times New Roman"/>
                <w:i/>
                <w:iCs/>
                <w:color w:val="000000" w:themeColor="text1"/>
              </w:rPr>
              <w:t>----------</w:t>
            </w:r>
          </w:p>
          <w:p w14:paraId="459703D3" w14:textId="6BCB5A30" w:rsidR="000713AA" w:rsidRPr="001C5993" w:rsidRDefault="000713AA" w:rsidP="001C5993">
            <w:pPr>
              <w:spacing w:after="0" w:line="240" w:lineRule="auto"/>
              <w:jc w:val="right"/>
              <w:rPr>
                <w:rFonts w:ascii="Times New Roman" w:hAnsi="Times New Roman" w:cs="Times New Roman"/>
                <w:i/>
                <w:iCs/>
                <w:color w:val="000000" w:themeColor="text1"/>
              </w:rPr>
            </w:pPr>
            <w:r w:rsidRPr="001C5993">
              <w:rPr>
                <w:rFonts w:ascii="Times New Roman" w:hAnsi="Times New Roman" w:cs="Times New Roman"/>
                <w:i/>
                <w:iCs/>
                <w:color w:val="000000" w:themeColor="text1"/>
              </w:rPr>
              <w:t xml:space="preserve">Hà Nội, ngày </w:t>
            </w:r>
            <w:r w:rsidR="00F01499" w:rsidRPr="001C5993">
              <w:rPr>
                <w:rFonts w:ascii="Times New Roman" w:hAnsi="Times New Roman" w:cs="Times New Roman"/>
                <w:i/>
                <w:iCs/>
                <w:color w:val="000000" w:themeColor="text1"/>
              </w:rPr>
              <w:t xml:space="preserve">   tháng  </w:t>
            </w:r>
            <w:r w:rsidR="004B64F9" w:rsidRPr="001C5993">
              <w:rPr>
                <w:rFonts w:ascii="Times New Roman" w:hAnsi="Times New Roman" w:cs="Times New Roman"/>
                <w:i/>
                <w:iCs/>
                <w:color w:val="000000" w:themeColor="text1"/>
              </w:rPr>
              <w:t>04</w:t>
            </w:r>
            <w:r w:rsidRPr="001C5993">
              <w:rPr>
                <w:rFonts w:ascii="Times New Roman" w:hAnsi="Times New Roman" w:cs="Times New Roman"/>
                <w:i/>
                <w:iCs/>
                <w:color w:val="000000" w:themeColor="text1"/>
              </w:rPr>
              <w:t xml:space="preserve">  năm 201</w:t>
            </w:r>
            <w:r w:rsidR="00385126" w:rsidRPr="001C5993">
              <w:rPr>
                <w:rFonts w:ascii="Times New Roman" w:hAnsi="Times New Roman" w:cs="Times New Roman"/>
                <w:i/>
                <w:iCs/>
                <w:color w:val="000000" w:themeColor="text1"/>
              </w:rPr>
              <w:t>9</w:t>
            </w:r>
          </w:p>
        </w:tc>
      </w:tr>
    </w:tbl>
    <w:p w14:paraId="71BD27FF" w14:textId="77777777" w:rsidR="00243446" w:rsidRPr="001C5993" w:rsidRDefault="00243446" w:rsidP="00243446">
      <w:pPr>
        <w:spacing w:after="0" w:line="240" w:lineRule="auto"/>
        <w:rPr>
          <w:rFonts w:ascii="Times New Roman" w:hAnsi="Times New Roman" w:cs="Times New Roman"/>
          <w:b/>
          <w:bCs/>
          <w:color w:val="000000" w:themeColor="text1"/>
        </w:rPr>
      </w:pPr>
    </w:p>
    <w:p w14:paraId="00B4461F" w14:textId="77777777" w:rsidR="00243446" w:rsidRPr="001C5993" w:rsidRDefault="00243446" w:rsidP="00243446">
      <w:pPr>
        <w:spacing w:after="0" w:line="240" w:lineRule="auto"/>
        <w:rPr>
          <w:rFonts w:ascii="Times New Roman" w:hAnsi="Times New Roman" w:cs="Times New Roman"/>
          <w:b/>
          <w:bCs/>
          <w:color w:val="000000" w:themeColor="text1"/>
        </w:rPr>
      </w:pPr>
    </w:p>
    <w:p w14:paraId="1EF2B6B5" w14:textId="5191ADBD" w:rsidR="000713AA" w:rsidRPr="001C5993" w:rsidRDefault="000713AA" w:rsidP="00243446">
      <w:pPr>
        <w:spacing w:after="0" w:line="240" w:lineRule="auto"/>
        <w:jc w:val="center"/>
        <w:rPr>
          <w:rFonts w:ascii="Times New Roman" w:hAnsi="Times New Roman" w:cs="Times New Roman"/>
          <w:b/>
          <w:bCs/>
          <w:color w:val="000000" w:themeColor="text1"/>
        </w:rPr>
      </w:pPr>
      <w:r w:rsidRPr="001C5993">
        <w:rPr>
          <w:rFonts w:ascii="Times New Roman" w:hAnsi="Times New Roman" w:cs="Times New Roman"/>
          <w:b/>
          <w:bCs/>
          <w:color w:val="000000" w:themeColor="text1"/>
        </w:rPr>
        <w:t xml:space="preserve">BÁO CÁO CỦA </w:t>
      </w:r>
      <w:r w:rsidR="00A9612F" w:rsidRPr="001C5993">
        <w:rPr>
          <w:rFonts w:ascii="Times New Roman" w:hAnsi="Times New Roman" w:cs="Times New Roman"/>
          <w:b/>
          <w:bCs/>
          <w:color w:val="000000" w:themeColor="text1"/>
        </w:rPr>
        <w:t>BAN TỔNG GIÁM ĐỐC</w:t>
      </w:r>
    </w:p>
    <w:p w14:paraId="2852A72B" w14:textId="15D6072B" w:rsidR="00243446" w:rsidRPr="001C5993" w:rsidRDefault="000713AA" w:rsidP="00243446">
      <w:pPr>
        <w:spacing w:after="0" w:line="240" w:lineRule="auto"/>
        <w:ind w:firstLine="720"/>
        <w:jc w:val="center"/>
        <w:rPr>
          <w:rFonts w:ascii="Times New Roman" w:hAnsi="Times New Roman" w:cs="Times New Roman"/>
          <w:b/>
          <w:bCs/>
          <w:color w:val="000000" w:themeColor="text1"/>
        </w:rPr>
      </w:pPr>
      <w:r w:rsidRPr="001C5993">
        <w:rPr>
          <w:rFonts w:ascii="Times New Roman" w:hAnsi="Times New Roman" w:cs="Times New Roman"/>
          <w:b/>
          <w:bCs/>
          <w:color w:val="000000" w:themeColor="text1"/>
        </w:rPr>
        <w:t>TẠI ĐẠI HỘI ĐỒNG CỔ ĐÔNG THƯỜNG NIÊN NĂM 201</w:t>
      </w:r>
      <w:r w:rsidR="00E97B17" w:rsidRPr="001C5993">
        <w:rPr>
          <w:rFonts w:ascii="Times New Roman" w:hAnsi="Times New Roman" w:cs="Times New Roman"/>
          <w:b/>
          <w:bCs/>
          <w:color w:val="000000" w:themeColor="text1"/>
        </w:rPr>
        <w:t>9</w:t>
      </w:r>
      <w:r w:rsidR="00C835BD" w:rsidRPr="001C5993">
        <w:rPr>
          <w:rFonts w:ascii="Times New Roman" w:hAnsi="Times New Roman" w:cs="Times New Roman"/>
          <w:b/>
          <w:bCs/>
          <w:color w:val="000000" w:themeColor="text1"/>
        </w:rPr>
        <w:t xml:space="preserve">  </w:t>
      </w:r>
    </w:p>
    <w:p w14:paraId="05E3F617" w14:textId="5845B6B1" w:rsidR="000713AA" w:rsidRPr="001C5993" w:rsidRDefault="00385126" w:rsidP="0084535B">
      <w:pPr>
        <w:pStyle w:val="Heading1"/>
        <w:numPr>
          <w:ilvl w:val="0"/>
          <w:numId w:val="9"/>
        </w:numPr>
        <w:tabs>
          <w:tab w:val="clear" w:pos="1080"/>
          <w:tab w:val="num" w:pos="540"/>
        </w:tabs>
        <w:spacing w:before="60" w:line="264" w:lineRule="auto"/>
        <w:ind w:left="540" w:hanging="540"/>
        <w:rPr>
          <w:rFonts w:ascii="Times New Roman" w:hAnsi="Times New Roman" w:cs="Times New Roman"/>
          <w:color w:val="000000" w:themeColor="text1"/>
          <w:sz w:val="22"/>
          <w:szCs w:val="22"/>
        </w:rPr>
      </w:pPr>
      <w:r w:rsidRPr="001C5993">
        <w:rPr>
          <w:rFonts w:ascii="Times New Roman" w:hAnsi="Times New Roman" w:cs="Times New Roman"/>
          <w:color w:val="000000" w:themeColor="text1"/>
          <w:sz w:val="22"/>
          <w:szCs w:val="22"/>
        </w:rPr>
        <w:t>Kết quả kinh doanh năm 2018</w:t>
      </w:r>
    </w:p>
    <w:p w14:paraId="15647F30" w14:textId="60807F56" w:rsidR="000713AA" w:rsidRPr="001C5993" w:rsidRDefault="00385126" w:rsidP="0084535B">
      <w:pPr>
        <w:pStyle w:val="Heading2"/>
        <w:numPr>
          <w:ilvl w:val="1"/>
          <w:numId w:val="16"/>
        </w:numPr>
        <w:spacing w:before="60" w:line="264" w:lineRule="auto"/>
        <w:rPr>
          <w:rFonts w:ascii="Times New Roman" w:hAnsi="Times New Roman" w:cs="Times New Roman"/>
          <w:color w:val="000000" w:themeColor="text1"/>
          <w:sz w:val="22"/>
          <w:szCs w:val="22"/>
        </w:rPr>
      </w:pPr>
      <w:r w:rsidRPr="001C5993">
        <w:rPr>
          <w:rFonts w:ascii="Times New Roman" w:hAnsi="Times New Roman" w:cs="Times New Roman"/>
          <w:color w:val="000000" w:themeColor="text1"/>
          <w:sz w:val="22"/>
          <w:szCs w:val="22"/>
        </w:rPr>
        <w:t>Môi trường kinh doanh 2018</w:t>
      </w:r>
    </w:p>
    <w:p w14:paraId="1EEB1411" w14:textId="77777777" w:rsidR="00385126" w:rsidRPr="001C5993" w:rsidRDefault="00385126" w:rsidP="00385126">
      <w:pPr>
        <w:pStyle w:val="ListParagraph"/>
        <w:spacing w:line="300" w:lineRule="auto"/>
        <w:ind w:left="465"/>
        <w:jc w:val="both"/>
        <w:rPr>
          <w:rFonts w:ascii="Times New Roman" w:hAnsi="Times New Roman" w:cs="Times New Roman"/>
          <w:color w:val="000000" w:themeColor="text1"/>
        </w:rPr>
      </w:pPr>
      <w:r w:rsidRPr="001C5993">
        <w:rPr>
          <w:rFonts w:ascii="Times New Roman" w:hAnsi="Times New Roman" w:cs="Times New Roman"/>
          <w:color w:val="000000" w:themeColor="text1"/>
        </w:rPr>
        <w:t>Năm 2018 chứng kiến một năm thăng trầm của thị trường chứng khoán thế giới cũng như Việt Nam. Trong khi các thị trường lớn trên thế giới phập phùng vì các thông tin về quyết định về lãi suất của FED, về các diễn biến của chiến tranh thương mại Mỹ - Trung thì tại thị trường Việt Nam, chúng ta cũng chứng kiến những diễn biến khó lường của thị trường. Quý I năm 2018, thị trường chứng khoán Việt Nam tăng trưởng 19,3%, trở thành thị trường tăng trưởng cao nhất thế giới, VNindex đã xác lập mức định mới là 1.204,3 điểm. Tuy nhiên sau đó thị trường đã lao dốc 19,7% trong quý II, sau nhiều đợt sóng tăng giảm kéo theo sự hy vọng và hụt hẫng của nhà đầu tư, năm 2018 VNindex đóng cửa ở mốc 892,5 điểm, ghi nhận năm tăng trưởng âm.</w:t>
      </w:r>
    </w:p>
    <w:p w14:paraId="3B6D952F" w14:textId="4D023A94" w:rsidR="00385126" w:rsidRPr="001C5993" w:rsidRDefault="00385126" w:rsidP="00385126">
      <w:pPr>
        <w:pStyle w:val="ListParagraph"/>
        <w:ind w:left="465"/>
        <w:jc w:val="both"/>
        <w:rPr>
          <w:rFonts w:ascii="Times New Roman" w:hAnsi="Times New Roman" w:cs="Times New Roman"/>
          <w:b/>
          <w:color w:val="000000" w:themeColor="text1"/>
        </w:rPr>
      </w:pPr>
      <w:r w:rsidRPr="001C5993">
        <w:rPr>
          <w:rFonts w:ascii="Times New Roman" w:hAnsi="Times New Roman" w:cs="Times New Roman"/>
          <w:b/>
          <w:color w:val="000000" w:themeColor="text1"/>
        </w:rPr>
        <w:t>Cơ h</w:t>
      </w:r>
      <w:r w:rsidR="00C24A0F" w:rsidRPr="001C5993">
        <w:rPr>
          <w:rFonts w:ascii="Times New Roman" w:hAnsi="Times New Roman" w:cs="Times New Roman"/>
          <w:b/>
          <w:color w:val="000000" w:themeColor="text1"/>
        </w:rPr>
        <w:t>ội</w:t>
      </w:r>
      <w:r w:rsidRPr="001C5993">
        <w:rPr>
          <w:rFonts w:ascii="Times New Roman" w:hAnsi="Times New Roman" w:cs="Times New Roman"/>
          <w:b/>
          <w:color w:val="000000" w:themeColor="text1"/>
        </w:rPr>
        <w:t xml:space="preserve"> và thách thức 2018</w:t>
      </w:r>
    </w:p>
    <w:p w14:paraId="76011113" w14:textId="0FD79D4D" w:rsidR="00385126" w:rsidRPr="001C5993" w:rsidRDefault="00385126" w:rsidP="00385126">
      <w:pPr>
        <w:pStyle w:val="ListParagraph"/>
        <w:spacing w:line="300" w:lineRule="auto"/>
        <w:ind w:left="465"/>
        <w:jc w:val="both"/>
        <w:rPr>
          <w:rFonts w:ascii="Times New Roman" w:hAnsi="Times New Roman" w:cs="Times New Roman"/>
          <w:color w:val="000000" w:themeColor="text1"/>
        </w:rPr>
      </w:pPr>
      <w:r w:rsidRPr="001C5993">
        <w:rPr>
          <w:rFonts w:ascii="Times New Roman" w:hAnsi="Times New Roman" w:cs="Times New Roman"/>
          <w:color w:val="000000" w:themeColor="text1"/>
        </w:rPr>
        <w:t xml:space="preserve">Năm 2018, những biến động của thị trường chứng khoán và sự chuyển dịch cạnh tranh giữa các công ty chứng khoán khiến cho hoạt động của VNDIRECT cũng bị ảnh hưởng đáng kể. Nền tảng khách hàng cá nhân giao dịch chứng khoán bị cạnh tranh với các công ty chứng khoán nước ngoài mới, có mức giá vốn thấp, và giảm phí để cạnh tranh lấy thị phần. Ban lãnh đạo công ty cũng đã nhận diện được những thách thức này và đã chủ động chuyển dịch nền tảng kinh doanh từ việc tập trung duy nhất vào thu phí giao dịch và cho vay margin tới nhóm khách hàng cá nhân giao dịch chứng khoán, mở rông sang kinh doanh nguồn vốn trên thị trường tài chính và thị trường vốn, mảng cho vay với nhóm khách hàng có nhu cầu đầu tư lớn và cung cấp giải pháp dịch vụ ngân hàng đầu tư cho cả bên mua ( khách hàng lớn) và bên bán ( các doanh nghiệp có quy mô vốn vừa và nhỏ). </w:t>
      </w:r>
    </w:p>
    <w:p w14:paraId="21F9006A" w14:textId="77777777" w:rsidR="00385126" w:rsidRPr="001C5993" w:rsidRDefault="00385126" w:rsidP="00385126">
      <w:pPr>
        <w:pStyle w:val="ListParagraph"/>
        <w:ind w:left="465"/>
        <w:jc w:val="both"/>
        <w:rPr>
          <w:rFonts w:ascii="Times New Roman" w:hAnsi="Times New Roman" w:cs="Times New Roman"/>
          <w:color w:val="000000" w:themeColor="text1"/>
        </w:rPr>
      </w:pPr>
      <w:r w:rsidRPr="001C5993">
        <w:rPr>
          <w:rFonts w:ascii="Times New Roman" w:hAnsi="Times New Roman" w:cs="Times New Roman"/>
          <w:color w:val="000000" w:themeColor="text1"/>
        </w:rPr>
        <w:t>Thực tế năm 2018, các cổ phiếu lớn của ngành dầu khí, ngân hàng, bán lẻ đã chính thức tham gia thị trường, có thể kể đến như Tổng Công ty Dầu Việt Nam – CTCP (UPCOM: OIL), CTCP Lọc hóa Dầu Bình Sơn (UPCOM: BSR), Ngân hàng TMCP Kỹ Thương Việt Nam (HOSE: TCB), Ngân hàng TMCP Tiên Phong (HOSE: TPB), CTCP Bán lẻ kỹ thuật số FPT (HOSE: FRT), ngoài ra thị trường còn đón nhận thêm cổ phiếu của CTCP Vinhome (HOSE: VHM). Nếu chỉ tính trên HNX và HOSE, năm 2018 có 46 doanh nghiệp chào sàn, với số lượng cổ phiếu đăng ký niêm yết lần đầu là 7.129.328.035 cổ phiếu, tổng vốn hóa sau phiên giao dịch đầu tiên đạt 541.374 tỷ đồng. Số lượng cổ phiếu tham gia mới với các hàng hóa chất lượng như cổ phiếu của VHM, TPB, TCB đã tạo thêm chiều sâu cho thị trường, tăng tính hấp dẫn và thanh khoản.</w:t>
      </w:r>
    </w:p>
    <w:p w14:paraId="68919562" w14:textId="7B77C067" w:rsidR="00385126" w:rsidRPr="001C5993" w:rsidRDefault="00385126" w:rsidP="00385126">
      <w:pPr>
        <w:pStyle w:val="ListParagraph"/>
        <w:ind w:left="465"/>
        <w:jc w:val="both"/>
        <w:rPr>
          <w:rFonts w:ascii="Times New Roman" w:hAnsi="Times New Roman" w:cs="Times New Roman"/>
          <w:color w:val="000000" w:themeColor="text1"/>
        </w:rPr>
      </w:pPr>
      <w:r w:rsidRPr="001C5993">
        <w:rPr>
          <w:rFonts w:ascii="Times New Roman" w:hAnsi="Times New Roman" w:cs="Times New Roman"/>
          <w:color w:val="000000" w:themeColor="text1"/>
        </w:rPr>
        <w:t xml:space="preserve">Thị trường chứng khoán cũng đón nhận khá </w:t>
      </w:r>
      <w:r w:rsidR="00C24A0F" w:rsidRPr="001C5993">
        <w:rPr>
          <w:rFonts w:ascii="Times New Roman" w:hAnsi="Times New Roman" w:cs="Times New Roman"/>
          <w:color w:val="000000" w:themeColor="text1"/>
        </w:rPr>
        <w:t>tích</w:t>
      </w:r>
      <w:r w:rsidRPr="001C5993">
        <w:rPr>
          <w:rFonts w:ascii="Times New Roman" w:hAnsi="Times New Roman" w:cs="Times New Roman"/>
          <w:color w:val="000000" w:themeColor="text1"/>
        </w:rPr>
        <w:t xml:space="preserve"> cực sự ra đời của sản phẩm Phái sinh và việc đó giúp VNDIRECT có thêm cơ hội phát triển nền tảng giao dịch thu phí từ hoạt động của thị trường phái sinh, và nó cũng đóng góp … vào tổng doanh thu toàn năm 2018 của VNDIRECT.</w:t>
      </w:r>
    </w:p>
    <w:p w14:paraId="341CB741" w14:textId="7EE503E2" w:rsidR="00385126" w:rsidRPr="001C5993" w:rsidRDefault="00385126" w:rsidP="00385126">
      <w:pPr>
        <w:pStyle w:val="ListParagraph"/>
        <w:ind w:left="465"/>
        <w:jc w:val="both"/>
        <w:rPr>
          <w:rFonts w:ascii="Times New Roman" w:hAnsi="Times New Roman" w:cs="Times New Roman"/>
          <w:color w:val="000000" w:themeColor="text1"/>
        </w:rPr>
      </w:pPr>
      <w:r w:rsidRPr="001C5993">
        <w:rPr>
          <w:rFonts w:ascii="Times New Roman" w:hAnsi="Times New Roman" w:cs="Times New Roman"/>
          <w:color w:val="000000" w:themeColor="text1"/>
        </w:rPr>
        <w:t xml:space="preserve">Sau 20 năm hoạt động, mặc dù thị trường từ bên ngoài thấy có nhiều biến động, nhưng tốc độ phát triển tự nhiên của thị trường vẫn ở mức cao, dòng tiền đầu tư dài hạn từ nhóm khách hàng cá nhân bắt đầu chuyển dịch từ đầu tư bất động sản và gửi tiết kiệm sang các loại hình đầu tư tài chính khác như trái phiếu doanh nghiệp, đầu tư cổ phiếu tích sản dài hạn, đầu tư chứng chỉ quỹ mở.. Sự chuyển </w:t>
      </w:r>
      <w:r w:rsidRPr="001C5993">
        <w:rPr>
          <w:rFonts w:ascii="Times New Roman" w:hAnsi="Times New Roman" w:cs="Times New Roman"/>
          <w:color w:val="000000" w:themeColor="text1"/>
        </w:rPr>
        <w:lastRenderedPageBreak/>
        <w:t xml:space="preserve">dịch này đã mở ra cơ hội cho các công ty chứng khoán có nền tảng dịch vụ khách hàng cá nhân chuyển dịch sang các loại hình tài sản tài chính mới. </w:t>
      </w:r>
    </w:p>
    <w:p w14:paraId="4CAF0C9C" w14:textId="77777777" w:rsidR="00385126" w:rsidRPr="001C5993" w:rsidRDefault="00385126" w:rsidP="00385126">
      <w:pPr>
        <w:pStyle w:val="ListParagraph"/>
        <w:ind w:left="465"/>
        <w:jc w:val="both"/>
        <w:rPr>
          <w:rFonts w:ascii="Times New Roman" w:hAnsi="Times New Roman" w:cs="Times New Roman"/>
          <w:color w:val="000000" w:themeColor="text1"/>
        </w:rPr>
      </w:pPr>
      <w:r w:rsidRPr="001C5993">
        <w:rPr>
          <w:rFonts w:ascii="Times New Roman" w:hAnsi="Times New Roman" w:cs="Times New Roman"/>
          <w:color w:val="000000" w:themeColor="text1"/>
        </w:rPr>
        <w:t xml:space="preserve">Sự ra đời của nền tảng công nghệ số, cho phép các công ty kết nối hệ sinh thái sản phẩm trực tuyến với nhau, khiến cho ranh giới giữa nhà cung cấp sản phẩm và khách hàng gần nhau hơn, tạo tiền đề cho VNDIRECT có thể cung cấp cho KH của mình một nền tảng giao dịch tài sản và sản phẩm dịch vụ rất đa dạng, từ bảo hiểm đến tiền gửi tiết kiệm, thanh toán online, giao dịch cổ phiếu, trái phiếu, chứng chỉ quỹ hay các hợp đồng tương lai và các công cụ đầu tư phái sinh. </w:t>
      </w:r>
    </w:p>
    <w:p w14:paraId="79DC229B" w14:textId="1A46F589" w:rsidR="008556B0" w:rsidRPr="001C5993" w:rsidRDefault="00BD3949" w:rsidP="0084535B">
      <w:pPr>
        <w:pStyle w:val="ListParagraph"/>
        <w:numPr>
          <w:ilvl w:val="1"/>
          <w:numId w:val="16"/>
        </w:numPr>
        <w:spacing w:before="60" w:after="0" w:line="264" w:lineRule="auto"/>
        <w:rPr>
          <w:rFonts w:ascii="Times New Roman" w:hAnsi="Times New Roman" w:cs="Times New Roman"/>
          <w:b/>
          <w:color w:val="000000" w:themeColor="text1"/>
        </w:rPr>
      </w:pPr>
      <w:r w:rsidRPr="001C5993">
        <w:rPr>
          <w:rFonts w:ascii="Times New Roman" w:hAnsi="Times New Roman" w:cs="Times New Roman"/>
          <w:b/>
          <w:color w:val="000000" w:themeColor="text1"/>
        </w:rPr>
        <w:t>Kết quả hoạt động củ</w:t>
      </w:r>
      <w:r w:rsidR="00CE60CD" w:rsidRPr="001C5993">
        <w:rPr>
          <w:rFonts w:ascii="Times New Roman" w:hAnsi="Times New Roman" w:cs="Times New Roman"/>
          <w:b/>
          <w:color w:val="000000" w:themeColor="text1"/>
        </w:rPr>
        <w:t>a Công ty trong năm 201</w:t>
      </w:r>
      <w:r w:rsidR="00385126" w:rsidRPr="001C5993">
        <w:rPr>
          <w:rFonts w:ascii="Times New Roman" w:hAnsi="Times New Roman" w:cs="Times New Roman"/>
          <w:b/>
          <w:color w:val="000000" w:themeColor="text1"/>
        </w:rPr>
        <w:t>8</w:t>
      </w:r>
    </w:p>
    <w:p w14:paraId="0D2896D6" w14:textId="3AD36352" w:rsidR="000021C8" w:rsidRPr="001C5993" w:rsidRDefault="00CE60CD" w:rsidP="0084535B">
      <w:pPr>
        <w:pStyle w:val="ListParagraph"/>
        <w:spacing w:before="60" w:after="0" w:line="264" w:lineRule="auto"/>
        <w:ind w:left="0"/>
        <w:jc w:val="both"/>
        <w:rPr>
          <w:rFonts w:ascii="Times New Roman" w:hAnsi="Times New Roman" w:cs="Times New Roman"/>
          <w:color w:val="000000" w:themeColor="text1"/>
        </w:rPr>
      </w:pPr>
      <w:r w:rsidRPr="001C5993">
        <w:rPr>
          <w:rFonts w:ascii="Times New Roman" w:hAnsi="Times New Roman" w:cs="Times New Roman"/>
          <w:color w:val="000000" w:themeColor="text1"/>
        </w:rPr>
        <w:t>Năm 201</w:t>
      </w:r>
      <w:r w:rsidR="00333285" w:rsidRPr="001C5993">
        <w:rPr>
          <w:rFonts w:ascii="Times New Roman" w:hAnsi="Times New Roman" w:cs="Times New Roman"/>
          <w:color w:val="000000" w:themeColor="text1"/>
        </w:rPr>
        <w:t>8</w:t>
      </w:r>
      <w:r w:rsidR="00A7626F" w:rsidRPr="001C5993">
        <w:rPr>
          <w:rFonts w:ascii="Times New Roman" w:hAnsi="Times New Roman" w:cs="Times New Roman"/>
          <w:color w:val="000000" w:themeColor="text1"/>
        </w:rPr>
        <w:t xml:space="preserve"> </w:t>
      </w:r>
      <w:r w:rsidR="00AE77EE" w:rsidRPr="001C5993">
        <w:rPr>
          <w:rFonts w:ascii="Times New Roman" w:hAnsi="Times New Roman" w:cs="Times New Roman"/>
          <w:color w:val="000000" w:themeColor="text1"/>
        </w:rPr>
        <w:t xml:space="preserve">VND có </w:t>
      </w:r>
      <w:r w:rsidR="00A7626F" w:rsidRPr="001C5993">
        <w:rPr>
          <w:rFonts w:ascii="Times New Roman" w:hAnsi="Times New Roman" w:cs="Times New Roman"/>
          <w:color w:val="000000" w:themeColor="text1"/>
        </w:rPr>
        <w:t>sự tăng trưởng về tổ</w:t>
      </w:r>
      <w:r w:rsidRPr="001C5993">
        <w:rPr>
          <w:rFonts w:ascii="Times New Roman" w:hAnsi="Times New Roman" w:cs="Times New Roman"/>
          <w:color w:val="000000" w:themeColor="text1"/>
        </w:rPr>
        <w:t>ng doanh thu hoạt động</w:t>
      </w:r>
      <w:r w:rsidR="00A7626F" w:rsidRPr="001C5993">
        <w:rPr>
          <w:rFonts w:ascii="Times New Roman" w:hAnsi="Times New Roman" w:cs="Times New Roman"/>
          <w:color w:val="000000" w:themeColor="text1"/>
        </w:rPr>
        <w:t xml:space="preserve"> của VNDIRECT, đạ</w:t>
      </w:r>
      <w:r w:rsidR="000021C8" w:rsidRPr="001C5993">
        <w:rPr>
          <w:rFonts w:ascii="Times New Roman" w:hAnsi="Times New Roman" w:cs="Times New Roman"/>
          <w:color w:val="000000" w:themeColor="text1"/>
        </w:rPr>
        <w:t>t 1,</w:t>
      </w:r>
      <w:r w:rsidR="00F54B52" w:rsidRPr="001C5993">
        <w:rPr>
          <w:rFonts w:ascii="Times New Roman" w:hAnsi="Times New Roman" w:cs="Times New Roman"/>
          <w:color w:val="000000" w:themeColor="text1"/>
        </w:rPr>
        <w:t>634</w:t>
      </w:r>
      <w:r w:rsidR="00A7626F" w:rsidRPr="001C5993">
        <w:rPr>
          <w:rFonts w:ascii="Times New Roman" w:hAnsi="Times New Roman" w:cs="Times New Roman"/>
          <w:color w:val="000000" w:themeColor="text1"/>
        </w:rPr>
        <w:t xml:space="preserve"> tỷ đồng, tăng </w:t>
      </w:r>
      <w:r w:rsidR="000021C8" w:rsidRPr="001C5993">
        <w:rPr>
          <w:rFonts w:ascii="Times New Roman" w:hAnsi="Times New Roman" w:cs="Times New Roman"/>
          <w:color w:val="000000" w:themeColor="text1"/>
        </w:rPr>
        <w:t xml:space="preserve"> </w:t>
      </w:r>
      <w:r w:rsidR="00AE77EE" w:rsidRPr="001C5993">
        <w:rPr>
          <w:rFonts w:ascii="Times New Roman" w:hAnsi="Times New Roman" w:cs="Times New Roman"/>
          <w:color w:val="000000" w:themeColor="text1"/>
        </w:rPr>
        <w:t>30</w:t>
      </w:r>
      <w:r w:rsidR="00A7626F" w:rsidRPr="001C5993">
        <w:rPr>
          <w:rFonts w:ascii="Times New Roman" w:hAnsi="Times New Roman" w:cs="Times New Roman"/>
          <w:color w:val="000000" w:themeColor="text1"/>
        </w:rPr>
        <w:t xml:space="preserve">% </w:t>
      </w:r>
      <w:r w:rsidR="00AE77EE" w:rsidRPr="001C5993">
        <w:rPr>
          <w:rFonts w:ascii="Times New Roman" w:hAnsi="Times New Roman" w:cs="Times New Roman"/>
          <w:color w:val="000000" w:themeColor="text1"/>
        </w:rPr>
        <w:t>so với năm 2017.</w:t>
      </w:r>
    </w:p>
    <w:p w14:paraId="692F5366" w14:textId="69097E13" w:rsidR="00BE5969" w:rsidRPr="001C5993" w:rsidRDefault="00C24A0F" w:rsidP="0084535B">
      <w:pPr>
        <w:pStyle w:val="ListParagraph"/>
        <w:spacing w:before="60" w:after="0" w:line="264" w:lineRule="auto"/>
        <w:ind w:left="0"/>
        <w:jc w:val="both"/>
        <w:rPr>
          <w:rFonts w:ascii="Times New Roman" w:hAnsi="Times New Roman" w:cs="Times New Roman"/>
          <w:color w:val="000000" w:themeColor="text1"/>
        </w:rPr>
      </w:pPr>
      <w:r w:rsidRPr="001C5993">
        <w:rPr>
          <w:rFonts w:ascii="Times New Roman" w:hAnsi="Times New Roman" w:cs="Times New Roman"/>
          <w:color w:val="000000" w:themeColor="text1"/>
        </w:rPr>
        <w:t xml:space="preserve">Đối với </w:t>
      </w:r>
      <w:r w:rsidR="000021C8" w:rsidRPr="001C5993">
        <w:rPr>
          <w:rFonts w:ascii="Times New Roman" w:hAnsi="Times New Roman" w:cs="Times New Roman"/>
          <w:color w:val="000000" w:themeColor="text1"/>
        </w:rPr>
        <w:t>hoạt động môi giới</w:t>
      </w:r>
      <w:r w:rsidRPr="001C5993">
        <w:rPr>
          <w:rFonts w:ascii="Times New Roman" w:hAnsi="Times New Roman" w:cs="Times New Roman"/>
          <w:color w:val="000000" w:themeColor="text1"/>
        </w:rPr>
        <w:t>:</w:t>
      </w:r>
      <w:r w:rsidR="000021C8" w:rsidRPr="001C5993">
        <w:rPr>
          <w:rFonts w:ascii="Times New Roman" w:hAnsi="Times New Roman" w:cs="Times New Roman"/>
          <w:color w:val="000000" w:themeColor="text1"/>
        </w:rPr>
        <w:t xml:space="preserve"> </w:t>
      </w:r>
      <w:r w:rsidRPr="001C5993">
        <w:rPr>
          <w:rFonts w:ascii="Times New Roman" w:hAnsi="Times New Roman" w:cs="Times New Roman"/>
          <w:color w:val="000000" w:themeColor="text1"/>
        </w:rPr>
        <w:t xml:space="preserve">Doanh thu phí giao dịch của </w:t>
      </w:r>
      <w:r w:rsidR="000021C8" w:rsidRPr="001C5993">
        <w:rPr>
          <w:rFonts w:ascii="Times New Roman" w:hAnsi="Times New Roman" w:cs="Times New Roman"/>
          <w:color w:val="000000" w:themeColor="text1"/>
        </w:rPr>
        <w:t xml:space="preserve">VNDIRECT tăng </w:t>
      </w:r>
      <w:r w:rsidR="00AE77EE" w:rsidRPr="001C5993">
        <w:rPr>
          <w:rFonts w:ascii="Times New Roman" w:hAnsi="Times New Roman" w:cs="Times New Roman"/>
          <w:color w:val="000000" w:themeColor="text1"/>
        </w:rPr>
        <w:t>5</w:t>
      </w:r>
      <w:r w:rsidR="00FB541D" w:rsidRPr="001C5993">
        <w:rPr>
          <w:rFonts w:ascii="Times New Roman" w:hAnsi="Times New Roman" w:cs="Times New Roman"/>
          <w:color w:val="000000" w:themeColor="text1"/>
        </w:rPr>
        <w:t>1,27</w:t>
      </w:r>
      <w:r w:rsidR="00AE77EE" w:rsidRPr="001C5993">
        <w:rPr>
          <w:rFonts w:ascii="Times New Roman" w:hAnsi="Times New Roman" w:cs="Times New Roman"/>
          <w:color w:val="000000" w:themeColor="text1"/>
        </w:rPr>
        <w:t>% so với năm 2017 đạt mức 5</w:t>
      </w:r>
      <w:r w:rsidR="00F62D98" w:rsidRPr="001C5993">
        <w:rPr>
          <w:rFonts w:ascii="Times New Roman" w:hAnsi="Times New Roman" w:cs="Times New Roman"/>
          <w:color w:val="000000" w:themeColor="text1"/>
        </w:rPr>
        <w:t>34</w:t>
      </w:r>
      <w:r w:rsidR="00AE77EE" w:rsidRPr="001C5993">
        <w:rPr>
          <w:rFonts w:ascii="Times New Roman" w:hAnsi="Times New Roman" w:cs="Times New Roman"/>
          <w:color w:val="000000" w:themeColor="text1"/>
        </w:rPr>
        <w:t xml:space="preserve"> tỷ </w:t>
      </w:r>
      <w:r w:rsidRPr="001C5993">
        <w:rPr>
          <w:rFonts w:ascii="Times New Roman" w:hAnsi="Times New Roman" w:cs="Times New Roman"/>
          <w:color w:val="000000" w:themeColor="text1"/>
        </w:rPr>
        <w:t>đồng</w:t>
      </w:r>
      <w:r w:rsidR="00AE77EE" w:rsidRPr="001C5993">
        <w:rPr>
          <w:rFonts w:ascii="Times New Roman" w:hAnsi="Times New Roman" w:cs="Times New Roman"/>
          <w:color w:val="000000" w:themeColor="text1"/>
        </w:rPr>
        <w:t>.</w:t>
      </w:r>
    </w:p>
    <w:p w14:paraId="152296E1" w14:textId="57128855" w:rsidR="004F3ECD" w:rsidRPr="001C5993" w:rsidRDefault="004F3ECD" w:rsidP="0084535B">
      <w:pPr>
        <w:pStyle w:val="ListParagraph"/>
        <w:spacing w:before="60" w:after="0" w:line="264" w:lineRule="auto"/>
        <w:ind w:left="0"/>
        <w:jc w:val="both"/>
        <w:rPr>
          <w:rFonts w:ascii="Times New Roman" w:hAnsi="Times New Roman" w:cs="Times New Roman"/>
          <w:color w:val="000000" w:themeColor="text1"/>
        </w:rPr>
      </w:pPr>
      <w:r w:rsidRPr="001C5993">
        <w:rPr>
          <w:rFonts w:ascii="Times New Roman" w:hAnsi="Times New Roman" w:cs="Times New Roman"/>
          <w:color w:val="000000" w:themeColor="text1"/>
        </w:rPr>
        <w:t>Thị phần</w:t>
      </w:r>
      <w:r w:rsidR="00C24A0F" w:rsidRPr="001C5993">
        <w:rPr>
          <w:rFonts w:ascii="Times New Roman" w:hAnsi="Times New Roman" w:cs="Times New Roman"/>
          <w:color w:val="000000" w:themeColor="text1"/>
        </w:rPr>
        <w:t xml:space="preserve"> giao dịch cơ sở  của </w:t>
      </w:r>
      <w:r w:rsidRPr="001C5993">
        <w:rPr>
          <w:rFonts w:ascii="Times New Roman" w:hAnsi="Times New Roman" w:cs="Times New Roman"/>
          <w:color w:val="000000" w:themeColor="text1"/>
        </w:rPr>
        <w:t xml:space="preserve">VND vẫn giữ được sự ổn định và tăng trưởng nhẹ. </w:t>
      </w:r>
      <w:r w:rsidR="00C24A0F" w:rsidRPr="001C5993">
        <w:rPr>
          <w:rFonts w:ascii="Times New Roman" w:hAnsi="Times New Roman" w:cs="Times New Roman"/>
          <w:color w:val="000000" w:themeColor="text1"/>
        </w:rPr>
        <w:t>Riêng đối với thị trường phái sinh VND là công ty chứng đi đầu nên có sự tăng trưởng đột biết và giữ vị trí thị phần số 1 năm 2018.</w:t>
      </w:r>
      <w:r w:rsidRPr="001C5993">
        <w:rPr>
          <w:rFonts w:ascii="Times New Roman" w:hAnsi="Times New Roman" w:cs="Times New Roman"/>
          <w:color w:val="000000" w:themeColor="text1"/>
        </w:rPr>
        <w:t>Thị phần thể qua các năm như sau:</w:t>
      </w:r>
    </w:p>
    <w:p w14:paraId="1AC2043A" w14:textId="5A46937F" w:rsidR="000021C8" w:rsidRPr="001C5993" w:rsidRDefault="00F54B52" w:rsidP="0084535B">
      <w:pPr>
        <w:pStyle w:val="ListParagraph"/>
        <w:spacing w:before="60" w:after="0" w:line="264" w:lineRule="auto"/>
        <w:ind w:left="0"/>
        <w:jc w:val="both"/>
        <w:rPr>
          <w:rFonts w:ascii="Times New Roman" w:hAnsi="Times New Roman" w:cs="Times New Roman"/>
          <w:color w:val="000000" w:themeColor="text1"/>
        </w:rPr>
      </w:pPr>
      <w:r w:rsidRPr="001C5993">
        <w:rPr>
          <w:rFonts w:ascii="Times New Roman" w:hAnsi="Times New Roman" w:cs="Times New Roman"/>
          <w:noProof/>
          <w:color w:val="000000" w:themeColor="text1"/>
        </w:rPr>
        <w:drawing>
          <wp:inline distT="0" distB="0" distL="0" distR="0" wp14:anchorId="60955FAD" wp14:editId="3FDEE5CF">
            <wp:extent cx="5918200" cy="3091815"/>
            <wp:effectExtent l="0" t="0" r="6350" b="133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28F77E" w14:textId="4291B1C6" w:rsidR="00A7626F" w:rsidRPr="001C5993" w:rsidRDefault="000021C8" w:rsidP="0084535B">
      <w:pPr>
        <w:pStyle w:val="ListParagraph"/>
        <w:spacing w:before="60" w:after="0" w:line="264" w:lineRule="auto"/>
        <w:ind w:left="0"/>
        <w:jc w:val="center"/>
        <w:rPr>
          <w:rFonts w:ascii="Times New Roman" w:hAnsi="Times New Roman" w:cs="Times New Roman"/>
          <w:i/>
          <w:color w:val="000000" w:themeColor="text1"/>
        </w:rPr>
      </w:pPr>
      <w:r w:rsidRPr="001C5993">
        <w:rPr>
          <w:rFonts w:ascii="Times New Roman" w:hAnsi="Times New Roman" w:cs="Times New Roman"/>
          <w:i/>
          <w:color w:val="000000" w:themeColor="text1"/>
        </w:rPr>
        <w:t xml:space="preserve">Biểu đồ </w:t>
      </w:r>
      <w:r w:rsidR="00BE5969" w:rsidRPr="001C5993">
        <w:rPr>
          <w:rFonts w:ascii="Times New Roman" w:hAnsi="Times New Roman" w:cs="Times New Roman"/>
          <w:i/>
          <w:color w:val="000000" w:themeColor="text1"/>
        </w:rPr>
        <w:t xml:space="preserve">1: </w:t>
      </w:r>
      <w:r w:rsidRPr="001C5993">
        <w:rPr>
          <w:rFonts w:ascii="Times New Roman" w:hAnsi="Times New Roman" w:cs="Times New Roman"/>
          <w:i/>
          <w:color w:val="000000" w:themeColor="text1"/>
        </w:rPr>
        <w:t>Thị phần môi giớ</w:t>
      </w:r>
      <w:r w:rsidR="00BE5969" w:rsidRPr="001C5993">
        <w:rPr>
          <w:rFonts w:ascii="Times New Roman" w:hAnsi="Times New Roman" w:cs="Times New Roman"/>
          <w:i/>
          <w:color w:val="000000" w:themeColor="text1"/>
        </w:rPr>
        <w:t>i CP, CCQ</w:t>
      </w:r>
      <w:r w:rsidR="00F54B52" w:rsidRPr="001C5993">
        <w:rPr>
          <w:rFonts w:ascii="Times New Roman" w:hAnsi="Times New Roman" w:cs="Times New Roman"/>
          <w:i/>
          <w:color w:val="000000" w:themeColor="text1"/>
        </w:rPr>
        <w:t xml:space="preserve">, phái sinh </w:t>
      </w:r>
      <w:r w:rsidR="00BE5969" w:rsidRPr="001C5993">
        <w:rPr>
          <w:rFonts w:ascii="Times New Roman" w:hAnsi="Times New Roman" w:cs="Times New Roman"/>
          <w:i/>
          <w:color w:val="000000" w:themeColor="text1"/>
        </w:rPr>
        <w:t>của VND giai đoạn 2014-201</w:t>
      </w:r>
      <w:r w:rsidR="00F54B52" w:rsidRPr="001C5993">
        <w:rPr>
          <w:rFonts w:ascii="Times New Roman" w:hAnsi="Times New Roman" w:cs="Times New Roman"/>
          <w:i/>
          <w:color w:val="000000" w:themeColor="text1"/>
        </w:rPr>
        <w:t>8</w:t>
      </w:r>
    </w:p>
    <w:p w14:paraId="198F448F" w14:textId="652313A2" w:rsidR="007D2724" w:rsidRPr="001C5993" w:rsidRDefault="007D2724" w:rsidP="0084535B">
      <w:pPr>
        <w:pStyle w:val="ListParagraph"/>
        <w:spacing w:before="60" w:after="0" w:line="264" w:lineRule="auto"/>
        <w:ind w:left="0"/>
        <w:jc w:val="center"/>
        <w:rPr>
          <w:rFonts w:ascii="Times New Roman" w:hAnsi="Times New Roman" w:cs="Times New Roman"/>
          <w:i/>
          <w:color w:val="000000" w:themeColor="text1"/>
        </w:rPr>
      </w:pPr>
    </w:p>
    <w:p w14:paraId="5EAB6F1E" w14:textId="36EC1542" w:rsidR="00BE5969" w:rsidRPr="001C5993" w:rsidRDefault="00E64CF0" w:rsidP="0084535B">
      <w:pPr>
        <w:pStyle w:val="ListParagraph"/>
        <w:spacing w:before="60" w:after="0" w:line="264" w:lineRule="auto"/>
        <w:ind w:left="0"/>
        <w:jc w:val="both"/>
        <w:rPr>
          <w:rFonts w:ascii="Times New Roman" w:hAnsi="Times New Roman" w:cs="Times New Roman"/>
          <w:color w:val="000000" w:themeColor="text1"/>
        </w:rPr>
      </w:pPr>
      <w:r w:rsidRPr="001C5993">
        <w:rPr>
          <w:rFonts w:ascii="Times New Roman" w:hAnsi="Times New Roman" w:cs="Times New Roman"/>
          <w:color w:val="000000" w:themeColor="text1"/>
        </w:rPr>
        <w:t>Tuy thị trườn</w:t>
      </w:r>
      <w:r w:rsidR="00307724" w:rsidRPr="001C5993">
        <w:rPr>
          <w:rFonts w:ascii="Times New Roman" w:hAnsi="Times New Roman" w:cs="Times New Roman"/>
          <w:color w:val="000000" w:themeColor="text1"/>
        </w:rPr>
        <w:t xml:space="preserve">g có nhiều biến động song mảng </w:t>
      </w:r>
      <w:r w:rsidR="00A7626F" w:rsidRPr="001C5993">
        <w:rPr>
          <w:rFonts w:ascii="Times New Roman" w:hAnsi="Times New Roman" w:cs="Times New Roman"/>
          <w:color w:val="000000" w:themeColor="text1"/>
        </w:rPr>
        <w:t xml:space="preserve">hoạt động cho vay ký quỹ </w:t>
      </w:r>
      <w:r w:rsidR="00307724" w:rsidRPr="001C5993">
        <w:rPr>
          <w:rFonts w:ascii="Times New Roman" w:hAnsi="Times New Roman" w:cs="Times New Roman"/>
          <w:color w:val="000000" w:themeColor="text1"/>
        </w:rPr>
        <w:t xml:space="preserve">vẫn giữ đà từ </w:t>
      </w:r>
      <w:r w:rsidRPr="001C5993">
        <w:rPr>
          <w:rFonts w:ascii="Times New Roman" w:hAnsi="Times New Roman" w:cs="Times New Roman"/>
          <w:color w:val="000000" w:themeColor="text1"/>
        </w:rPr>
        <w:t>343</w:t>
      </w:r>
      <w:r w:rsidR="00BE5969" w:rsidRPr="001C5993">
        <w:rPr>
          <w:rFonts w:ascii="Times New Roman" w:hAnsi="Times New Roman" w:cs="Times New Roman"/>
          <w:color w:val="000000" w:themeColor="text1"/>
        </w:rPr>
        <w:t xml:space="preserve"> tỷ lên đến </w:t>
      </w:r>
      <w:r w:rsidRPr="001C5993">
        <w:rPr>
          <w:rFonts w:ascii="Times New Roman" w:hAnsi="Times New Roman" w:cs="Times New Roman"/>
          <w:color w:val="000000" w:themeColor="text1"/>
        </w:rPr>
        <w:t>435</w:t>
      </w:r>
      <w:r w:rsidR="00BE5969" w:rsidRPr="001C5993">
        <w:rPr>
          <w:rFonts w:ascii="Times New Roman" w:hAnsi="Times New Roman" w:cs="Times New Roman"/>
          <w:color w:val="000000" w:themeColor="text1"/>
        </w:rPr>
        <w:t>tỷ đồ</w:t>
      </w:r>
      <w:r w:rsidR="00307724" w:rsidRPr="001C5993">
        <w:rPr>
          <w:rFonts w:ascii="Times New Roman" w:hAnsi="Times New Roman" w:cs="Times New Roman"/>
          <w:color w:val="000000" w:themeColor="text1"/>
        </w:rPr>
        <w:t>ng, tăng 27% so với năm 2017.</w:t>
      </w:r>
    </w:p>
    <w:p w14:paraId="71D2C3A3" w14:textId="31D62138" w:rsidR="00A7626F" w:rsidRPr="001C5993" w:rsidRDefault="00BE5969" w:rsidP="0084535B">
      <w:pPr>
        <w:pStyle w:val="ListParagraph"/>
        <w:spacing w:before="60" w:after="0" w:line="264" w:lineRule="auto"/>
        <w:ind w:left="0"/>
        <w:jc w:val="both"/>
        <w:rPr>
          <w:rFonts w:ascii="Times New Roman" w:hAnsi="Times New Roman" w:cs="Times New Roman"/>
          <w:color w:val="000000" w:themeColor="text1"/>
        </w:rPr>
      </w:pPr>
      <w:r w:rsidRPr="001C5993">
        <w:rPr>
          <w:rFonts w:ascii="Times New Roman" w:hAnsi="Times New Roman" w:cs="Times New Roman"/>
          <w:color w:val="000000" w:themeColor="text1"/>
        </w:rPr>
        <w:t>Năm 201</w:t>
      </w:r>
      <w:r w:rsidR="00E64CF0" w:rsidRPr="001C5993">
        <w:rPr>
          <w:rFonts w:ascii="Times New Roman" w:hAnsi="Times New Roman" w:cs="Times New Roman"/>
          <w:color w:val="000000" w:themeColor="text1"/>
        </w:rPr>
        <w:t>8</w:t>
      </w:r>
      <w:r w:rsidR="00A7626F" w:rsidRPr="001C5993">
        <w:rPr>
          <w:rFonts w:ascii="Times New Roman" w:hAnsi="Times New Roman" w:cs="Times New Roman"/>
          <w:color w:val="000000" w:themeColor="text1"/>
        </w:rPr>
        <w:t xml:space="preserve"> </w:t>
      </w:r>
      <w:r w:rsidR="00307724" w:rsidRPr="001C5993">
        <w:rPr>
          <w:rFonts w:ascii="Times New Roman" w:hAnsi="Times New Roman" w:cs="Times New Roman"/>
          <w:color w:val="000000" w:themeColor="text1"/>
        </w:rPr>
        <w:t xml:space="preserve">là một năm chưa thực sự thành công của mảng hoạt động tự doanh, lợi nhuận hoạt động tự doanh ngắn hạn giảm từ 217 tỷ năm 2017 xuống còn </w:t>
      </w:r>
      <w:r w:rsidR="008F718A" w:rsidRPr="001C5993">
        <w:rPr>
          <w:rFonts w:ascii="Times New Roman" w:hAnsi="Times New Roman" w:cs="Times New Roman"/>
          <w:color w:val="000000" w:themeColor="text1"/>
        </w:rPr>
        <w:t>âm 33tỷ.</w:t>
      </w:r>
      <w:r w:rsidR="00591580" w:rsidRPr="001C5993">
        <w:rPr>
          <w:rFonts w:ascii="Times New Roman" w:hAnsi="Times New Roman" w:cs="Times New Roman"/>
          <w:color w:val="000000" w:themeColor="text1"/>
        </w:rPr>
        <w:t xml:space="preserve"> Trong đó, chủ yếu là do phần chênh lệch đánh giá lại trạng thái</w:t>
      </w:r>
      <w:r w:rsidR="002D48FD" w:rsidRPr="001C5993">
        <w:rPr>
          <w:rFonts w:ascii="Times New Roman" w:hAnsi="Times New Roman" w:cs="Times New Roman"/>
          <w:color w:val="000000" w:themeColor="text1"/>
        </w:rPr>
        <w:t xml:space="preserve"> đầu tư đã làm suy giảm lợi nhuận so với năm 2017.</w:t>
      </w:r>
    </w:p>
    <w:p w14:paraId="3DA83A14" w14:textId="3A4837FA" w:rsidR="00F402F6" w:rsidRPr="001C5993" w:rsidRDefault="00264280" w:rsidP="0084535B">
      <w:pPr>
        <w:pStyle w:val="Caption"/>
        <w:keepNext/>
        <w:spacing w:before="60" w:after="0" w:line="264" w:lineRule="auto"/>
        <w:rPr>
          <w:rFonts w:ascii="Times New Roman" w:hAnsi="Times New Roman" w:cs="Times New Roman"/>
          <w:i w:val="0"/>
          <w:color w:val="000000" w:themeColor="text1"/>
          <w:sz w:val="22"/>
          <w:szCs w:val="22"/>
        </w:rPr>
      </w:pPr>
      <w:r w:rsidRPr="001C5993">
        <w:rPr>
          <w:rFonts w:ascii="Times New Roman" w:hAnsi="Times New Roman" w:cs="Times New Roman"/>
          <w:i w:val="0"/>
          <w:color w:val="000000" w:themeColor="text1"/>
          <w:sz w:val="22"/>
          <w:szCs w:val="22"/>
        </w:rPr>
        <w:t>Tổng quan chỉ tiêu tổng hợp của VNDIRECT</w:t>
      </w:r>
      <w:r w:rsidR="002211B4" w:rsidRPr="001C5993">
        <w:rPr>
          <w:rFonts w:ascii="Times New Roman" w:hAnsi="Times New Roman" w:cs="Times New Roman"/>
          <w:i w:val="0"/>
          <w:color w:val="000000" w:themeColor="text1"/>
          <w:sz w:val="22"/>
          <w:szCs w:val="22"/>
        </w:rPr>
        <w:t xml:space="preserve"> hợp nhất</w:t>
      </w:r>
      <w:r w:rsidRPr="001C5993">
        <w:rPr>
          <w:rFonts w:ascii="Times New Roman" w:hAnsi="Times New Roman" w:cs="Times New Roman"/>
          <w:i w:val="0"/>
          <w:color w:val="000000" w:themeColor="text1"/>
          <w:sz w:val="22"/>
          <w:szCs w:val="22"/>
        </w:rPr>
        <w:t xml:space="preserve"> theo năm:</w:t>
      </w:r>
    </w:p>
    <w:tbl>
      <w:tblPr>
        <w:tblW w:w="9049" w:type="dxa"/>
        <w:tblLook w:val="04A0" w:firstRow="1" w:lastRow="0" w:firstColumn="1" w:lastColumn="0" w:noHBand="0" w:noVBand="1"/>
      </w:tblPr>
      <w:tblGrid>
        <w:gridCol w:w="2504"/>
        <w:gridCol w:w="1636"/>
        <w:gridCol w:w="1636"/>
        <w:gridCol w:w="1636"/>
        <w:gridCol w:w="1637"/>
      </w:tblGrid>
      <w:tr w:rsidR="001C5993" w:rsidRPr="001C5993" w14:paraId="27A6544A" w14:textId="77777777" w:rsidTr="002211B4">
        <w:trPr>
          <w:trHeight w:val="337"/>
        </w:trPr>
        <w:tc>
          <w:tcPr>
            <w:tcW w:w="250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C8E076" w14:textId="77777777" w:rsidR="002211B4" w:rsidRPr="001C5993" w:rsidRDefault="002211B4" w:rsidP="002211B4">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Chỉ tiêu( tỷ đồng)</w:t>
            </w:r>
          </w:p>
        </w:tc>
        <w:tc>
          <w:tcPr>
            <w:tcW w:w="1636" w:type="dxa"/>
            <w:tcBorders>
              <w:top w:val="single" w:sz="4" w:space="0" w:color="auto"/>
              <w:left w:val="nil"/>
              <w:bottom w:val="single" w:sz="4" w:space="0" w:color="auto"/>
              <w:right w:val="single" w:sz="4" w:space="0" w:color="auto"/>
            </w:tcBorders>
            <w:shd w:val="clear" w:color="000000" w:fill="FFFFFF"/>
            <w:vAlign w:val="center"/>
            <w:hideMark/>
          </w:tcPr>
          <w:p w14:paraId="2A580ED9" w14:textId="021E37CC" w:rsidR="002211B4" w:rsidRPr="001C5993" w:rsidRDefault="002211B4" w:rsidP="002211B4">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Năm 2015</w:t>
            </w:r>
          </w:p>
        </w:tc>
        <w:tc>
          <w:tcPr>
            <w:tcW w:w="1636" w:type="dxa"/>
            <w:tcBorders>
              <w:top w:val="single" w:sz="4" w:space="0" w:color="auto"/>
              <w:left w:val="nil"/>
              <w:bottom w:val="single" w:sz="4" w:space="0" w:color="auto"/>
              <w:right w:val="single" w:sz="4" w:space="0" w:color="auto"/>
            </w:tcBorders>
            <w:shd w:val="clear" w:color="000000" w:fill="FFFFFF"/>
            <w:vAlign w:val="center"/>
            <w:hideMark/>
          </w:tcPr>
          <w:p w14:paraId="0F3E579A" w14:textId="6711904E" w:rsidR="002211B4" w:rsidRPr="001C5993" w:rsidRDefault="002211B4" w:rsidP="002211B4">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Năm 2016</w:t>
            </w:r>
          </w:p>
        </w:tc>
        <w:tc>
          <w:tcPr>
            <w:tcW w:w="1636" w:type="dxa"/>
            <w:tcBorders>
              <w:top w:val="single" w:sz="4" w:space="0" w:color="auto"/>
              <w:left w:val="nil"/>
              <w:bottom w:val="single" w:sz="4" w:space="0" w:color="auto"/>
              <w:right w:val="single" w:sz="4" w:space="0" w:color="auto"/>
            </w:tcBorders>
            <w:shd w:val="clear" w:color="000000" w:fill="FFFFFF"/>
            <w:vAlign w:val="center"/>
            <w:hideMark/>
          </w:tcPr>
          <w:p w14:paraId="65B36E55" w14:textId="6BB92056" w:rsidR="002211B4" w:rsidRPr="001C5993" w:rsidRDefault="002211B4" w:rsidP="002211B4">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Năm 2017</w:t>
            </w:r>
          </w:p>
        </w:tc>
        <w:tc>
          <w:tcPr>
            <w:tcW w:w="1637" w:type="dxa"/>
            <w:tcBorders>
              <w:top w:val="single" w:sz="4" w:space="0" w:color="auto"/>
              <w:left w:val="nil"/>
              <w:bottom w:val="single" w:sz="4" w:space="0" w:color="auto"/>
              <w:right w:val="single" w:sz="4" w:space="0" w:color="auto"/>
            </w:tcBorders>
            <w:shd w:val="clear" w:color="000000" w:fill="FFFFFF"/>
            <w:vAlign w:val="center"/>
            <w:hideMark/>
          </w:tcPr>
          <w:p w14:paraId="2F9CA658" w14:textId="69D8B943" w:rsidR="002211B4" w:rsidRPr="001C5993" w:rsidRDefault="002211B4" w:rsidP="002211B4">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Năm 2018</w:t>
            </w:r>
          </w:p>
        </w:tc>
      </w:tr>
      <w:tr w:rsidR="001C5993" w:rsidRPr="001C5993" w14:paraId="15C6E08B" w14:textId="77777777" w:rsidTr="00F3085E">
        <w:trPr>
          <w:trHeight w:val="337"/>
        </w:trPr>
        <w:tc>
          <w:tcPr>
            <w:tcW w:w="9049"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14:paraId="32FC57F3" w14:textId="77777777" w:rsidR="00F3085E" w:rsidRPr="001C5993" w:rsidRDefault="00F3085E" w:rsidP="0084535B">
            <w:pPr>
              <w:spacing w:before="60" w:after="0" w:line="264" w:lineRule="auto"/>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Kết quả kinh doanh</w:t>
            </w:r>
          </w:p>
        </w:tc>
      </w:tr>
      <w:tr w:rsidR="001C5993" w:rsidRPr="001C5993" w14:paraId="44EDDF00" w14:textId="77777777" w:rsidTr="00BB5AD9">
        <w:trPr>
          <w:trHeight w:val="337"/>
        </w:trPr>
        <w:tc>
          <w:tcPr>
            <w:tcW w:w="2504" w:type="dxa"/>
            <w:tcBorders>
              <w:top w:val="nil"/>
              <w:left w:val="single" w:sz="4" w:space="0" w:color="auto"/>
              <w:bottom w:val="single" w:sz="4" w:space="0" w:color="auto"/>
              <w:right w:val="single" w:sz="4" w:space="0" w:color="auto"/>
            </w:tcBorders>
            <w:shd w:val="clear" w:color="000000" w:fill="FFFFFF"/>
            <w:vAlign w:val="center"/>
            <w:hideMark/>
          </w:tcPr>
          <w:p w14:paraId="09A0F11E" w14:textId="77777777" w:rsidR="002211B4" w:rsidRPr="001C5993" w:rsidRDefault="002211B4" w:rsidP="002211B4">
            <w:pPr>
              <w:spacing w:before="60" w:after="0" w:line="264" w:lineRule="auto"/>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DT từ KD chứng khoán</w:t>
            </w:r>
          </w:p>
        </w:tc>
        <w:tc>
          <w:tcPr>
            <w:tcW w:w="1636" w:type="dxa"/>
            <w:tcBorders>
              <w:top w:val="nil"/>
              <w:left w:val="nil"/>
              <w:bottom w:val="single" w:sz="4" w:space="0" w:color="auto"/>
              <w:right w:val="single" w:sz="4" w:space="0" w:color="auto"/>
            </w:tcBorders>
            <w:shd w:val="clear" w:color="000000" w:fill="FFFFFF"/>
            <w:vAlign w:val="bottom"/>
            <w:hideMark/>
          </w:tcPr>
          <w:p w14:paraId="7E4EBD59" w14:textId="55A6012F"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534</w:t>
            </w:r>
          </w:p>
        </w:tc>
        <w:tc>
          <w:tcPr>
            <w:tcW w:w="1636" w:type="dxa"/>
            <w:tcBorders>
              <w:top w:val="nil"/>
              <w:left w:val="nil"/>
              <w:bottom w:val="single" w:sz="4" w:space="0" w:color="auto"/>
              <w:right w:val="single" w:sz="4" w:space="0" w:color="auto"/>
            </w:tcBorders>
            <w:shd w:val="clear" w:color="000000" w:fill="FFFFFF"/>
            <w:vAlign w:val="bottom"/>
            <w:hideMark/>
          </w:tcPr>
          <w:p w14:paraId="2DC2FB0A" w14:textId="739D30EF"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747</w:t>
            </w:r>
          </w:p>
        </w:tc>
        <w:tc>
          <w:tcPr>
            <w:tcW w:w="1636" w:type="dxa"/>
            <w:tcBorders>
              <w:top w:val="nil"/>
              <w:left w:val="nil"/>
              <w:bottom w:val="single" w:sz="4" w:space="0" w:color="auto"/>
              <w:right w:val="single" w:sz="4" w:space="0" w:color="auto"/>
            </w:tcBorders>
            <w:shd w:val="clear" w:color="000000" w:fill="FFFFFF"/>
            <w:vAlign w:val="bottom"/>
            <w:hideMark/>
          </w:tcPr>
          <w:p w14:paraId="2C258447" w14:textId="5C2F0C5C"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1245</w:t>
            </w:r>
          </w:p>
        </w:tc>
        <w:tc>
          <w:tcPr>
            <w:tcW w:w="1637" w:type="dxa"/>
            <w:tcBorders>
              <w:top w:val="nil"/>
              <w:left w:val="nil"/>
              <w:bottom w:val="single" w:sz="4" w:space="0" w:color="auto"/>
              <w:right w:val="single" w:sz="4" w:space="0" w:color="auto"/>
            </w:tcBorders>
            <w:shd w:val="clear" w:color="000000" w:fill="FFFFFF"/>
            <w:vAlign w:val="bottom"/>
            <w:hideMark/>
          </w:tcPr>
          <w:p w14:paraId="365062DF" w14:textId="7AC7E7BB"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1538</w:t>
            </w:r>
          </w:p>
        </w:tc>
      </w:tr>
      <w:tr w:rsidR="001C5993" w:rsidRPr="001C5993" w14:paraId="132005D0" w14:textId="77777777" w:rsidTr="00BB5AD9">
        <w:trPr>
          <w:trHeight w:val="337"/>
        </w:trPr>
        <w:tc>
          <w:tcPr>
            <w:tcW w:w="2504" w:type="dxa"/>
            <w:tcBorders>
              <w:top w:val="nil"/>
              <w:left w:val="single" w:sz="4" w:space="0" w:color="auto"/>
              <w:bottom w:val="single" w:sz="4" w:space="0" w:color="auto"/>
              <w:right w:val="single" w:sz="4" w:space="0" w:color="auto"/>
            </w:tcBorders>
            <w:shd w:val="clear" w:color="auto" w:fill="auto"/>
            <w:noWrap/>
            <w:vAlign w:val="bottom"/>
            <w:hideMark/>
          </w:tcPr>
          <w:p w14:paraId="7490E29B" w14:textId="77777777" w:rsidR="002211B4" w:rsidRPr="001C5993" w:rsidRDefault="002211B4" w:rsidP="002211B4">
            <w:pPr>
              <w:spacing w:before="60" w:after="0" w:line="264" w:lineRule="auto"/>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Lợi nhuận gộp</w:t>
            </w:r>
          </w:p>
        </w:tc>
        <w:tc>
          <w:tcPr>
            <w:tcW w:w="1636" w:type="dxa"/>
            <w:tcBorders>
              <w:top w:val="nil"/>
              <w:left w:val="nil"/>
              <w:bottom w:val="single" w:sz="4" w:space="0" w:color="auto"/>
              <w:right w:val="single" w:sz="4" w:space="0" w:color="auto"/>
            </w:tcBorders>
            <w:shd w:val="clear" w:color="000000" w:fill="FFFFFF"/>
            <w:vAlign w:val="bottom"/>
            <w:hideMark/>
          </w:tcPr>
          <w:p w14:paraId="75524BD1" w14:textId="635CF47B"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311</w:t>
            </w:r>
          </w:p>
        </w:tc>
        <w:tc>
          <w:tcPr>
            <w:tcW w:w="1636" w:type="dxa"/>
            <w:tcBorders>
              <w:top w:val="nil"/>
              <w:left w:val="nil"/>
              <w:bottom w:val="single" w:sz="4" w:space="0" w:color="auto"/>
              <w:right w:val="single" w:sz="4" w:space="0" w:color="auto"/>
            </w:tcBorders>
            <w:shd w:val="clear" w:color="000000" w:fill="FFFFFF"/>
            <w:vAlign w:val="bottom"/>
            <w:hideMark/>
          </w:tcPr>
          <w:p w14:paraId="71338656" w14:textId="4BF9EF15"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520</w:t>
            </w:r>
          </w:p>
        </w:tc>
        <w:tc>
          <w:tcPr>
            <w:tcW w:w="1636" w:type="dxa"/>
            <w:tcBorders>
              <w:top w:val="nil"/>
              <w:left w:val="nil"/>
              <w:bottom w:val="single" w:sz="4" w:space="0" w:color="auto"/>
              <w:right w:val="single" w:sz="4" w:space="0" w:color="auto"/>
            </w:tcBorders>
            <w:shd w:val="clear" w:color="000000" w:fill="FFFFFF"/>
            <w:vAlign w:val="bottom"/>
            <w:hideMark/>
          </w:tcPr>
          <w:p w14:paraId="60B5835B" w14:textId="4D5E46D1"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673</w:t>
            </w:r>
          </w:p>
        </w:tc>
        <w:tc>
          <w:tcPr>
            <w:tcW w:w="1637" w:type="dxa"/>
            <w:tcBorders>
              <w:top w:val="nil"/>
              <w:left w:val="nil"/>
              <w:bottom w:val="single" w:sz="4" w:space="0" w:color="auto"/>
              <w:right w:val="single" w:sz="4" w:space="0" w:color="auto"/>
            </w:tcBorders>
            <w:shd w:val="clear" w:color="000000" w:fill="FFFFFF"/>
            <w:vAlign w:val="bottom"/>
            <w:hideMark/>
          </w:tcPr>
          <w:p w14:paraId="2E7D2C7A" w14:textId="1A50B121"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610</w:t>
            </w:r>
          </w:p>
        </w:tc>
      </w:tr>
      <w:tr w:rsidR="001C5993" w:rsidRPr="001C5993" w14:paraId="386C5820" w14:textId="77777777" w:rsidTr="00BB5AD9">
        <w:trPr>
          <w:trHeight w:val="337"/>
        </w:trPr>
        <w:tc>
          <w:tcPr>
            <w:tcW w:w="2504" w:type="dxa"/>
            <w:tcBorders>
              <w:top w:val="nil"/>
              <w:left w:val="single" w:sz="4" w:space="0" w:color="auto"/>
              <w:bottom w:val="single" w:sz="4" w:space="0" w:color="auto"/>
              <w:right w:val="single" w:sz="4" w:space="0" w:color="auto"/>
            </w:tcBorders>
            <w:shd w:val="clear" w:color="auto" w:fill="auto"/>
            <w:noWrap/>
            <w:vAlign w:val="bottom"/>
            <w:hideMark/>
          </w:tcPr>
          <w:p w14:paraId="4E8BA699" w14:textId="77777777" w:rsidR="002211B4" w:rsidRPr="001C5993" w:rsidRDefault="002211B4" w:rsidP="002211B4">
            <w:pPr>
              <w:spacing w:before="60" w:after="0" w:line="264" w:lineRule="auto"/>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LNST thu nhập DN</w:t>
            </w:r>
          </w:p>
        </w:tc>
        <w:tc>
          <w:tcPr>
            <w:tcW w:w="1636" w:type="dxa"/>
            <w:tcBorders>
              <w:top w:val="nil"/>
              <w:left w:val="nil"/>
              <w:bottom w:val="single" w:sz="4" w:space="0" w:color="auto"/>
              <w:right w:val="single" w:sz="4" w:space="0" w:color="auto"/>
            </w:tcBorders>
            <w:shd w:val="clear" w:color="000000" w:fill="FFFFFF"/>
            <w:vAlign w:val="bottom"/>
            <w:hideMark/>
          </w:tcPr>
          <w:p w14:paraId="5E831199" w14:textId="5BF91AC9"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182</w:t>
            </w:r>
          </w:p>
        </w:tc>
        <w:tc>
          <w:tcPr>
            <w:tcW w:w="1636" w:type="dxa"/>
            <w:tcBorders>
              <w:top w:val="nil"/>
              <w:left w:val="nil"/>
              <w:bottom w:val="single" w:sz="4" w:space="0" w:color="auto"/>
              <w:right w:val="single" w:sz="4" w:space="0" w:color="auto"/>
            </w:tcBorders>
            <w:shd w:val="clear" w:color="000000" w:fill="FFFFFF"/>
            <w:vAlign w:val="bottom"/>
            <w:hideMark/>
          </w:tcPr>
          <w:p w14:paraId="65470880" w14:textId="62F08298"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186</w:t>
            </w:r>
          </w:p>
        </w:tc>
        <w:tc>
          <w:tcPr>
            <w:tcW w:w="1636" w:type="dxa"/>
            <w:tcBorders>
              <w:top w:val="nil"/>
              <w:left w:val="nil"/>
              <w:bottom w:val="single" w:sz="4" w:space="0" w:color="auto"/>
              <w:right w:val="single" w:sz="4" w:space="0" w:color="auto"/>
            </w:tcBorders>
            <w:shd w:val="clear" w:color="000000" w:fill="FFFFFF"/>
            <w:vAlign w:val="bottom"/>
            <w:hideMark/>
          </w:tcPr>
          <w:p w14:paraId="711E023F" w14:textId="031A620C"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472</w:t>
            </w:r>
          </w:p>
        </w:tc>
        <w:tc>
          <w:tcPr>
            <w:tcW w:w="1637" w:type="dxa"/>
            <w:tcBorders>
              <w:top w:val="nil"/>
              <w:left w:val="nil"/>
              <w:bottom w:val="single" w:sz="4" w:space="0" w:color="auto"/>
              <w:right w:val="single" w:sz="4" w:space="0" w:color="auto"/>
            </w:tcBorders>
            <w:shd w:val="clear" w:color="000000" w:fill="FFFFFF"/>
            <w:vAlign w:val="bottom"/>
            <w:hideMark/>
          </w:tcPr>
          <w:p w14:paraId="27490C5F" w14:textId="20CE9C3A" w:rsidR="002211B4" w:rsidRPr="001C5993" w:rsidRDefault="002211B4" w:rsidP="002211B4">
            <w:pPr>
              <w:spacing w:before="60" w:after="0" w:line="264" w:lineRule="auto"/>
              <w:jc w:val="center"/>
              <w:rPr>
                <w:rFonts w:ascii="Times New Roman" w:eastAsia="Times New Roman" w:hAnsi="Times New Roman" w:cs="Times New Roman"/>
                <w:color w:val="000000" w:themeColor="text1"/>
              </w:rPr>
            </w:pPr>
            <w:r w:rsidRPr="001C5993">
              <w:rPr>
                <w:rFonts w:ascii="Times New Roman" w:hAnsi="Times New Roman" w:cs="Times New Roman"/>
                <w:color w:val="000000" w:themeColor="text1"/>
              </w:rPr>
              <w:t>373</w:t>
            </w:r>
          </w:p>
        </w:tc>
      </w:tr>
      <w:tr w:rsidR="001C5993" w:rsidRPr="001C5993" w14:paraId="1F7A2064" w14:textId="77777777" w:rsidTr="00F3085E">
        <w:trPr>
          <w:trHeight w:val="337"/>
        </w:trPr>
        <w:tc>
          <w:tcPr>
            <w:tcW w:w="2504" w:type="dxa"/>
            <w:tcBorders>
              <w:top w:val="nil"/>
              <w:left w:val="single" w:sz="4" w:space="0" w:color="auto"/>
              <w:bottom w:val="single" w:sz="4" w:space="0" w:color="auto"/>
              <w:right w:val="nil"/>
            </w:tcBorders>
            <w:shd w:val="clear" w:color="auto" w:fill="auto"/>
            <w:noWrap/>
            <w:vAlign w:val="bottom"/>
            <w:hideMark/>
          </w:tcPr>
          <w:p w14:paraId="2F7DA5A2" w14:textId="77777777" w:rsidR="00C856BC" w:rsidRPr="001C5993" w:rsidRDefault="00C856BC" w:rsidP="0084535B">
            <w:pPr>
              <w:spacing w:before="60" w:after="0" w:line="264" w:lineRule="auto"/>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Cân đối kế toán</w:t>
            </w:r>
          </w:p>
        </w:tc>
        <w:tc>
          <w:tcPr>
            <w:tcW w:w="6545" w:type="dxa"/>
            <w:gridSpan w:val="4"/>
            <w:tcBorders>
              <w:top w:val="nil"/>
              <w:left w:val="single" w:sz="4" w:space="0" w:color="auto"/>
              <w:bottom w:val="single" w:sz="4" w:space="0" w:color="auto"/>
              <w:right w:val="single" w:sz="4" w:space="0" w:color="auto"/>
            </w:tcBorders>
            <w:shd w:val="clear" w:color="000000" w:fill="FFFFFF"/>
            <w:vAlign w:val="center"/>
          </w:tcPr>
          <w:p w14:paraId="024801CF" w14:textId="77777777" w:rsidR="00C856BC" w:rsidRPr="001C5993" w:rsidRDefault="00C856BC" w:rsidP="0084535B">
            <w:pPr>
              <w:spacing w:before="60" w:after="0" w:line="264" w:lineRule="auto"/>
              <w:jc w:val="center"/>
              <w:rPr>
                <w:rFonts w:ascii="Times New Roman" w:eastAsia="Times New Roman" w:hAnsi="Times New Roman" w:cs="Times New Roman"/>
                <w:b/>
                <w:bCs/>
                <w:color w:val="000000" w:themeColor="text1"/>
              </w:rPr>
            </w:pPr>
          </w:p>
        </w:tc>
      </w:tr>
      <w:tr w:rsidR="001C5993" w:rsidRPr="001C5993" w14:paraId="42B65282" w14:textId="77777777" w:rsidTr="002211B4">
        <w:trPr>
          <w:trHeight w:val="337"/>
        </w:trPr>
        <w:tc>
          <w:tcPr>
            <w:tcW w:w="2504" w:type="dxa"/>
            <w:tcBorders>
              <w:top w:val="nil"/>
              <w:left w:val="single" w:sz="4" w:space="0" w:color="auto"/>
              <w:bottom w:val="single" w:sz="4" w:space="0" w:color="auto"/>
              <w:right w:val="single" w:sz="4" w:space="0" w:color="auto"/>
            </w:tcBorders>
            <w:shd w:val="clear" w:color="auto" w:fill="auto"/>
            <w:noWrap/>
            <w:vAlign w:val="bottom"/>
            <w:hideMark/>
          </w:tcPr>
          <w:p w14:paraId="2B396D08" w14:textId="77777777" w:rsidR="002211B4" w:rsidRPr="001C5993" w:rsidRDefault="002211B4" w:rsidP="002211B4">
            <w:pPr>
              <w:spacing w:before="60" w:after="0" w:line="264" w:lineRule="auto"/>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lastRenderedPageBreak/>
              <w:t>Tổng tài sản</w:t>
            </w:r>
          </w:p>
        </w:tc>
        <w:tc>
          <w:tcPr>
            <w:tcW w:w="1636" w:type="dxa"/>
            <w:tcBorders>
              <w:top w:val="nil"/>
              <w:left w:val="nil"/>
              <w:bottom w:val="single" w:sz="4" w:space="0" w:color="auto"/>
              <w:right w:val="single" w:sz="4" w:space="0" w:color="auto"/>
            </w:tcBorders>
            <w:shd w:val="clear" w:color="auto" w:fill="auto"/>
            <w:noWrap/>
            <w:vAlign w:val="bottom"/>
            <w:hideMark/>
          </w:tcPr>
          <w:p w14:paraId="55188813" w14:textId="72437A3C"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5,758</w:t>
            </w:r>
          </w:p>
        </w:tc>
        <w:tc>
          <w:tcPr>
            <w:tcW w:w="1636" w:type="dxa"/>
            <w:tcBorders>
              <w:top w:val="nil"/>
              <w:left w:val="nil"/>
              <w:bottom w:val="single" w:sz="4" w:space="0" w:color="auto"/>
              <w:right w:val="single" w:sz="4" w:space="0" w:color="auto"/>
            </w:tcBorders>
            <w:shd w:val="clear" w:color="auto" w:fill="auto"/>
            <w:noWrap/>
            <w:vAlign w:val="bottom"/>
            <w:hideMark/>
          </w:tcPr>
          <w:p w14:paraId="29291546" w14:textId="3F3BD641"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5,174</w:t>
            </w:r>
          </w:p>
        </w:tc>
        <w:tc>
          <w:tcPr>
            <w:tcW w:w="1636" w:type="dxa"/>
            <w:tcBorders>
              <w:top w:val="nil"/>
              <w:left w:val="nil"/>
              <w:bottom w:val="single" w:sz="4" w:space="0" w:color="auto"/>
              <w:right w:val="single" w:sz="4" w:space="0" w:color="auto"/>
            </w:tcBorders>
            <w:shd w:val="clear" w:color="auto" w:fill="auto"/>
            <w:noWrap/>
            <w:vAlign w:val="bottom"/>
            <w:hideMark/>
          </w:tcPr>
          <w:p w14:paraId="2821E623" w14:textId="4877032B"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8,069</w:t>
            </w:r>
          </w:p>
        </w:tc>
        <w:tc>
          <w:tcPr>
            <w:tcW w:w="1637" w:type="dxa"/>
            <w:tcBorders>
              <w:top w:val="nil"/>
              <w:left w:val="nil"/>
              <w:bottom w:val="single" w:sz="4" w:space="0" w:color="auto"/>
              <w:right w:val="single" w:sz="4" w:space="0" w:color="auto"/>
            </w:tcBorders>
            <w:shd w:val="clear" w:color="auto" w:fill="auto"/>
            <w:noWrap/>
            <w:vAlign w:val="bottom"/>
            <w:hideMark/>
          </w:tcPr>
          <w:p w14:paraId="3786A009" w14:textId="4D6CA03B"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10,535</w:t>
            </w:r>
          </w:p>
        </w:tc>
      </w:tr>
      <w:tr w:rsidR="001C5993" w:rsidRPr="001C5993" w14:paraId="780DE4BE" w14:textId="77777777" w:rsidTr="002211B4">
        <w:trPr>
          <w:trHeight w:val="337"/>
        </w:trPr>
        <w:tc>
          <w:tcPr>
            <w:tcW w:w="2504" w:type="dxa"/>
            <w:tcBorders>
              <w:top w:val="nil"/>
              <w:left w:val="single" w:sz="4" w:space="0" w:color="auto"/>
              <w:bottom w:val="single" w:sz="4" w:space="0" w:color="auto"/>
              <w:right w:val="single" w:sz="4" w:space="0" w:color="auto"/>
            </w:tcBorders>
            <w:shd w:val="clear" w:color="auto" w:fill="auto"/>
            <w:noWrap/>
            <w:vAlign w:val="bottom"/>
            <w:hideMark/>
          </w:tcPr>
          <w:p w14:paraId="67882BE0" w14:textId="77777777" w:rsidR="002211B4" w:rsidRPr="001C5993" w:rsidRDefault="002211B4" w:rsidP="002211B4">
            <w:pPr>
              <w:spacing w:before="60" w:after="0" w:line="264" w:lineRule="auto"/>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Vốn chủ sở hữu</w:t>
            </w:r>
          </w:p>
        </w:tc>
        <w:tc>
          <w:tcPr>
            <w:tcW w:w="1636" w:type="dxa"/>
            <w:tcBorders>
              <w:top w:val="nil"/>
              <w:left w:val="nil"/>
              <w:bottom w:val="single" w:sz="4" w:space="0" w:color="auto"/>
              <w:right w:val="single" w:sz="4" w:space="0" w:color="auto"/>
            </w:tcBorders>
            <w:shd w:val="clear" w:color="auto" w:fill="auto"/>
            <w:noWrap/>
            <w:vAlign w:val="bottom"/>
            <w:hideMark/>
          </w:tcPr>
          <w:p w14:paraId="6E082ABB" w14:textId="05048EFD"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1,935</w:t>
            </w:r>
          </w:p>
        </w:tc>
        <w:tc>
          <w:tcPr>
            <w:tcW w:w="1636" w:type="dxa"/>
            <w:tcBorders>
              <w:top w:val="nil"/>
              <w:left w:val="nil"/>
              <w:bottom w:val="single" w:sz="4" w:space="0" w:color="auto"/>
              <w:right w:val="single" w:sz="4" w:space="0" w:color="auto"/>
            </w:tcBorders>
            <w:shd w:val="clear" w:color="auto" w:fill="auto"/>
            <w:noWrap/>
            <w:vAlign w:val="bottom"/>
            <w:hideMark/>
          </w:tcPr>
          <w:p w14:paraId="4A5C3986" w14:textId="3D53445D"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1,948</w:t>
            </w:r>
          </w:p>
        </w:tc>
        <w:tc>
          <w:tcPr>
            <w:tcW w:w="1636" w:type="dxa"/>
            <w:tcBorders>
              <w:top w:val="nil"/>
              <w:left w:val="nil"/>
              <w:bottom w:val="single" w:sz="4" w:space="0" w:color="auto"/>
              <w:right w:val="single" w:sz="4" w:space="0" w:color="auto"/>
            </w:tcBorders>
            <w:shd w:val="clear" w:color="auto" w:fill="auto"/>
            <w:noWrap/>
            <w:vAlign w:val="bottom"/>
            <w:hideMark/>
          </w:tcPr>
          <w:p w14:paraId="4F17B19B" w14:textId="497DF278"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2,516</w:t>
            </w:r>
          </w:p>
        </w:tc>
        <w:tc>
          <w:tcPr>
            <w:tcW w:w="1637" w:type="dxa"/>
            <w:tcBorders>
              <w:top w:val="nil"/>
              <w:left w:val="nil"/>
              <w:bottom w:val="single" w:sz="4" w:space="0" w:color="auto"/>
              <w:right w:val="single" w:sz="4" w:space="0" w:color="auto"/>
            </w:tcBorders>
            <w:shd w:val="clear" w:color="auto" w:fill="auto"/>
            <w:noWrap/>
            <w:vAlign w:val="bottom"/>
            <w:hideMark/>
          </w:tcPr>
          <w:p w14:paraId="5B055EAC" w14:textId="46CC5360"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2,983</w:t>
            </w:r>
          </w:p>
        </w:tc>
      </w:tr>
      <w:tr w:rsidR="001C5993" w:rsidRPr="001C5993" w14:paraId="06D3258C" w14:textId="77777777" w:rsidTr="00F3085E">
        <w:trPr>
          <w:trHeight w:val="337"/>
        </w:trPr>
        <w:tc>
          <w:tcPr>
            <w:tcW w:w="2504" w:type="dxa"/>
            <w:tcBorders>
              <w:top w:val="nil"/>
              <w:left w:val="single" w:sz="4" w:space="0" w:color="auto"/>
              <w:bottom w:val="single" w:sz="4" w:space="0" w:color="auto"/>
              <w:right w:val="single" w:sz="4" w:space="0" w:color="auto"/>
            </w:tcBorders>
            <w:shd w:val="clear" w:color="auto" w:fill="auto"/>
            <w:noWrap/>
            <w:vAlign w:val="bottom"/>
          </w:tcPr>
          <w:p w14:paraId="480D3B51" w14:textId="77777777" w:rsidR="00C856BC" w:rsidRPr="001C5993" w:rsidRDefault="00C856BC" w:rsidP="0084535B">
            <w:pPr>
              <w:spacing w:before="60" w:after="0" w:line="264" w:lineRule="auto"/>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Chỉ số tài chính</w:t>
            </w:r>
          </w:p>
        </w:tc>
        <w:tc>
          <w:tcPr>
            <w:tcW w:w="6545" w:type="dxa"/>
            <w:gridSpan w:val="4"/>
            <w:tcBorders>
              <w:top w:val="nil"/>
              <w:left w:val="nil"/>
              <w:bottom w:val="single" w:sz="4" w:space="0" w:color="auto"/>
              <w:right w:val="single" w:sz="4" w:space="0" w:color="auto"/>
            </w:tcBorders>
            <w:shd w:val="clear" w:color="auto" w:fill="auto"/>
            <w:noWrap/>
            <w:vAlign w:val="center"/>
          </w:tcPr>
          <w:p w14:paraId="3EA97AA7" w14:textId="77777777" w:rsidR="00C856BC" w:rsidRPr="001C5993" w:rsidRDefault="00C856BC" w:rsidP="0084535B">
            <w:pPr>
              <w:spacing w:before="60" w:after="0" w:line="264" w:lineRule="auto"/>
              <w:jc w:val="center"/>
              <w:rPr>
                <w:rFonts w:ascii="Times New Roman" w:eastAsia="Times New Roman" w:hAnsi="Times New Roman" w:cs="Times New Roman"/>
                <w:b/>
                <w:bCs/>
                <w:color w:val="000000" w:themeColor="text1"/>
              </w:rPr>
            </w:pPr>
          </w:p>
        </w:tc>
      </w:tr>
      <w:tr w:rsidR="001C5993" w:rsidRPr="001C5993" w14:paraId="18067C0A" w14:textId="77777777" w:rsidTr="00502839">
        <w:trPr>
          <w:trHeight w:val="337"/>
        </w:trPr>
        <w:tc>
          <w:tcPr>
            <w:tcW w:w="2504" w:type="dxa"/>
            <w:tcBorders>
              <w:top w:val="nil"/>
              <w:left w:val="single" w:sz="4" w:space="0" w:color="auto"/>
              <w:bottom w:val="single" w:sz="4" w:space="0" w:color="auto"/>
              <w:right w:val="single" w:sz="4" w:space="0" w:color="auto"/>
            </w:tcBorders>
            <w:shd w:val="clear" w:color="auto" w:fill="auto"/>
            <w:noWrap/>
            <w:vAlign w:val="bottom"/>
            <w:hideMark/>
          </w:tcPr>
          <w:p w14:paraId="6D542D45" w14:textId="77777777" w:rsidR="002211B4" w:rsidRPr="001C5993" w:rsidRDefault="002211B4" w:rsidP="002211B4">
            <w:pPr>
              <w:spacing w:before="60" w:after="0" w:line="264" w:lineRule="auto"/>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ROEA</w:t>
            </w:r>
          </w:p>
        </w:tc>
        <w:tc>
          <w:tcPr>
            <w:tcW w:w="1636" w:type="dxa"/>
            <w:tcBorders>
              <w:top w:val="nil"/>
              <w:left w:val="nil"/>
              <w:bottom w:val="single" w:sz="4" w:space="0" w:color="auto"/>
              <w:right w:val="single" w:sz="4" w:space="0" w:color="auto"/>
            </w:tcBorders>
            <w:shd w:val="clear" w:color="auto" w:fill="auto"/>
            <w:noWrap/>
            <w:vAlign w:val="center"/>
            <w:hideMark/>
          </w:tcPr>
          <w:p w14:paraId="51599FDC" w14:textId="42AC753C"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10</w:t>
            </w:r>
          </w:p>
        </w:tc>
        <w:tc>
          <w:tcPr>
            <w:tcW w:w="1636" w:type="dxa"/>
            <w:tcBorders>
              <w:top w:val="nil"/>
              <w:left w:val="nil"/>
              <w:bottom w:val="single" w:sz="4" w:space="0" w:color="auto"/>
              <w:right w:val="single" w:sz="4" w:space="0" w:color="auto"/>
            </w:tcBorders>
            <w:shd w:val="clear" w:color="auto" w:fill="auto"/>
            <w:noWrap/>
            <w:vAlign w:val="center"/>
            <w:hideMark/>
          </w:tcPr>
          <w:p w14:paraId="7656950F" w14:textId="25FF6FD7"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10</w:t>
            </w:r>
          </w:p>
        </w:tc>
        <w:tc>
          <w:tcPr>
            <w:tcW w:w="1636" w:type="dxa"/>
            <w:tcBorders>
              <w:top w:val="nil"/>
              <w:left w:val="nil"/>
              <w:bottom w:val="single" w:sz="4" w:space="0" w:color="auto"/>
              <w:right w:val="single" w:sz="4" w:space="0" w:color="auto"/>
            </w:tcBorders>
            <w:shd w:val="clear" w:color="auto" w:fill="auto"/>
            <w:noWrap/>
            <w:vAlign w:val="center"/>
            <w:hideMark/>
          </w:tcPr>
          <w:p w14:paraId="72A14DFE" w14:textId="62F4137C"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20</w:t>
            </w:r>
          </w:p>
        </w:tc>
        <w:tc>
          <w:tcPr>
            <w:tcW w:w="1637" w:type="dxa"/>
            <w:tcBorders>
              <w:top w:val="nil"/>
              <w:left w:val="nil"/>
              <w:bottom w:val="single" w:sz="4" w:space="0" w:color="auto"/>
              <w:right w:val="single" w:sz="4" w:space="0" w:color="auto"/>
            </w:tcBorders>
            <w:shd w:val="clear" w:color="auto" w:fill="auto"/>
            <w:noWrap/>
            <w:vAlign w:val="bottom"/>
            <w:hideMark/>
          </w:tcPr>
          <w:p w14:paraId="3139F8B1" w14:textId="71D2E29E"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13.59</w:t>
            </w:r>
          </w:p>
        </w:tc>
      </w:tr>
      <w:tr w:rsidR="001C5993" w:rsidRPr="001C5993" w14:paraId="60FD0BCB" w14:textId="77777777" w:rsidTr="00502839">
        <w:trPr>
          <w:trHeight w:val="337"/>
        </w:trPr>
        <w:tc>
          <w:tcPr>
            <w:tcW w:w="2504" w:type="dxa"/>
            <w:tcBorders>
              <w:top w:val="nil"/>
              <w:left w:val="single" w:sz="4" w:space="0" w:color="auto"/>
              <w:bottom w:val="single" w:sz="4" w:space="0" w:color="auto"/>
              <w:right w:val="single" w:sz="4" w:space="0" w:color="auto"/>
            </w:tcBorders>
            <w:shd w:val="clear" w:color="auto" w:fill="auto"/>
            <w:noWrap/>
            <w:vAlign w:val="bottom"/>
            <w:hideMark/>
          </w:tcPr>
          <w:p w14:paraId="4BD14806" w14:textId="77777777" w:rsidR="002211B4" w:rsidRPr="001C5993" w:rsidRDefault="002211B4" w:rsidP="002211B4">
            <w:pPr>
              <w:spacing w:before="60" w:after="0" w:line="264" w:lineRule="auto"/>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ROAA</w:t>
            </w:r>
          </w:p>
        </w:tc>
        <w:tc>
          <w:tcPr>
            <w:tcW w:w="1636" w:type="dxa"/>
            <w:tcBorders>
              <w:top w:val="nil"/>
              <w:left w:val="nil"/>
              <w:bottom w:val="single" w:sz="4" w:space="0" w:color="auto"/>
              <w:right w:val="single" w:sz="4" w:space="0" w:color="auto"/>
            </w:tcBorders>
            <w:shd w:val="clear" w:color="auto" w:fill="auto"/>
            <w:noWrap/>
            <w:vAlign w:val="center"/>
            <w:hideMark/>
          </w:tcPr>
          <w:p w14:paraId="36C4F774" w14:textId="3526C2A2"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4</w:t>
            </w:r>
          </w:p>
        </w:tc>
        <w:tc>
          <w:tcPr>
            <w:tcW w:w="1636" w:type="dxa"/>
            <w:tcBorders>
              <w:top w:val="nil"/>
              <w:left w:val="nil"/>
              <w:bottom w:val="single" w:sz="4" w:space="0" w:color="auto"/>
              <w:right w:val="single" w:sz="4" w:space="0" w:color="auto"/>
            </w:tcBorders>
            <w:shd w:val="clear" w:color="auto" w:fill="auto"/>
            <w:noWrap/>
            <w:vAlign w:val="center"/>
            <w:hideMark/>
          </w:tcPr>
          <w:p w14:paraId="3D55FED9" w14:textId="0D74735C"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3</w:t>
            </w:r>
          </w:p>
        </w:tc>
        <w:tc>
          <w:tcPr>
            <w:tcW w:w="1636" w:type="dxa"/>
            <w:tcBorders>
              <w:top w:val="nil"/>
              <w:left w:val="nil"/>
              <w:bottom w:val="single" w:sz="4" w:space="0" w:color="auto"/>
              <w:right w:val="single" w:sz="4" w:space="0" w:color="auto"/>
            </w:tcBorders>
            <w:shd w:val="clear" w:color="auto" w:fill="auto"/>
            <w:noWrap/>
            <w:vAlign w:val="center"/>
            <w:hideMark/>
          </w:tcPr>
          <w:p w14:paraId="271E9F47" w14:textId="3AA2482C"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7</w:t>
            </w:r>
          </w:p>
        </w:tc>
        <w:tc>
          <w:tcPr>
            <w:tcW w:w="1637" w:type="dxa"/>
            <w:tcBorders>
              <w:top w:val="nil"/>
              <w:left w:val="nil"/>
              <w:bottom w:val="single" w:sz="4" w:space="0" w:color="auto"/>
              <w:right w:val="single" w:sz="4" w:space="0" w:color="auto"/>
            </w:tcBorders>
            <w:shd w:val="clear" w:color="auto" w:fill="auto"/>
            <w:noWrap/>
            <w:vAlign w:val="bottom"/>
            <w:hideMark/>
          </w:tcPr>
          <w:p w14:paraId="5CD13577" w14:textId="25427D30"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4.02</w:t>
            </w:r>
          </w:p>
        </w:tc>
      </w:tr>
      <w:tr w:rsidR="001C5993" w:rsidRPr="001C5993" w14:paraId="1CECD328" w14:textId="77777777" w:rsidTr="002211B4">
        <w:trPr>
          <w:trHeight w:val="574"/>
        </w:trPr>
        <w:tc>
          <w:tcPr>
            <w:tcW w:w="2504" w:type="dxa"/>
            <w:tcBorders>
              <w:top w:val="nil"/>
              <w:left w:val="single" w:sz="4" w:space="0" w:color="auto"/>
              <w:bottom w:val="single" w:sz="4" w:space="0" w:color="auto"/>
              <w:right w:val="single" w:sz="4" w:space="0" w:color="auto"/>
            </w:tcBorders>
            <w:shd w:val="clear" w:color="000000" w:fill="FFFFFF"/>
            <w:vAlign w:val="center"/>
            <w:hideMark/>
          </w:tcPr>
          <w:p w14:paraId="66BA445C" w14:textId="77777777" w:rsidR="002211B4" w:rsidRPr="001C5993" w:rsidRDefault="002211B4" w:rsidP="002211B4">
            <w:pPr>
              <w:spacing w:before="60" w:after="0" w:line="264" w:lineRule="auto"/>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EPS của 4 quý gần nhất</w:t>
            </w:r>
          </w:p>
        </w:tc>
        <w:tc>
          <w:tcPr>
            <w:tcW w:w="1636" w:type="dxa"/>
            <w:tcBorders>
              <w:top w:val="nil"/>
              <w:left w:val="nil"/>
              <w:bottom w:val="single" w:sz="4" w:space="0" w:color="auto"/>
              <w:right w:val="single" w:sz="4" w:space="0" w:color="auto"/>
            </w:tcBorders>
            <w:shd w:val="clear" w:color="000000" w:fill="FFFFFF"/>
            <w:vAlign w:val="bottom"/>
            <w:hideMark/>
          </w:tcPr>
          <w:p w14:paraId="12DD608E" w14:textId="0D1EC1BC"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1,238</w:t>
            </w:r>
          </w:p>
        </w:tc>
        <w:tc>
          <w:tcPr>
            <w:tcW w:w="1636" w:type="dxa"/>
            <w:tcBorders>
              <w:top w:val="nil"/>
              <w:left w:val="nil"/>
              <w:bottom w:val="single" w:sz="4" w:space="0" w:color="auto"/>
              <w:right w:val="single" w:sz="4" w:space="0" w:color="auto"/>
            </w:tcBorders>
            <w:shd w:val="clear" w:color="000000" w:fill="FFFFFF"/>
            <w:vAlign w:val="bottom"/>
            <w:hideMark/>
          </w:tcPr>
          <w:p w14:paraId="51CDE6F9" w14:textId="0C74F5F3"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1,232</w:t>
            </w:r>
          </w:p>
        </w:tc>
        <w:tc>
          <w:tcPr>
            <w:tcW w:w="1636" w:type="dxa"/>
            <w:tcBorders>
              <w:top w:val="nil"/>
              <w:left w:val="nil"/>
              <w:bottom w:val="single" w:sz="4" w:space="0" w:color="auto"/>
              <w:right w:val="single" w:sz="4" w:space="0" w:color="auto"/>
            </w:tcBorders>
            <w:shd w:val="clear" w:color="000000" w:fill="FFFFFF"/>
            <w:vAlign w:val="bottom"/>
          </w:tcPr>
          <w:p w14:paraId="6322D1EB" w14:textId="1335A36F"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2,257</w:t>
            </w:r>
          </w:p>
        </w:tc>
        <w:tc>
          <w:tcPr>
            <w:tcW w:w="1637" w:type="dxa"/>
            <w:tcBorders>
              <w:top w:val="nil"/>
              <w:left w:val="nil"/>
              <w:bottom w:val="single" w:sz="4" w:space="0" w:color="auto"/>
              <w:right w:val="single" w:sz="4" w:space="0" w:color="auto"/>
            </w:tcBorders>
            <w:shd w:val="clear" w:color="000000" w:fill="FFFFFF"/>
            <w:vAlign w:val="bottom"/>
          </w:tcPr>
          <w:p w14:paraId="49DC210D" w14:textId="0BCBA48E" w:rsidR="002211B4" w:rsidRPr="001C5993" w:rsidRDefault="002211B4" w:rsidP="002211B4">
            <w:pPr>
              <w:spacing w:before="60" w:after="0" w:line="264"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1,780</w:t>
            </w:r>
          </w:p>
        </w:tc>
      </w:tr>
    </w:tbl>
    <w:p w14:paraId="446D5A6E" w14:textId="77777777" w:rsidR="00945A86" w:rsidRPr="001C5993" w:rsidRDefault="00945A86" w:rsidP="0084535B">
      <w:pPr>
        <w:spacing w:before="60" w:after="0" w:line="264" w:lineRule="auto"/>
        <w:jc w:val="center"/>
        <w:rPr>
          <w:rFonts w:ascii="Times New Roman" w:hAnsi="Times New Roman" w:cs="Times New Roman"/>
          <w:i/>
          <w:color w:val="000000" w:themeColor="text1"/>
        </w:rPr>
      </w:pPr>
      <w:r w:rsidRPr="001C5993">
        <w:rPr>
          <w:rFonts w:ascii="Times New Roman" w:hAnsi="Times New Roman" w:cs="Times New Roman"/>
          <w:i/>
          <w:color w:val="000000" w:themeColor="text1"/>
        </w:rPr>
        <w:t>Bảng 1: Các chỉ tiêu tổng hợp của VND qua các năm</w:t>
      </w:r>
    </w:p>
    <w:p w14:paraId="172A7CD7" w14:textId="14289906" w:rsidR="00163908" w:rsidRPr="001C5993" w:rsidRDefault="00163908" w:rsidP="0084535B">
      <w:pPr>
        <w:spacing w:before="60" w:after="0" w:line="264" w:lineRule="auto"/>
        <w:rPr>
          <w:rFonts w:ascii="Times New Roman" w:hAnsi="Times New Roman" w:cs="Times New Roman"/>
          <w:b/>
          <w:color w:val="000000" w:themeColor="text1"/>
        </w:rPr>
      </w:pPr>
      <w:r w:rsidRPr="001C5993">
        <w:rPr>
          <w:rFonts w:ascii="Times New Roman" w:hAnsi="Times New Roman" w:cs="Times New Roman"/>
          <w:b/>
          <w:color w:val="000000" w:themeColor="text1"/>
        </w:rPr>
        <w:t xml:space="preserve">Cơ cấu </w:t>
      </w:r>
      <w:r w:rsidR="00E31691" w:rsidRPr="001C5993">
        <w:rPr>
          <w:rFonts w:ascii="Times New Roman" w:hAnsi="Times New Roman" w:cs="Times New Roman"/>
          <w:b/>
          <w:color w:val="000000" w:themeColor="text1"/>
        </w:rPr>
        <w:t xml:space="preserve">lợi nhuận gộp của </w:t>
      </w:r>
      <w:r w:rsidRPr="001C5993">
        <w:rPr>
          <w:rFonts w:ascii="Times New Roman" w:hAnsi="Times New Roman" w:cs="Times New Roman"/>
          <w:b/>
          <w:color w:val="000000" w:themeColor="text1"/>
        </w:rPr>
        <w:t>bộ ph</w:t>
      </w:r>
      <w:r w:rsidR="00752FFE" w:rsidRPr="001C5993">
        <w:rPr>
          <w:rFonts w:ascii="Times New Roman" w:hAnsi="Times New Roman" w:cs="Times New Roman"/>
          <w:b/>
          <w:color w:val="000000" w:themeColor="text1"/>
        </w:rPr>
        <w:t>ận</w:t>
      </w:r>
      <w:r w:rsidRPr="001C5993">
        <w:rPr>
          <w:rFonts w:ascii="Times New Roman" w:hAnsi="Times New Roman" w:cs="Times New Roman"/>
          <w:b/>
          <w:color w:val="000000" w:themeColor="text1"/>
        </w:rPr>
        <w:t xml:space="preserve"> năm 201</w:t>
      </w:r>
      <w:r w:rsidR="004A0FC9" w:rsidRPr="001C5993">
        <w:rPr>
          <w:rFonts w:ascii="Times New Roman" w:hAnsi="Times New Roman" w:cs="Times New Roman"/>
          <w:b/>
          <w:color w:val="000000" w:themeColor="text1"/>
        </w:rPr>
        <w:t>8</w:t>
      </w:r>
      <w:r w:rsidRPr="001C5993">
        <w:rPr>
          <w:rFonts w:ascii="Times New Roman" w:hAnsi="Times New Roman" w:cs="Times New Roman"/>
          <w:b/>
          <w:color w:val="000000" w:themeColor="text1"/>
        </w:rPr>
        <w:t>:</w:t>
      </w:r>
    </w:p>
    <w:tbl>
      <w:tblPr>
        <w:tblW w:w="495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7"/>
        <w:gridCol w:w="615"/>
        <w:gridCol w:w="724"/>
        <w:gridCol w:w="1455"/>
        <w:gridCol w:w="898"/>
        <w:gridCol w:w="991"/>
        <w:gridCol w:w="836"/>
        <w:gridCol w:w="1145"/>
      </w:tblGrid>
      <w:tr w:rsidR="001C5993" w:rsidRPr="001C5993" w14:paraId="46984816" w14:textId="77777777" w:rsidTr="002E674A">
        <w:trPr>
          <w:trHeight w:val="300"/>
        </w:trPr>
        <w:tc>
          <w:tcPr>
            <w:tcW w:w="1335" w:type="pct"/>
            <w:vMerge w:val="restart"/>
            <w:shd w:val="clear" w:color="auto" w:fill="FABF8F" w:themeFill="accent6" w:themeFillTint="99"/>
            <w:noWrap/>
            <w:vAlign w:val="center"/>
            <w:hideMark/>
          </w:tcPr>
          <w:p w14:paraId="65903BE9" w14:textId="77777777" w:rsidR="00F62D98" w:rsidRPr="001C5993" w:rsidRDefault="00F62D98" w:rsidP="00E65A8C">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b/>
                <w:bCs/>
                <w:color w:val="000000" w:themeColor="text1"/>
              </w:rPr>
              <w:t>Chỉ tiêu</w:t>
            </w:r>
          </w:p>
        </w:tc>
        <w:tc>
          <w:tcPr>
            <w:tcW w:w="338" w:type="pct"/>
            <w:vMerge w:val="restart"/>
            <w:shd w:val="clear" w:color="auto" w:fill="FABF8F" w:themeFill="accent6" w:themeFillTint="99"/>
            <w:noWrap/>
            <w:vAlign w:val="bottom"/>
            <w:hideMark/>
          </w:tcPr>
          <w:p w14:paraId="69574CE2" w14:textId="77777777" w:rsidR="00F62D98" w:rsidRPr="001C5993" w:rsidRDefault="00F62D98" w:rsidP="00F62D98">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Năm 2015</w:t>
            </w:r>
          </w:p>
          <w:p w14:paraId="552D61E0" w14:textId="39F33F39" w:rsidR="00F62D98" w:rsidRPr="001C5993" w:rsidRDefault="00F62D98" w:rsidP="00F62D98">
            <w:pPr>
              <w:spacing w:after="0" w:line="240" w:lineRule="auto"/>
              <w:jc w:val="center"/>
              <w:rPr>
                <w:rFonts w:ascii="Times New Roman" w:eastAsia="Times New Roman" w:hAnsi="Times New Roman" w:cs="Times New Roman"/>
                <w:b/>
                <w:color w:val="000000" w:themeColor="text1"/>
              </w:rPr>
            </w:pPr>
          </w:p>
        </w:tc>
        <w:tc>
          <w:tcPr>
            <w:tcW w:w="1198" w:type="pct"/>
            <w:gridSpan w:val="2"/>
            <w:shd w:val="clear" w:color="auto" w:fill="FABF8F" w:themeFill="accent6" w:themeFillTint="99"/>
            <w:noWrap/>
            <w:vAlign w:val="bottom"/>
            <w:hideMark/>
          </w:tcPr>
          <w:p w14:paraId="4910BE2B" w14:textId="77777777" w:rsidR="00F62D98" w:rsidRPr="001C5993" w:rsidRDefault="00F62D98" w:rsidP="00F62D98">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Năm 2016</w:t>
            </w:r>
          </w:p>
        </w:tc>
        <w:tc>
          <w:tcPr>
            <w:tcW w:w="1039" w:type="pct"/>
            <w:gridSpan w:val="2"/>
            <w:shd w:val="clear" w:color="auto" w:fill="FABF8F" w:themeFill="accent6" w:themeFillTint="99"/>
            <w:noWrap/>
            <w:vAlign w:val="bottom"/>
            <w:hideMark/>
          </w:tcPr>
          <w:p w14:paraId="225C51C3" w14:textId="77777777" w:rsidR="00F62D98" w:rsidRPr="001C5993" w:rsidRDefault="00F62D98" w:rsidP="00F62D98">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Năm 2017*</w:t>
            </w:r>
          </w:p>
        </w:tc>
        <w:tc>
          <w:tcPr>
            <w:tcW w:w="1090" w:type="pct"/>
            <w:gridSpan w:val="2"/>
            <w:shd w:val="clear" w:color="auto" w:fill="FABF8F" w:themeFill="accent6" w:themeFillTint="99"/>
            <w:noWrap/>
            <w:vAlign w:val="bottom"/>
            <w:hideMark/>
          </w:tcPr>
          <w:p w14:paraId="4AB96D05" w14:textId="77777777" w:rsidR="00F62D98" w:rsidRPr="001C5993" w:rsidRDefault="00F62D98" w:rsidP="00F62D98">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Năm 2018</w:t>
            </w:r>
          </w:p>
        </w:tc>
      </w:tr>
      <w:tr w:rsidR="001C5993" w:rsidRPr="001C5993" w14:paraId="2DECF7EA" w14:textId="77777777" w:rsidTr="002E674A">
        <w:trPr>
          <w:trHeight w:val="300"/>
        </w:trPr>
        <w:tc>
          <w:tcPr>
            <w:tcW w:w="1335" w:type="pct"/>
            <w:vMerge/>
            <w:shd w:val="clear" w:color="auto" w:fill="FABF8F" w:themeFill="accent6" w:themeFillTint="99"/>
            <w:vAlign w:val="center"/>
            <w:hideMark/>
          </w:tcPr>
          <w:p w14:paraId="5B1243B7" w14:textId="77777777" w:rsidR="00F62D98" w:rsidRPr="001C5993" w:rsidRDefault="00F62D98" w:rsidP="00E65A8C">
            <w:pPr>
              <w:spacing w:after="0" w:line="240" w:lineRule="auto"/>
              <w:jc w:val="both"/>
              <w:rPr>
                <w:rFonts w:ascii="Times New Roman" w:eastAsia="Times New Roman" w:hAnsi="Times New Roman" w:cs="Times New Roman"/>
                <w:b/>
                <w:bCs/>
                <w:color w:val="000000" w:themeColor="text1"/>
              </w:rPr>
            </w:pPr>
          </w:p>
        </w:tc>
        <w:tc>
          <w:tcPr>
            <w:tcW w:w="338" w:type="pct"/>
            <w:vMerge/>
            <w:shd w:val="clear" w:color="auto" w:fill="FABF8F" w:themeFill="accent6" w:themeFillTint="99"/>
            <w:noWrap/>
            <w:vAlign w:val="bottom"/>
            <w:hideMark/>
          </w:tcPr>
          <w:p w14:paraId="66BCA782" w14:textId="77777777" w:rsidR="00F62D98" w:rsidRPr="001C5993" w:rsidRDefault="00F62D98" w:rsidP="00F62D98">
            <w:pPr>
              <w:spacing w:after="0" w:line="240" w:lineRule="auto"/>
              <w:jc w:val="center"/>
              <w:rPr>
                <w:rFonts w:ascii="Times New Roman" w:eastAsia="Times New Roman" w:hAnsi="Times New Roman" w:cs="Times New Roman"/>
                <w:color w:val="000000" w:themeColor="text1"/>
              </w:rPr>
            </w:pPr>
          </w:p>
        </w:tc>
        <w:tc>
          <w:tcPr>
            <w:tcW w:w="398" w:type="pct"/>
            <w:shd w:val="clear" w:color="auto" w:fill="FABF8F" w:themeFill="accent6" w:themeFillTint="99"/>
            <w:vAlign w:val="center"/>
            <w:hideMark/>
          </w:tcPr>
          <w:p w14:paraId="6E7312DF" w14:textId="77777777" w:rsidR="00F62D98" w:rsidRPr="001C5993" w:rsidRDefault="00F62D98" w:rsidP="00F62D98">
            <w:pPr>
              <w:spacing w:after="0" w:line="240"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Giá trị</w:t>
            </w:r>
          </w:p>
        </w:tc>
        <w:tc>
          <w:tcPr>
            <w:tcW w:w="800" w:type="pct"/>
            <w:shd w:val="clear" w:color="auto" w:fill="FABF8F" w:themeFill="accent6" w:themeFillTint="99"/>
            <w:vAlign w:val="center"/>
            <w:hideMark/>
          </w:tcPr>
          <w:p w14:paraId="4FA7DD63" w14:textId="77777777" w:rsidR="00F62D98" w:rsidRPr="001C5993" w:rsidRDefault="00F62D98" w:rsidP="00F62D98">
            <w:pPr>
              <w:spacing w:after="0" w:line="240"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Tăng/giảm</w:t>
            </w:r>
          </w:p>
        </w:tc>
        <w:tc>
          <w:tcPr>
            <w:tcW w:w="494" w:type="pct"/>
            <w:shd w:val="clear" w:color="auto" w:fill="FABF8F" w:themeFill="accent6" w:themeFillTint="99"/>
            <w:vAlign w:val="center"/>
            <w:hideMark/>
          </w:tcPr>
          <w:p w14:paraId="75E4F9DA" w14:textId="77777777" w:rsidR="00F62D98" w:rsidRPr="001C5993" w:rsidRDefault="00F62D98" w:rsidP="00F62D98">
            <w:pPr>
              <w:spacing w:after="0" w:line="240"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Giá trị</w:t>
            </w:r>
          </w:p>
        </w:tc>
        <w:tc>
          <w:tcPr>
            <w:tcW w:w="544" w:type="pct"/>
            <w:shd w:val="clear" w:color="auto" w:fill="FABF8F" w:themeFill="accent6" w:themeFillTint="99"/>
            <w:vAlign w:val="center"/>
            <w:hideMark/>
          </w:tcPr>
          <w:p w14:paraId="6C5206B2" w14:textId="77777777" w:rsidR="00F62D98" w:rsidRPr="001C5993" w:rsidRDefault="00F62D98" w:rsidP="00F62D98">
            <w:pPr>
              <w:spacing w:after="0" w:line="240"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Tăng/giảm</w:t>
            </w:r>
          </w:p>
        </w:tc>
        <w:tc>
          <w:tcPr>
            <w:tcW w:w="460" w:type="pct"/>
            <w:shd w:val="clear" w:color="auto" w:fill="FABF8F" w:themeFill="accent6" w:themeFillTint="99"/>
            <w:vAlign w:val="center"/>
            <w:hideMark/>
          </w:tcPr>
          <w:p w14:paraId="21D7C716" w14:textId="77777777" w:rsidR="00F62D98" w:rsidRPr="001C5993" w:rsidRDefault="00F62D98" w:rsidP="00F62D98">
            <w:pPr>
              <w:spacing w:after="0" w:line="240"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Giá trị</w:t>
            </w:r>
          </w:p>
        </w:tc>
        <w:tc>
          <w:tcPr>
            <w:tcW w:w="630" w:type="pct"/>
            <w:shd w:val="clear" w:color="auto" w:fill="FABF8F" w:themeFill="accent6" w:themeFillTint="99"/>
            <w:vAlign w:val="center"/>
            <w:hideMark/>
          </w:tcPr>
          <w:p w14:paraId="6DFD6A89" w14:textId="77777777" w:rsidR="00F62D98" w:rsidRPr="001C5993" w:rsidRDefault="00F62D98" w:rsidP="00F62D98">
            <w:pPr>
              <w:spacing w:after="0" w:line="240"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Tăng/giảm</w:t>
            </w:r>
          </w:p>
        </w:tc>
      </w:tr>
      <w:tr w:rsidR="001C5993" w:rsidRPr="001C5993" w14:paraId="1732D8BE" w14:textId="77777777" w:rsidTr="002E674A">
        <w:trPr>
          <w:trHeight w:val="300"/>
        </w:trPr>
        <w:tc>
          <w:tcPr>
            <w:tcW w:w="1335" w:type="pct"/>
            <w:shd w:val="clear" w:color="auto" w:fill="auto"/>
            <w:vAlign w:val="center"/>
            <w:hideMark/>
          </w:tcPr>
          <w:p w14:paraId="76EFA671" w14:textId="77777777" w:rsidR="00F62D98" w:rsidRPr="001C5993" w:rsidRDefault="00F62D98" w:rsidP="00E65A8C">
            <w:pPr>
              <w:spacing w:after="0" w:line="240" w:lineRule="auto"/>
              <w:jc w:val="both"/>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DT hoạt động dịch vụ chứng khoán </w:t>
            </w:r>
          </w:p>
        </w:tc>
        <w:tc>
          <w:tcPr>
            <w:tcW w:w="338" w:type="pct"/>
            <w:shd w:val="clear" w:color="auto" w:fill="auto"/>
            <w:noWrap/>
            <w:vAlign w:val="bottom"/>
            <w:hideMark/>
          </w:tcPr>
          <w:p w14:paraId="62D14678"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176</w:t>
            </w:r>
          </w:p>
        </w:tc>
        <w:tc>
          <w:tcPr>
            <w:tcW w:w="398" w:type="pct"/>
            <w:shd w:val="clear" w:color="auto" w:fill="auto"/>
            <w:vAlign w:val="center"/>
            <w:hideMark/>
          </w:tcPr>
          <w:p w14:paraId="11894888"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195</w:t>
            </w:r>
          </w:p>
        </w:tc>
        <w:tc>
          <w:tcPr>
            <w:tcW w:w="800" w:type="pct"/>
            <w:shd w:val="clear" w:color="auto" w:fill="auto"/>
            <w:vAlign w:val="center"/>
            <w:hideMark/>
          </w:tcPr>
          <w:p w14:paraId="5AB04233"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10,80%</w:t>
            </w:r>
          </w:p>
        </w:tc>
        <w:tc>
          <w:tcPr>
            <w:tcW w:w="494" w:type="pct"/>
            <w:shd w:val="clear" w:color="auto" w:fill="auto"/>
            <w:vAlign w:val="center"/>
            <w:hideMark/>
          </w:tcPr>
          <w:p w14:paraId="36E89298"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353</w:t>
            </w:r>
          </w:p>
        </w:tc>
        <w:tc>
          <w:tcPr>
            <w:tcW w:w="544" w:type="pct"/>
            <w:shd w:val="clear" w:color="auto" w:fill="auto"/>
            <w:vAlign w:val="center"/>
            <w:hideMark/>
          </w:tcPr>
          <w:p w14:paraId="134C928F"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81,03%</w:t>
            </w:r>
          </w:p>
        </w:tc>
        <w:tc>
          <w:tcPr>
            <w:tcW w:w="460" w:type="pct"/>
            <w:shd w:val="clear" w:color="auto" w:fill="auto"/>
            <w:vAlign w:val="center"/>
            <w:hideMark/>
          </w:tcPr>
          <w:p w14:paraId="7B9F3A68"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534</w:t>
            </w:r>
          </w:p>
        </w:tc>
        <w:tc>
          <w:tcPr>
            <w:tcW w:w="630" w:type="pct"/>
            <w:shd w:val="clear" w:color="auto" w:fill="auto"/>
            <w:vAlign w:val="center"/>
            <w:hideMark/>
          </w:tcPr>
          <w:p w14:paraId="2690AC68"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51,27%</w:t>
            </w:r>
          </w:p>
        </w:tc>
      </w:tr>
      <w:tr w:rsidR="001C5993" w:rsidRPr="001C5993" w14:paraId="12C72CAA" w14:textId="77777777" w:rsidTr="002E674A">
        <w:trPr>
          <w:trHeight w:val="300"/>
        </w:trPr>
        <w:tc>
          <w:tcPr>
            <w:tcW w:w="1335" w:type="pct"/>
            <w:shd w:val="clear" w:color="auto" w:fill="auto"/>
            <w:vAlign w:val="center"/>
            <w:hideMark/>
          </w:tcPr>
          <w:p w14:paraId="14B1A507" w14:textId="77777777" w:rsidR="00F62D98" w:rsidRPr="001C5993" w:rsidRDefault="00F62D98" w:rsidP="00E65A8C">
            <w:pPr>
              <w:spacing w:after="0" w:line="240" w:lineRule="auto"/>
              <w:jc w:val="both"/>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DT hoạt động NHĐT </w:t>
            </w:r>
          </w:p>
        </w:tc>
        <w:tc>
          <w:tcPr>
            <w:tcW w:w="338" w:type="pct"/>
            <w:shd w:val="clear" w:color="auto" w:fill="auto"/>
            <w:noWrap/>
            <w:vAlign w:val="bottom"/>
            <w:hideMark/>
          </w:tcPr>
          <w:p w14:paraId="7E14B343"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10</w:t>
            </w:r>
          </w:p>
        </w:tc>
        <w:tc>
          <w:tcPr>
            <w:tcW w:w="398" w:type="pct"/>
            <w:shd w:val="clear" w:color="auto" w:fill="auto"/>
            <w:vAlign w:val="center"/>
            <w:hideMark/>
          </w:tcPr>
          <w:p w14:paraId="7B2E1A9B"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21</w:t>
            </w:r>
          </w:p>
        </w:tc>
        <w:tc>
          <w:tcPr>
            <w:tcW w:w="800" w:type="pct"/>
            <w:shd w:val="clear" w:color="auto" w:fill="auto"/>
            <w:vAlign w:val="center"/>
            <w:hideMark/>
          </w:tcPr>
          <w:p w14:paraId="32BFA385"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110,00%</w:t>
            </w:r>
          </w:p>
        </w:tc>
        <w:tc>
          <w:tcPr>
            <w:tcW w:w="494" w:type="pct"/>
            <w:shd w:val="clear" w:color="auto" w:fill="auto"/>
            <w:vAlign w:val="center"/>
            <w:hideMark/>
          </w:tcPr>
          <w:p w14:paraId="7CF0FEDA"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30</w:t>
            </w:r>
          </w:p>
        </w:tc>
        <w:tc>
          <w:tcPr>
            <w:tcW w:w="544" w:type="pct"/>
            <w:shd w:val="clear" w:color="auto" w:fill="auto"/>
            <w:vAlign w:val="center"/>
            <w:hideMark/>
          </w:tcPr>
          <w:p w14:paraId="446DF3B8"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42,86%</w:t>
            </w:r>
          </w:p>
        </w:tc>
        <w:tc>
          <w:tcPr>
            <w:tcW w:w="460" w:type="pct"/>
            <w:shd w:val="clear" w:color="auto" w:fill="auto"/>
            <w:vAlign w:val="center"/>
            <w:hideMark/>
          </w:tcPr>
          <w:p w14:paraId="492BC3DE"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22</w:t>
            </w:r>
          </w:p>
        </w:tc>
        <w:tc>
          <w:tcPr>
            <w:tcW w:w="630" w:type="pct"/>
            <w:shd w:val="clear" w:color="auto" w:fill="auto"/>
            <w:vAlign w:val="center"/>
            <w:hideMark/>
          </w:tcPr>
          <w:p w14:paraId="2F05F650"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-26,67%</w:t>
            </w:r>
          </w:p>
        </w:tc>
      </w:tr>
      <w:tr w:rsidR="001C5993" w:rsidRPr="001C5993" w14:paraId="072EEF6D" w14:textId="77777777" w:rsidTr="002E674A">
        <w:trPr>
          <w:trHeight w:val="300"/>
        </w:trPr>
        <w:tc>
          <w:tcPr>
            <w:tcW w:w="1335" w:type="pct"/>
            <w:shd w:val="clear" w:color="auto" w:fill="auto"/>
            <w:vAlign w:val="center"/>
            <w:hideMark/>
          </w:tcPr>
          <w:p w14:paraId="7E0921D0" w14:textId="77777777" w:rsidR="00F62D98" w:rsidRPr="001C5993" w:rsidRDefault="00F62D98" w:rsidP="00E65A8C">
            <w:pPr>
              <w:spacing w:after="0" w:line="240" w:lineRule="auto"/>
              <w:jc w:val="both"/>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DT hoạt động tự doanh </w:t>
            </w:r>
          </w:p>
        </w:tc>
        <w:tc>
          <w:tcPr>
            <w:tcW w:w="338" w:type="pct"/>
            <w:shd w:val="clear" w:color="auto" w:fill="auto"/>
            <w:noWrap/>
            <w:vAlign w:val="bottom"/>
            <w:hideMark/>
          </w:tcPr>
          <w:p w14:paraId="3F632146"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82</w:t>
            </w:r>
          </w:p>
        </w:tc>
        <w:tc>
          <w:tcPr>
            <w:tcW w:w="398" w:type="pct"/>
            <w:shd w:val="clear" w:color="auto" w:fill="auto"/>
            <w:vAlign w:val="center"/>
            <w:hideMark/>
          </w:tcPr>
          <w:p w14:paraId="590045E2"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176</w:t>
            </w:r>
          </w:p>
        </w:tc>
        <w:tc>
          <w:tcPr>
            <w:tcW w:w="800" w:type="pct"/>
            <w:shd w:val="clear" w:color="auto" w:fill="auto"/>
            <w:vAlign w:val="center"/>
            <w:hideMark/>
          </w:tcPr>
          <w:p w14:paraId="7A85C591"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114,63%</w:t>
            </w:r>
          </w:p>
        </w:tc>
        <w:tc>
          <w:tcPr>
            <w:tcW w:w="494" w:type="pct"/>
            <w:shd w:val="clear" w:color="auto" w:fill="auto"/>
            <w:vAlign w:val="center"/>
            <w:hideMark/>
          </w:tcPr>
          <w:p w14:paraId="78F93D0A"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312</w:t>
            </w:r>
          </w:p>
        </w:tc>
        <w:tc>
          <w:tcPr>
            <w:tcW w:w="544" w:type="pct"/>
            <w:shd w:val="clear" w:color="auto" w:fill="auto"/>
            <w:vAlign w:val="center"/>
            <w:hideMark/>
          </w:tcPr>
          <w:p w14:paraId="0CA7A218"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77,27%</w:t>
            </w:r>
          </w:p>
        </w:tc>
        <w:tc>
          <w:tcPr>
            <w:tcW w:w="460" w:type="pct"/>
            <w:shd w:val="clear" w:color="auto" w:fill="auto"/>
            <w:vAlign w:val="center"/>
            <w:hideMark/>
          </w:tcPr>
          <w:p w14:paraId="16023722"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344</w:t>
            </w:r>
          </w:p>
        </w:tc>
        <w:tc>
          <w:tcPr>
            <w:tcW w:w="630" w:type="pct"/>
            <w:shd w:val="clear" w:color="auto" w:fill="auto"/>
            <w:vAlign w:val="center"/>
            <w:hideMark/>
          </w:tcPr>
          <w:p w14:paraId="6E09C09B"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10,26%</w:t>
            </w:r>
          </w:p>
        </w:tc>
      </w:tr>
      <w:tr w:rsidR="001C5993" w:rsidRPr="001C5993" w14:paraId="46446E48" w14:textId="77777777" w:rsidTr="002E674A">
        <w:trPr>
          <w:trHeight w:val="300"/>
        </w:trPr>
        <w:tc>
          <w:tcPr>
            <w:tcW w:w="1335" w:type="pct"/>
            <w:shd w:val="clear" w:color="auto" w:fill="auto"/>
            <w:vAlign w:val="center"/>
            <w:hideMark/>
          </w:tcPr>
          <w:p w14:paraId="2EA3D87A" w14:textId="77777777" w:rsidR="00F62D98" w:rsidRPr="001C5993" w:rsidRDefault="00F62D98" w:rsidP="00E65A8C">
            <w:pPr>
              <w:spacing w:after="0" w:line="240" w:lineRule="auto"/>
              <w:jc w:val="both"/>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DT hoạt động kinh doanh nguồn vốn </w:t>
            </w:r>
          </w:p>
        </w:tc>
        <w:tc>
          <w:tcPr>
            <w:tcW w:w="338" w:type="pct"/>
            <w:shd w:val="clear" w:color="auto" w:fill="auto"/>
            <w:noWrap/>
            <w:vAlign w:val="bottom"/>
            <w:hideMark/>
          </w:tcPr>
          <w:p w14:paraId="5EB49CC8"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266</w:t>
            </w:r>
          </w:p>
        </w:tc>
        <w:tc>
          <w:tcPr>
            <w:tcW w:w="398" w:type="pct"/>
            <w:shd w:val="clear" w:color="auto" w:fill="auto"/>
            <w:vAlign w:val="center"/>
            <w:hideMark/>
          </w:tcPr>
          <w:p w14:paraId="51EF840A"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355</w:t>
            </w:r>
          </w:p>
        </w:tc>
        <w:tc>
          <w:tcPr>
            <w:tcW w:w="800" w:type="pct"/>
            <w:shd w:val="clear" w:color="auto" w:fill="auto"/>
            <w:vAlign w:val="center"/>
            <w:hideMark/>
          </w:tcPr>
          <w:p w14:paraId="6CA9563C"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33,46%</w:t>
            </w:r>
          </w:p>
        </w:tc>
        <w:tc>
          <w:tcPr>
            <w:tcW w:w="494" w:type="pct"/>
            <w:shd w:val="clear" w:color="auto" w:fill="auto"/>
            <w:vAlign w:val="center"/>
            <w:hideMark/>
          </w:tcPr>
          <w:p w14:paraId="375E3D80"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529</w:t>
            </w:r>
          </w:p>
        </w:tc>
        <w:tc>
          <w:tcPr>
            <w:tcW w:w="544" w:type="pct"/>
            <w:shd w:val="clear" w:color="auto" w:fill="auto"/>
            <w:vAlign w:val="center"/>
            <w:hideMark/>
          </w:tcPr>
          <w:p w14:paraId="356A1B29"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49,01%</w:t>
            </w:r>
          </w:p>
        </w:tc>
        <w:tc>
          <w:tcPr>
            <w:tcW w:w="460" w:type="pct"/>
            <w:shd w:val="clear" w:color="auto" w:fill="auto"/>
            <w:vAlign w:val="center"/>
            <w:hideMark/>
          </w:tcPr>
          <w:p w14:paraId="42A0CE8F"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734</w:t>
            </w:r>
          </w:p>
        </w:tc>
        <w:tc>
          <w:tcPr>
            <w:tcW w:w="630" w:type="pct"/>
            <w:shd w:val="clear" w:color="auto" w:fill="auto"/>
            <w:vAlign w:val="center"/>
            <w:hideMark/>
          </w:tcPr>
          <w:p w14:paraId="2E21158C" w14:textId="77777777" w:rsidR="00F62D98" w:rsidRPr="001C5993" w:rsidRDefault="00F62D98" w:rsidP="002E674A">
            <w:pPr>
              <w:spacing w:after="0" w:line="240" w:lineRule="auto"/>
              <w:jc w:val="center"/>
              <w:rPr>
                <w:rFonts w:ascii="Times New Roman" w:eastAsia="Times New Roman" w:hAnsi="Times New Roman" w:cs="Times New Roman"/>
                <w:color w:val="000000" w:themeColor="text1"/>
              </w:rPr>
            </w:pPr>
            <w:r w:rsidRPr="001C5993">
              <w:rPr>
                <w:rFonts w:ascii="Times New Roman" w:eastAsia="Times New Roman" w:hAnsi="Times New Roman" w:cs="Times New Roman"/>
                <w:color w:val="000000" w:themeColor="text1"/>
              </w:rPr>
              <w:t>38,75%</w:t>
            </w:r>
          </w:p>
        </w:tc>
      </w:tr>
      <w:tr w:rsidR="001C5993" w:rsidRPr="001C5993" w14:paraId="755F0202" w14:textId="77777777" w:rsidTr="002E674A">
        <w:trPr>
          <w:trHeight w:val="300"/>
        </w:trPr>
        <w:tc>
          <w:tcPr>
            <w:tcW w:w="1335" w:type="pct"/>
            <w:shd w:val="clear" w:color="auto" w:fill="auto"/>
            <w:vAlign w:val="center"/>
            <w:hideMark/>
          </w:tcPr>
          <w:p w14:paraId="4A479281" w14:textId="77777777" w:rsidR="00F62D98" w:rsidRPr="001C5993" w:rsidRDefault="00F62D98" w:rsidP="00E65A8C">
            <w:pPr>
              <w:spacing w:after="0" w:line="240" w:lineRule="auto"/>
              <w:jc w:val="both"/>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Tổng</w:t>
            </w:r>
          </w:p>
        </w:tc>
        <w:tc>
          <w:tcPr>
            <w:tcW w:w="338" w:type="pct"/>
            <w:shd w:val="clear" w:color="auto" w:fill="auto"/>
            <w:noWrap/>
            <w:vAlign w:val="bottom"/>
            <w:hideMark/>
          </w:tcPr>
          <w:p w14:paraId="36CC2A3E" w14:textId="77777777" w:rsidR="00F62D98" w:rsidRPr="001C5993" w:rsidRDefault="00F62D98" w:rsidP="002E674A">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534</w:t>
            </w:r>
          </w:p>
        </w:tc>
        <w:tc>
          <w:tcPr>
            <w:tcW w:w="398" w:type="pct"/>
            <w:shd w:val="clear" w:color="auto" w:fill="auto"/>
            <w:vAlign w:val="center"/>
            <w:hideMark/>
          </w:tcPr>
          <w:p w14:paraId="517D5C06" w14:textId="77777777" w:rsidR="00F62D98" w:rsidRPr="001C5993" w:rsidRDefault="00F62D98" w:rsidP="002E674A">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747</w:t>
            </w:r>
          </w:p>
        </w:tc>
        <w:tc>
          <w:tcPr>
            <w:tcW w:w="800" w:type="pct"/>
            <w:shd w:val="clear" w:color="auto" w:fill="auto"/>
            <w:vAlign w:val="center"/>
            <w:hideMark/>
          </w:tcPr>
          <w:p w14:paraId="5140214E" w14:textId="77777777" w:rsidR="00F62D98" w:rsidRPr="001C5993" w:rsidRDefault="00F62D98" w:rsidP="002E674A">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39,89%</w:t>
            </w:r>
          </w:p>
        </w:tc>
        <w:tc>
          <w:tcPr>
            <w:tcW w:w="494" w:type="pct"/>
            <w:shd w:val="clear" w:color="auto" w:fill="auto"/>
            <w:vAlign w:val="center"/>
            <w:hideMark/>
          </w:tcPr>
          <w:p w14:paraId="244A7FFC" w14:textId="77777777" w:rsidR="00F62D98" w:rsidRPr="001C5993" w:rsidRDefault="00F62D98" w:rsidP="002E674A">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1224</w:t>
            </w:r>
          </w:p>
        </w:tc>
        <w:tc>
          <w:tcPr>
            <w:tcW w:w="544" w:type="pct"/>
            <w:shd w:val="clear" w:color="auto" w:fill="auto"/>
            <w:vAlign w:val="center"/>
            <w:hideMark/>
          </w:tcPr>
          <w:p w14:paraId="591CA76F" w14:textId="77777777" w:rsidR="00F62D98" w:rsidRPr="001C5993" w:rsidRDefault="00F62D98" w:rsidP="002E674A">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63,86%</w:t>
            </w:r>
          </w:p>
        </w:tc>
        <w:tc>
          <w:tcPr>
            <w:tcW w:w="460" w:type="pct"/>
            <w:shd w:val="clear" w:color="auto" w:fill="auto"/>
            <w:vAlign w:val="center"/>
            <w:hideMark/>
          </w:tcPr>
          <w:p w14:paraId="3B5032B4" w14:textId="77777777" w:rsidR="00F62D98" w:rsidRPr="001C5993" w:rsidRDefault="00F62D98" w:rsidP="002E674A">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1634</w:t>
            </w:r>
          </w:p>
        </w:tc>
        <w:tc>
          <w:tcPr>
            <w:tcW w:w="630" w:type="pct"/>
            <w:shd w:val="clear" w:color="auto" w:fill="auto"/>
            <w:vAlign w:val="center"/>
            <w:hideMark/>
          </w:tcPr>
          <w:p w14:paraId="0EB5F404" w14:textId="77777777" w:rsidR="00F62D98" w:rsidRPr="001C5993" w:rsidRDefault="00F62D98" w:rsidP="002E674A">
            <w:pPr>
              <w:spacing w:after="0" w:line="240" w:lineRule="auto"/>
              <w:jc w:val="center"/>
              <w:rPr>
                <w:rFonts w:ascii="Times New Roman" w:eastAsia="Times New Roman" w:hAnsi="Times New Roman" w:cs="Times New Roman"/>
                <w:b/>
                <w:color w:val="000000" w:themeColor="text1"/>
              </w:rPr>
            </w:pPr>
            <w:r w:rsidRPr="001C5993">
              <w:rPr>
                <w:rFonts w:ascii="Times New Roman" w:eastAsia="Times New Roman" w:hAnsi="Times New Roman" w:cs="Times New Roman"/>
                <w:b/>
                <w:color w:val="000000" w:themeColor="text1"/>
              </w:rPr>
              <w:t>33,50%</w:t>
            </w:r>
          </w:p>
        </w:tc>
      </w:tr>
    </w:tbl>
    <w:p w14:paraId="6CA7512F" w14:textId="77777777" w:rsidR="00F62D98" w:rsidRPr="001C5993" w:rsidRDefault="00F62D98" w:rsidP="00F62D98">
      <w:pPr>
        <w:spacing w:before="60" w:after="60" w:line="312" w:lineRule="auto"/>
        <w:jc w:val="right"/>
        <w:rPr>
          <w:rFonts w:ascii="Times New Roman" w:hAnsi="Times New Roman" w:cs="Times New Roman"/>
          <w:i/>
          <w:color w:val="000000" w:themeColor="text1"/>
        </w:rPr>
      </w:pPr>
      <w:r w:rsidRPr="001C5993">
        <w:rPr>
          <w:rFonts w:ascii="Times New Roman" w:hAnsi="Times New Roman" w:cs="Times New Roman"/>
          <w:i/>
          <w:color w:val="000000" w:themeColor="text1"/>
        </w:rPr>
        <w:t>2017*: Số liệu điều chỉnh lại</w:t>
      </w:r>
    </w:p>
    <w:p w14:paraId="69E26684" w14:textId="77777777" w:rsidR="00F62D98" w:rsidRPr="001C5993" w:rsidRDefault="00F62D98" w:rsidP="00F62D98">
      <w:pPr>
        <w:spacing w:before="60" w:after="60" w:line="312" w:lineRule="auto"/>
        <w:jc w:val="both"/>
        <w:rPr>
          <w:rFonts w:ascii="Times New Roman" w:hAnsi="Times New Roman" w:cs="Times New Roman"/>
          <w:color w:val="000000" w:themeColor="text1"/>
        </w:rPr>
      </w:pPr>
      <w:r w:rsidRPr="001C5993">
        <w:rPr>
          <w:rFonts w:ascii="Times New Roman" w:hAnsi="Times New Roman" w:cs="Times New Roman"/>
          <w:color w:val="000000" w:themeColor="text1"/>
        </w:rPr>
        <w:t>Doanh thu dịch vụ chứng khoán năm 2018 đạt 534 tỷ đồng, tăng trưởng 51,27% so với năm 2017. Doanh thu kinh doanh nguồn vốn và tự doanh lần lượt đạt 734 tỷ đồng và 344 tỷ đồng, tăng trưởng 38,75% và 10,26% so với năm 2017. Riêng hoạt động ngân hàng đầu tư giảm 26,67%, đạt 22 tỷ đồng.</w:t>
      </w:r>
    </w:p>
    <w:p w14:paraId="1DD63E50" w14:textId="77777777" w:rsidR="00C84BBE" w:rsidRPr="001C5993" w:rsidRDefault="006519DE" w:rsidP="0084535B">
      <w:pPr>
        <w:spacing w:before="60" w:after="0" w:line="264" w:lineRule="auto"/>
        <w:ind w:right="57"/>
        <w:jc w:val="both"/>
        <w:rPr>
          <w:rFonts w:ascii="Times New Roman" w:hAnsi="Times New Roman" w:cs="Times New Roman"/>
          <w:b/>
          <w:color w:val="000000" w:themeColor="text1"/>
        </w:rPr>
      </w:pPr>
      <w:r w:rsidRPr="001C5993">
        <w:rPr>
          <w:rFonts w:ascii="Times New Roman" w:hAnsi="Times New Roman" w:cs="Times New Roman"/>
          <w:b/>
          <w:color w:val="000000" w:themeColor="text1"/>
        </w:rPr>
        <w:t>Hoạt động kinh doanh cốt lõi</w:t>
      </w:r>
      <w:r w:rsidR="00C07F29" w:rsidRPr="001C5993">
        <w:rPr>
          <w:rFonts w:ascii="Times New Roman" w:hAnsi="Times New Roman" w:cs="Times New Roman"/>
          <w:color w:val="000000" w:themeColor="text1"/>
        </w:rPr>
        <w:t xml:space="preserve"> </w:t>
      </w:r>
      <w:r w:rsidR="00C07F29" w:rsidRPr="001C5993">
        <w:rPr>
          <w:rFonts w:ascii="Times New Roman" w:hAnsi="Times New Roman" w:cs="Times New Roman"/>
          <w:b/>
          <w:color w:val="000000" w:themeColor="text1"/>
        </w:rPr>
        <w:t>tại VNDIRECT:</w:t>
      </w:r>
    </w:p>
    <w:p w14:paraId="3F215436" w14:textId="4DBC4D7C" w:rsidR="006519DE" w:rsidRPr="001C5993" w:rsidRDefault="008274BD" w:rsidP="0084535B">
      <w:pPr>
        <w:spacing w:before="60" w:after="0" w:line="264" w:lineRule="auto"/>
        <w:ind w:right="57"/>
        <w:jc w:val="both"/>
        <w:rPr>
          <w:rFonts w:ascii="Times New Roman" w:hAnsi="Times New Roman" w:cs="Times New Roman"/>
          <w:b/>
          <w:i/>
          <w:color w:val="000000" w:themeColor="text1"/>
        </w:rPr>
      </w:pPr>
      <w:r w:rsidRPr="001C5993">
        <w:rPr>
          <w:rFonts w:ascii="Times New Roman" w:hAnsi="Times New Roman" w:cs="Times New Roman"/>
          <w:b/>
          <w:i/>
          <w:color w:val="000000" w:themeColor="text1"/>
        </w:rPr>
        <w:t xml:space="preserve">Dịch vụ </w:t>
      </w:r>
      <w:r w:rsidR="00B4404F" w:rsidRPr="001C5993">
        <w:rPr>
          <w:rFonts w:ascii="Times New Roman" w:hAnsi="Times New Roman" w:cs="Times New Roman"/>
          <w:b/>
          <w:i/>
          <w:color w:val="000000" w:themeColor="text1"/>
        </w:rPr>
        <w:t xml:space="preserve">giao dịch </w:t>
      </w:r>
      <w:r w:rsidRPr="001C5993">
        <w:rPr>
          <w:rFonts w:ascii="Times New Roman" w:hAnsi="Times New Roman" w:cs="Times New Roman"/>
          <w:b/>
          <w:i/>
          <w:color w:val="000000" w:themeColor="text1"/>
        </w:rPr>
        <w:t>chứ</w:t>
      </w:r>
      <w:r w:rsidR="00B4404F" w:rsidRPr="001C5993">
        <w:rPr>
          <w:rFonts w:ascii="Times New Roman" w:hAnsi="Times New Roman" w:cs="Times New Roman"/>
          <w:b/>
          <w:i/>
          <w:color w:val="000000" w:themeColor="text1"/>
        </w:rPr>
        <w:t>ng khoán</w:t>
      </w:r>
    </w:p>
    <w:p w14:paraId="0A392CAB" w14:textId="77777777" w:rsidR="00C07F29" w:rsidRPr="001C5993" w:rsidRDefault="00E026FF" w:rsidP="0084535B">
      <w:pPr>
        <w:spacing w:before="60" w:after="0" w:line="264" w:lineRule="auto"/>
        <w:ind w:right="57"/>
        <w:jc w:val="both"/>
        <w:rPr>
          <w:rFonts w:ascii="Times New Roman" w:hAnsi="Times New Roman" w:cs="Times New Roman"/>
          <w:color w:val="000000" w:themeColor="text1"/>
        </w:rPr>
      </w:pPr>
      <w:r w:rsidRPr="001C5993">
        <w:rPr>
          <w:rFonts w:ascii="Times New Roman" w:hAnsi="Times New Roman" w:cs="Times New Roman"/>
          <w:color w:val="000000" w:themeColor="text1"/>
        </w:rPr>
        <w:t>Đánh giá theo chỉ tiêu tài khoản:</w:t>
      </w:r>
    </w:p>
    <w:p w14:paraId="4E73615B" w14:textId="7FEE475B" w:rsidR="00E026FF" w:rsidRPr="001C5993" w:rsidRDefault="00E026FF" w:rsidP="0084535B">
      <w:pPr>
        <w:pStyle w:val="ListParagraph"/>
        <w:numPr>
          <w:ilvl w:val="0"/>
          <w:numId w:val="25"/>
        </w:numPr>
        <w:spacing w:before="60" w:after="0" w:line="264" w:lineRule="auto"/>
        <w:ind w:right="57"/>
        <w:jc w:val="both"/>
        <w:rPr>
          <w:rFonts w:ascii="Times New Roman" w:hAnsi="Times New Roman" w:cs="Times New Roman"/>
          <w:color w:val="000000" w:themeColor="text1"/>
        </w:rPr>
      </w:pPr>
      <w:r w:rsidRPr="001C5993">
        <w:rPr>
          <w:rFonts w:ascii="Times New Roman" w:hAnsi="Times New Roman" w:cs="Times New Roman"/>
          <w:color w:val="000000" w:themeColor="text1"/>
        </w:rPr>
        <w:t>Số lượng tài khoản quản lý tăng mạnh qua các năm:</w:t>
      </w:r>
      <w:r w:rsidR="00B4404F" w:rsidRPr="001C5993">
        <w:rPr>
          <w:rFonts w:ascii="Times New Roman" w:hAnsi="Times New Roman" w:cs="Times New Roman"/>
          <w:color w:val="000000" w:themeColor="text1"/>
        </w:rPr>
        <w:t xml:space="preserve"> Tốc độ mở tài khoản &gt;30%/năm. </w:t>
      </w:r>
    </w:p>
    <w:p w14:paraId="3B6AB39B" w14:textId="54BB3522" w:rsidR="00E026FF" w:rsidRPr="001C5993" w:rsidRDefault="00711C17" w:rsidP="0084535B">
      <w:pPr>
        <w:pStyle w:val="ListParagraph"/>
        <w:spacing w:before="60" w:after="0" w:line="264" w:lineRule="auto"/>
        <w:ind w:right="57"/>
        <w:jc w:val="both"/>
        <w:rPr>
          <w:rFonts w:ascii="Times New Roman" w:hAnsi="Times New Roman" w:cs="Times New Roman"/>
          <w:noProof/>
          <w:color w:val="000000" w:themeColor="text1"/>
        </w:rPr>
      </w:pPr>
      <w:r w:rsidRPr="001C5993">
        <w:rPr>
          <w:rFonts w:ascii="Times New Roman" w:hAnsi="Times New Roman" w:cs="Times New Roman"/>
          <w:noProof/>
          <w:color w:val="000000" w:themeColor="text1"/>
          <w:highlight w:val="darkCyan"/>
        </w:rPr>
        <w:drawing>
          <wp:inline distT="0" distB="0" distL="0" distR="0" wp14:anchorId="2CF23CA2" wp14:editId="117BA33A">
            <wp:extent cx="5318150" cy="1835785"/>
            <wp:effectExtent l="0" t="0" r="1587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790918" w14:textId="26E9F93F" w:rsidR="001B676E" w:rsidRPr="001C5993" w:rsidRDefault="001B676E" w:rsidP="0084535B">
      <w:pPr>
        <w:pStyle w:val="ListParagraph"/>
        <w:spacing w:before="60" w:after="0" w:line="264" w:lineRule="auto"/>
        <w:ind w:right="57"/>
        <w:jc w:val="center"/>
        <w:rPr>
          <w:rFonts w:ascii="Times New Roman" w:hAnsi="Times New Roman" w:cs="Times New Roman"/>
          <w:i/>
          <w:color w:val="000000" w:themeColor="text1"/>
        </w:rPr>
      </w:pPr>
      <w:r w:rsidRPr="001C5993">
        <w:rPr>
          <w:rFonts w:ascii="Times New Roman" w:hAnsi="Times New Roman" w:cs="Times New Roman"/>
          <w:i/>
          <w:color w:val="000000" w:themeColor="text1"/>
        </w:rPr>
        <w:t>Biểu đồ 2: Số lượ</w:t>
      </w:r>
      <w:r w:rsidR="00B4404F" w:rsidRPr="001C5993">
        <w:rPr>
          <w:rFonts w:ascii="Times New Roman" w:hAnsi="Times New Roman" w:cs="Times New Roman"/>
          <w:i/>
          <w:color w:val="000000" w:themeColor="text1"/>
        </w:rPr>
        <w:t>ng tài khoản quản lý</w:t>
      </w:r>
    </w:p>
    <w:p w14:paraId="5C28EB36" w14:textId="77777777" w:rsidR="00E87082" w:rsidRPr="001C5993" w:rsidRDefault="00E87082" w:rsidP="00B4404F">
      <w:pPr>
        <w:spacing w:before="60" w:after="0" w:line="264" w:lineRule="auto"/>
        <w:ind w:right="57"/>
        <w:jc w:val="both"/>
        <w:rPr>
          <w:rFonts w:ascii="Times New Roman" w:hAnsi="Times New Roman" w:cs="Times New Roman"/>
          <w:color w:val="000000" w:themeColor="text1"/>
        </w:rPr>
      </w:pPr>
    </w:p>
    <w:p w14:paraId="17C1BE18" w14:textId="77777777" w:rsidR="002E674A" w:rsidRPr="001C5993" w:rsidRDefault="002E674A" w:rsidP="00B4404F">
      <w:pPr>
        <w:spacing w:before="60" w:after="0" w:line="264" w:lineRule="auto"/>
        <w:ind w:right="57"/>
        <w:jc w:val="both"/>
        <w:rPr>
          <w:rFonts w:ascii="Times New Roman" w:hAnsi="Times New Roman" w:cs="Times New Roman"/>
          <w:color w:val="000000" w:themeColor="text1"/>
        </w:rPr>
      </w:pPr>
    </w:p>
    <w:p w14:paraId="28D45CD2" w14:textId="77777777" w:rsidR="00E87082" w:rsidRPr="001C5993" w:rsidRDefault="00E87082" w:rsidP="00B4404F">
      <w:pPr>
        <w:spacing w:before="60" w:after="0" w:line="264" w:lineRule="auto"/>
        <w:ind w:right="57"/>
        <w:jc w:val="both"/>
        <w:rPr>
          <w:rFonts w:ascii="Times New Roman" w:hAnsi="Times New Roman" w:cs="Times New Roman"/>
          <w:color w:val="000000" w:themeColor="text1"/>
        </w:rPr>
      </w:pPr>
    </w:p>
    <w:p w14:paraId="75F9B4D6" w14:textId="77777777" w:rsidR="00E87082" w:rsidRPr="001C5993" w:rsidRDefault="00E87082" w:rsidP="00B4404F">
      <w:pPr>
        <w:spacing w:before="60" w:after="0" w:line="264" w:lineRule="auto"/>
        <w:ind w:right="57"/>
        <w:jc w:val="both"/>
        <w:rPr>
          <w:rFonts w:ascii="Times New Roman" w:hAnsi="Times New Roman" w:cs="Times New Roman"/>
          <w:color w:val="000000" w:themeColor="text1"/>
        </w:rPr>
      </w:pPr>
    </w:p>
    <w:p w14:paraId="079B59B3" w14:textId="77777777" w:rsidR="00E87082" w:rsidRPr="001C5993" w:rsidRDefault="00E87082" w:rsidP="00B4404F">
      <w:pPr>
        <w:spacing w:before="60" w:after="0" w:line="264" w:lineRule="auto"/>
        <w:ind w:right="57"/>
        <w:jc w:val="both"/>
        <w:rPr>
          <w:rFonts w:ascii="Times New Roman" w:hAnsi="Times New Roman" w:cs="Times New Roman"/>
          <w:color w:val="000000" w:themeColor="text1"/>
        </w:rPr>
      </w:pPr>
    </w:p>
    <w:p w14:paraId="6DCCE77D" w14:textId="77777777" w:rsidR="00E87082" w:rsidRPr="001C5993" w:rsidRDefault="00E87082" w:rsidP="00B4404F">
      <w:pPr>
        <w:spacing w:before="60" w:after="0" w:line="264" w:lineRule="auto"/>
        <w:ind w:right="57"/>
        <w:jc w:val="both"/>
        <w:rPr>
          <w:rFonts w:ascii="Times New Roman" w:hAnsi="Times New Roman" w:cs="Times New Roman"/>
          <w:color w:val="000000" w:themeColor="text1"/>
        </w:rPr>
      </w:pPr>
    </w:p>
    <w:p w14:paraId="44EEC2F2" w14:textId="7A9035B9" w:rsidR="00B4404F" w:rsidRPr="001C5993" w:rsidRDefault="00B4404F" w:rsidP="00B4404F">
      <w:pPr>
        <w:spacing w:before="60" w:after="0" w:line="264" w:lineRule="auto"/>
        <w:ind w:right="57"/>
        <w:jc w:val="both"/>
        <w:rPr>
          <w:rFonts w:ascii="Times New Roman" w:hAnsi="Times New Roman" w:cs="Times New Roman"/>
          <w:color w:val="000000" w:themeColor="text1"/>
        </w:rPr>
      </w:pPr>
      <w:r w:rsidRPr="001C5993">
        <w:rPr>
          <w:rFonts w:ascii="Times New Roman" w:hAnsi="Times New Roman" w:cs="Times New Roman"/>
          <w:color w:val="000000" w:themeColor="text1"/>
        </w:rPr>
        <w:t>Đánh giá theo chỉ tiêu tài sản quản lý:</w:t>
      </w:r>
    </w:p>
    <w:p w14:paraId="4BF57A3E" w14:textId="56E8193B" w:rsidR="00B4404F" w:rsidRPr="001C5993" w:rsidRDefault="002C5D3D" w:rsidP="00C33A0C">
      <w:pPr>
        <w:pStyle w:val="ListParagraph"/>
        <w:numPr>
          <w:ilvl w:val="0"/>
          <w:numId w:val="25"/>
        </w:numPr>
        <w:spacing w:before="60" w:after="0" w:line="264" w:lineRule="auto"/>
        <w:ind w:right="57"/>
        <w:jc w:val="both"/>
        <w:rPr>
          <w:rFonts w:ascii="Times New Roman" w:hAnsi="Times New Roman" w:cs="Times New Roman"/>
          <w:color w:val="000000" w:themeColor="text1"/>
        </w:rPr>
      </w:pPr>
      <w:r w:rsidRPr="001C5993">
        <w:rPr>
          <w:rFonts w:ascii="Times New Roman" w:hAnsi="Times New Roman" w:cs="Times New Roman"/>
          <w:color w:val="000000" w:themeColor="text1"/>
        </w:rPr>
        <w:t>Tổng tài sản của khách hàng tăng trưởng tốt qua các năm</w:t>
      </w:r>
    </w:p>
    <w:p w14:paraId="4643273B" w14:textId="36761576" w:rsidR="00CA39C2" w:rsidRPr="001C5993" w:rsidRDefault="00CA39C2" w:rsidP="00CA39C2">
      <w:pPr>
        <w:spacing w:before="60" w:after="0" w:line="264" w:lineRule="auto"/>
        <w:ind w:left="3240" w:right="57" w:firstLine="360"/>
        <w:rPr>
          <w:rFonts w:ascii="Times New Roman" w:hAnsi="Times New Roman" w:cs="Times New Roman"/>
          <w:color w:val="000000" w:themeColor="text1"/>
        </w:rPr>
      </w:pPr>
      <w:r w:rsidRPr="001C5993">
        <w:rPr>
          <w:rFonts w:ascii="Times New Roman" w:hAnsi="Times New Roman" w:cs="Times New Roman"/>
          <w:i/>
          <w:color w:val="000000" w:themeColor="text1"/>
        </w:rPr>
        <w:t xml:space="preserve">Biểu đồ 3: Tài khoản quản lý </w:t>
      </w:r>
    </w:p>
    <w:p w14:paraId="433AAB58" w14:textId="7EA664A0" w:rsidR="000F3D3B" w:rsidRPr="001C5993" w:rsidRDefault="00E87082" w:rsidP="002E674A">
      <w:pPr>
        <w:spacing w:before="60" w:after="0" w:line="264" w:lineRule="auto"/>
        <w:ind w:right="57"/>
        <w:jc w:val="both"/>
        <w:rPr>
          <w:rFonts w:ascii="Times New Roman" w:hAnsi="Times New Roman" w:cs="Times New Roman"/>
          <w:color w:val="000000" w:themeColor="text1"/>
        </w:rPr>
      </w:pPr>
      <w:r w:rsidRPr="001C5993">
        <w:rPr>
          <w:noProof/>
          <w:color w:val="000000" w:themeColor="text1"/>
          <w:highlight w:val="darkCyan"/>
        </w:rPr>
        <w:drawing>
          <wp:anchor distT="0" distB="0" distL="114300" distR="114300" simplePos="0" relativeHeight="251675648" behindDoc="1" locked="0" layoutInCell="1" allowOverlap="1" wp14:anchorId="6BBE981D" wp14:editId="05179F10">
            <wp:simplePos x="0" y="0"/>
            <wp:positionH relativeFrom="column">
              <wp:posOffset>457200</wp:posOffset>
            </wp:positionH>
            <wp:positionV relativeFrom="page">
              <wp:posOffset>1155802</wp:posOffset>
            </wp:positionV>
            <wp:extent cx="5318125" cy="1835785"/>
            <wp:effectExtent l="0" t="0" r="15875" b="1206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0F3D3B" w:rsidRPr="001C5993">
        <w:rPr>
          <w:rFonts w:ascii="Times New Roman" w:hAnsi="Times New Roman" w:cs="Times New Roman"/>
          <w:color w:val="000000" w:themeColor="text1"/>
        </w:rPr>
        <w:t>Đánh giá theo chỉ tiêu phí giao dịch:</w:t>
      </w:r>
    </w:p>
    <w:p w14:paraId="3CCC218A" w14:textId="11BFF00C" w:rsidR="000F3D3B" w:rsidRPr="001C5993" w:rsidRDefault="000F3D3B" w:rsidP="000F3D3B">
      <w:pPr>
        <w:pStyle w:val="ListParagraph"/>
        <w:numPr>
          <w:ilvl w:val="0"/>
          <w:numId w:val="25"/>
        </w:numPr>
        <w:spacing w:before="60" w:after="0" w:line="264" w:lineRule="auto"/>
        <w:ind w:right="57"/>
        <w:jc w:val="both"/>
        <w:rPr>
          <w:rFonts w:ascii="Times New Roman" w:hAnsi="Times New Roman" w:cs="Times New Roman"/>
          <w:color w:val="000000" w:themeColor="text1"/>
        </w:rPr>
      </w:pPr>
      <w:r w:rsidRPr="001C5993">
        <w:rPr>
          <w:rFonts w:ascii="Times New Roman" w:hAnsi="Times New Roman" w:cs="Times New Roman"/>
          <w:color w:val="000000" w:themeColor="text1"/>
        </w:rPr>
        <w:t>Phí giao dịch năm 2018 của VND tăng trưởng 54% so với năm 2017</w:t>
      </w:r>
    </w:p>
    <w:p w14:paraId="77435CB5" w14:textId="4A6CDAB1" w:rsidR="00B4404F" w:rsidRPr="001C5993" w:rsidRDefault="000F3D3B" w:rsidP="00B4404F">
      <w:pPr>
        <w:pStyle w:val="ListParagraph"/>
        <w:spacing w:before="60" w:after="0" w:line="264" w:lineRule="auto"/>
        <w:ind w:right="57"/>
        <w:jc w:val="both"/>
        <w:rPr>
          <w:rFonts w:ascii="Times New Roman" w:hAnsi="Times New Roman" w:cs="Times New Roman"/>
          <w:color w:val="000000" w:themeColor="text1"/>
        </w:rPr>
      </w:pPr>
      <w:r w:rsidRPr="001C5993">
        <w:rPr>
          <w:rFonts w:ascii="Times New Roman" w:hAnsi="Times New Roman" w:cs="Times New Roman"/>
          <w:noProof/>
          <w:color w:val="000000" w:themeColor="text1"/>
        </w:rPr>
        <w:drawing>
          <wp:inline distT="0" distB="0" distL="0" distR="0" wp14:anchorId="4D0E930A" wp14:editId="4448F79B">
            <wp:extent cx="5376545" cy="1960473"/>
            <wp:effectExtent l="0" t="0" r="14605" b="19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7485CD" w14:textId="17DD9F7B" w:rsidR="00B4404F" w:rsidRPr="001C5993" w:rsidRDefault="001B676E" w:rsidP="000F3D3B">
      <w:pPr>
        <w:pStyle w:val="ListParagraph"/>
        <w:spacing w:before="60" w:after="0" w:line="264" w:lineRule="auto"/>
        <w:ind w:right="57"/>
        <w:jc w:val="center"/>
        <w:rPr>
          <w:rFonts w:ascii="Times New Roman" w:hAnsi="Times New Roman" w:cs="Times New Roman"/>
          <w:color w:val="000000" w:themeColor="text1"/>
        </w:rPr>
      </w:pPr>
      <w:r w:rsidRPr="001C5993">
        <w:rPr>
          <w:rFonts w:ascii="Times New Roman" w:hAnsi="Times New Roman" w:cs="Times New Roman"/>
          <w:i/>
          <w:color w:val="000000" w:themeColor="text1"/>
        </w:rPr>
        <w:t xml:space="preserve">Biểu đồ </w:t>
      </w:r>
      <w:r w:rsidR="00CA39C2" w:rsidRPr="001C5993">
        <w:rPr>
          <w:rFonts w:ascii="Times New Roman" w:hAnsi="Times New Roman" w:cs="Times New Roman"/>
          <w:i/>
          <w:color w:val="000000" w:themeColor="text1"/>
        </w:rPr>
        <w:t>4</w:t>
      </w:r>
      <w:r w:rsidRPr="001C5993">
        <w:rPr>
          <w:rFonts w:ascii="Times New Roman" w:hAnsi="Times New Roman" w:cs="Times New Roman"/>
          <w:i/>
          <w:color w:val="000000" w:themeColor="text1"/>
        </w:rPr>
        <w:t xml:space="preserve">: Doanh thu phí </w:t>
      </w:r>
      <w:r w:rsidR="000F3D3B" w:rsidRPr="001C5993">
        <w:rPr>
          <w:rFonts w:ascii="Times New Roman" w:hAnsi="Times New Roman" w:cs="Times New Roman"/>
          <w:i/>
          <w:color w:val="000000" w:themeColor="text1"/>
        </w:rPr>
        <w:t>giao dịch</w:t>
      </w:r>
    </w:p>
    <w:p w14:paraId="20195538" w14:textId="3F35F60E" w:rsidR="00F85054" w:rsidRPr="001C5993" w:rsidRDefault="00563201" w:rsidP="0084535B">
      <w:pPr>
        <w:spacing w:before="60" w:after="0" w:line="264" w:lineRule="auto"/>
        <w:ind w:right="57"/>
        <w:jc w:val="both"/>
        <w:rPr>
          <w:rFonts w:ascii="Times New Roman" w:hAnsi="Times New Roman" w:cs="Times New Roman"/>
          <w:color w:val="000000" w:themeColor="text1"/>
        </w:rPr>
      </w:pPr>
      <w:r w:rsidRPr="001C5993">
        <w:rPr>
          <w:rFonts w:ascii="Times New Roman" w:hAnsi="Times New Roman" w:cs="Times New Roman"/>
          <w:color w:val="000000" w:themeColor="text1"/>
        </w:rPr>
        <w:t xml:space="preserve">Hướng đến khách hàng bán lẻ của chứng khoán, VNDIRECT chọn chiến lược tiếp cận bằng công nghệ để mang lại các dịch vụ hữu ích cho nhà đầu tư và dần dần thu hút nhà đầu tư giao dịch với VNDIRECT. </w:t>
      </w:r>
      <w:r w:rsidR="006F66BA" w:rsidRPr="001C5993">
        <w:rPr>
          <w:rFonts w:ascii="Times New Roman" w:hAnsi="Times New Roman" w:cs="Times New Roman"/>
          <w:color w:val="000000" w:themeColor="text1"/>
        </w:rPr>
        <w:t>Trong năm 201</w:t>
      </w:r>
      <w:r w:rsidR="003D57FC" w:rsidRPr="001C5993">
        <w:rPr>
          <w:rFonts w:ascii="Times New Roman" w:hAnsi="Times New Roman" w:cs="Times New Roman"/>
          <w:color w:val="000000" w:themeColor="text1"/>
        </w:rPr>
        <w:t>8</w:t>
      </w:r>
      <w:r w:rsidR="006F66BA" w:rsidRPr="001C5993">
        <w:rPr>
          <w:rFonts w:ascii="Times New Roman" w:hAnsi="Times New Roman" w:cs="Times New Roman"/>
          <w:color w:val="000000" w:themeColor="text1"/>
        </w:rPr>
        <w:t xml:space="preserve"> V</w:t>
      </w:r>
      <w:r w:rsidR="008D7EFB" w:rsidRPr="001C5993">
        <w:rPr>
          <w:rFonts w:ascii="Times New Roman" w:hAnsi="Times New Roman" w:cs="Times New Roman"/>
          <w:color w:val="000000" w:themeColor="text1"/>
        </w:rPr>
        <w:t xml:space="preserve">NDIRECT đã tập trung </w:t>
      </w:r>
      <w:r w:rsidR="0082305E" w:rsidRPr="001C5993">
        <w:rPr>
          <w:rFonts w:ascii="Times New Roman" w:hAnsi="Times New Roman" w:cs="Times New Roman"/>
          <w:color w:val="000000" w:themeColor="text1"/>
        </w:rPr>
        <w:t xml:space="preserve">đẩy mạnh </w:t>
      </w:r>
      <w:r w:rsidR="008D7EFB" w:rsidRPr="001C5993">
        <w:rPr>
          <w:rFonts w:ascii="Times New Roman" w:hAnsi="Times New Roman" w:cs="Times New Roman"/>
          <w:color w:val="000000" w:themeColor="text1"/>
        </w:rPr>
        <w:t>phát triển dịch vụ</w:t>
      </w:r>
      <w:r w:rsidRPr="001C5993">
        <w:rPr>
          <w:rFonts w:ascii="Times New Roman" w:hAnsi="Times New Roman" w:cs="Times New Roman"/>
          <w:color w:val="000000" w:themeColor="text1"/>
        </w:rPr>
        <w:t xml:space="preserve"> như bảng giá </w:t>
      </w:r>
      <w:r w:rsidR="006F66BA" w:rsidRPr="001C5993">
        <w:rPr>
          <w:rFonts w:ascii="Times New Roman" w:hAnsi="Times New Roman" w:cs="Times New Roman"/>
          <w:color w:val="000000" w:themeColor="text1"/>
        </w:rPr>
        <w:t>Protrade</w:t>
      </w:r>
      <w:r w:rsidR="00C73D0D" w:rsidRPr="001C5993">
        <w:rPr>
          <w:rFonts w:ascii="Times New Roman" w:hAnsi="Times New Roman" w:cs="Times New Roman"/>
          <w:color w:val="000000" w:themeColor="text1"/>
        </w:rPr>
        <w:t>, đạt được lượng users truy cập ngày càng tăng theo thời gian</w:t>
      </w:r>
      <w:r w:rsidR="00520D71" w:rsidRPr="001C5993">
        <w:rPr>
          <w:rFonts w:ascii="Times New Roman" w:hAnsi="Times New Roman" w:cs="Times New Roman"/>
          <w:color w:val="000000" w:themeColor="text1"/>
        </w:rPr>
        <w:t>:</w:t>
      </w:r>
    </w:p>
    <w:p w14:paraId="06E6FC58" w14:textId="7C1BB890" w:rsidR="00520D71" w:rsidRPr="001C5993" w:rsidRDefault="003D57FC" w:rsidP="0084535B">
      <w:pPr>
        <w:spacing w:before="60" w:after="0" w:line="264" w:lineRule="auto"/>
        <w:ind w:right="57"/>
        <w:jc w:val="both"/>
        <w:rPr>
          <w:rFonts w:ascii="Times New Roman" w:hAnsi="Times New Roman" w:cs="Times New Roman"/>
          <w:noProof/>
          <w:color w:val="000000" w:themeColor="text1"/>
        </w:rPr>
      </w:pPr>
      <w:r w:rsidRPr="001C5993">
        <w:rPr>
          <w:rFonts w:ascii="Times New Roman" w:hAnsi="Times New Roman" w:cs="Times New Roman"/>
          <w:noProof/>
          <w:color w:val="000000" w:themeColor="text1"/>
        </w:rPr>
        <w:drawing>
          <wp:inline distT="0" distB="0" distL="0" distR="0" wp14:anchorId="4E845DD4" wp14:editId="2BB2F8EA">
            <wp:extent cx="5832475" cy="2646045"/>
            <wp:effectExtent l="0" t="0" r="15875" b="19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6F98F1" w14:textId="77777777" w:rsidR="003D57FC" w:rsidRPr="001C5993" w:rsidRDefault="003D57FC" w:rsidP="0084535B">
      <w:pPr>
        <w:spacing w:before="60" w:after="0" w:line="264" w:lineRule="auto"/>
        <w:ind w:right="57"/>
        <w:jc w:val="both"/>
        <w:rPr>
          <w:rFonts w:ascii="Times New Roman" w:hAnsi="Times New Roman" w:cs="Times New Roman"/>
          <w:color w:val="000000" w:themeColor="text1"/>
        </w:rPr>
      </w:pPr>
    </w:p>
    <w:p w14:paraId="666B7BE1" w14:textId="0CB1BD8B" w:rsidR="00A0104D" w:rsidRPr="001C5993" w:rsidRDefault="00A0104D" w:rsidP="0084535B">
      <w:pPr>
        <w:pStyle w:val="ListParagraph"/>
        <w:spacing w:before="60" w:after="0" w:line="264" w:lineRule="auto"/>
        <w:ind w:right="57"/>
        <w:jc w:val="center"/>
        <w:rPr>
          <w:rFonts w:ascii="Times New Roman" w:hAnsi="Times New Roman" w:cs="Times New Roman"/>
          <w:color w:val="000000" w:themeColor="text1"/>
        </w:rPr>
      </w:pPr>
      <w:r w:rsidRPr="001C5993">
        <w:rPr>
          <w:rFonts w:ascii="Times New Roman" w:hAnsi="Times New Roman" w:cs="Times New Roman"/>
          <w:i/>
          <w:color w:val="000000" w:themeColor="text1"/>
        </w:rPr>
        <w:t xml:space="preserve">Biểu đồ </w:t>
      </w:r>
      <w:r w:rsidR="00E106A2" w:rsidRPr="001C5993">
        <w:rPr>
          <w:rFonts w:ascii="Times New Roman" w:hAnsi="Times New Roman" w:cs="Times New Roman"/>
          <w:i/>
          <w:color w:val="000000" w:themeColor="text1"/>
        </w:rPr>
        <w:t>4</w:t>
      </w:r>
      <w:r w:rsidRPr="001C5993">
        <w:rPr>
          <w:rFonts w:ascii="Times New Roman" w:hAnsi="Times New Roman" w:cs="Times New Roman"/>
          <w:i/>
          <w:color w:val="000000" w:themeColor="text1"/>
        </w:rPr>
        <w:t>: Số lượng users truy cập bảng giá TB/ngày</w:t>
      </w:r>
    </w:p>
    <w:p w14:paraId="331674A5" w14:textId="77777777" w:rsidR="002E674A" w:rsidRPr="001C5993" w:rsidRDefault="002E674A" w:rsidP="0084535B">
      <w:pPr>
        <w:spacing w:before="60" w:after="0" w:line="264" w:lineRule="auto"/>
        <w:ind w:right="57"/>
        <w:jc w:val="both"/>
        <w:rPr>
          <w:rFonts w:ascii="Times New Roman" w:hAnsi="Times New Roman" w:cs="Times New Roman"/>
          <w:b/>
          <w:i/>
          <w:color w:val="000000" w:themeColor="text1"/>
        </w:rPr>
      </w:pPr>
    </w:p>
    <w:p w14:paraId="1B6CD02C" w14:textId="1335AB2C" w:rsidR="00803D8A" w:rsidRPr="001C5993" w:rsidRDefault="00D47087" w:rsidP="0084535B">
      <w:pPr>
        <w:spacing w:before="60" w:after="0" w:line="264" w:lineRule="auto"/>
        <w:ind w:right="57"/>
        <w:jc w:val="both"/>
        <w:rPr>
          <w:rFonts w:ascii="Times New Roman" w:hAnsi="Times New Roman" w:cs="Times New Roman"/>
          <w:b/>
          <w:i/>
          <w:color w:val="000000" w:themeColor="text1"/>
        </w:rPr>
      </w:pPr>
      <w:r w:rsidRPr="001C5993">
        <w:rPr>
          <w:rFonts w:ascii="Times New Roman" w:hAnsi="Times New Roman" w:cs="Times New Roman"/>
          <w:b/>
          <w:i/>
          <w:color w:val="000000" w:themeColor="text1"/>
        </w:rPr>
        <w:t>Dịch vụ ngân hàng đầu tư</w:t>
      </w:r>
      <w:r w:rsidR="007E03FB" w:rsidRPr="001C5993">
        <w:rPr>
          <w:rFonts w:ascii="Times New Roman" w:hAnsi="Times New Roman" w:cs="Times New Roman"/>
          <w:b/>
          <w:i/>
          <w:color w:val="000000" w:themeColor="text1"/>
        </w:rPr>
        <w:t xml:space="preserve"> </w:t>
      </w:r>
      <w:r w:rsidR="00803D8A" w:rsidRPr="001C5993">
        <w:rPr>
          <w:rFonts w:ascii="Times New Roman" w:hAnsi="Times New Roman" w:cs="Times New Roman"/>
          <w:b/>
          <w:i/>
          <w:color w:val="000000" w:themeColor="text1"/>
        </w:rPr>
        <w:t>(Tư vấn niêm yết, M&amp;A, Bảo lãnh phát hành)</w:t>
      </w:r>
    </w:p>
    <w:p w14:paraId="76343B22" w14:textId="77777777" w:rsidR="00014B28" w:rsidRPr="001C5993" w:rsidRDefault="00014B28" w:rsidP="00014B28">
      <w:pPr>
        <w:spacing w:before="60" w:after="60" w:line="312" w:lineRule="auto"/>
        <w:ind w:firstLine="540"/>
        <w:rPr>
          <w:rFonts w:ascii="Times New Roman" w:hAnsi="Times New Roman" w:cs="Times New Roman"/>
          <w:color w:val="000000" w:themeColor="text1"/>
        </w:rPr>
      </w:pPr>
      <w:r w:rsidRPr="001C5993">
        <w:rPr>
          <w:rFonts w:ascii="Times New Roman" w:hAnsi="Times New Roman" w:cs="Times New Roman"/>
          <w:color w:val="000000" w:themeColor="text1"/>
        </w:rPr>
        <w:t>Hoạt động ngân hàng đầu tư bao gồm các dịch vụ chính:</w:t>
      </w:r>
    </w:p>
    <w:p w14:paraId="4CCD7532" w14:textId="77777777" w:rsidR="00014B28" w:rsidRPr="001C5993" w:rsidRDefault="00014B28" w:rsidP="002E674A">
      <w:pPr>
        <w:pStyle w:val="ListParagraph"/>
        <w:numPr>
          <w:ilvl w:val="1"/>
          <w:numId w:val="42"/>
        </w:numPr>
        <w:spacing w:before="120" w:after="120"/>
        <w:ind w:left="990" w:hanging="450"/>
        <w:jc w:val="both"/>
        <w:rPr>
          <w:rFonts w:ascii="Times New Roman" w:hAnsi="Times New Roman" w:cs="Times New Roman"/>
          <w:i/>
          <w:color w:val="000000" w:themeColor="text1"/>
        </w:rPr>
      </w:pPr>
      <w:r w:rsidRPr="001C5993">
        <w:rPr>
          <w:rFonts w:ascii="Times New Roman" w:hAnsi="Times New Roman" w:cs="Times New Roman"/>
          <w:i/>
          <w:color w:val="000000" w:themeColor="text1"/>
        </w:rPr>
        <w:t xml:space="preserve">Thị trường vốn: </w:t>
      </w:r>
      <w:r w:rsidRPr="001C5993">
        <w:rPr>
          <w:rFonts w:ascii="Times New Roman" w:hAnsi="Times New Roman" w:cs="Times New Roman"/>
          <w:color w:val="000000" w:themeColor="text1"/>
        </w:rPr>
        <w:t>Phát hành trước khi chào bán ra công chúng; Chào bán lần đầu ra công chúng (IPO); Chào bán bổ sung.</w:t>
      </w:r>
    </w:p>
    <w:p w14:paraId="0115E419" w14:textId="77777777" w:rsidR="00014B28" w:rsidRPr="001C5993" w:rsidRDefault="00014B28" w:rsidP="002E674A">
      <w:pPr>
        <w:pStyle w:val="ListParagraph"/>
        <w:numPr>
          <w:ilvl w:val="1"/>
          <w:numId w:val="42"/>
        </w:numPr>
        <w:spacing w:before="120" w:after="120"/>
        <w:ind w:left="990" w:hanging="450"/>
        <w:jc w:val="both"/>
        <w:rPr>
          <w:rFonts w:ascii="Times New Roman" w:hAnsi="Times New Roman" w:cs="Times New Roman"/>
          <w:i/>
          <w:color w:val="000000" w:themeColor="text1"/>
        </w:rPr>
      </w:pPr>
      <w:r w:rsidRPr="001C5993">
        <w:rPr>
          <w:rFonts w:ascii="Times New Roman" w:hAnsi="Times New Roman" w:cs="Times New Roman"/>
          <w:i/>
          <w:color w:val="000000" w:themeColor="text1"/>
        </w:rPr>
        <w:t xml:space="preserve">Thị trường nợ: </w:t>
      </w:r>
      <w:r w:rsidRPr="001C5993">
        <w:rPr>
          <w:rFonts w:ascii="Times New Roman" w:hAnsi="Times New Roman" w:cs="Times New Roman"/>
          <w:color w:val="000000" w:themeColor="text1"/>
        </w:rPr>
        <w:t>Phát hành trái phiếu; Thu xếp các khoản vay và cho vay hợp vốn.</w:t>
      </w:r>
    </w:p>
    <w:p w14:paraId="3FDC39E5" w14:textId="77777777" w:rsidR="00014B28" w:rsidRPr="001C5993" w:rsidRDefault="00014B28" w:rsidP="002E674A">
      <w:pPr>
        <w:pStyle w:val="ListParagraph"/>
        <w:numPr>
          <w:ilvl w:val="1"/>
          <w:numId w:val="42"/>
        </w:numPr>
        <w:spacing w:before="120" w:after="120"/>
        <w:ind w:left="990" w:hanging="450"/>
        <w:jc w:val="both"/>
        <w:rPr>
          <w:rFonts w:ascii="Times New Roman" w:hAnsi="Times New Roman" w:cs="Times New Roman"/>
          <w:i/>
          <w:color w:val="000000" w:themeColor="text1"/>
        </w:rPr>
      </w:pPr>
      <w:r w:rsidRPr="001C5993">
        <w:rPr>
          <w:rFonts w:ascii="Times New Roman" w:hAnsi="Times New Roman" w:cs="Times New Roman"/>
          <w:i/>
          <w:color w:val="000000" w:themeColor="text1"/>
        </w:rPr>
        <w:t xml:space="preserve">Mua bán sáp nhập: </w:t>
      </w:r>
      <w:r w:rsidRPr="001C5993">
        <w:rPr>
          <w:rFonts w:ascii="Times New Roman" w:hAnsi="Times New Roman" w:cs="Times New Roman"/>
          <w:color w:val="000000" w:themeColor="text1"/>
        </w:rPr>
        <w:t>Tư vấn bên mua; Tư vấn bên bán; Phát hành riêng lẻ.</w:t>
      </w:r>
    </w:p>
    <w:p w14:paraId="7EA5E37A" w14:textId="77777777" w:rsidR="00014B28" w:rsidRPr="001C5993" w:rsidRDefault="00014B28" w:rsidP="002E674A">
      <w:pPr>
        <w:pStyle w:val="ListParagraph"/>
        <w:numPr>
          <w:ilvl w:val="1"/>
          <w:numId w:val="42"/>
        </w:numPr>
        <w:spacing w:before="120" w:after="120"/>
        <w:ind w:left="990" w:hanging="450"/>
        <w:jc w:val="both"/>
        <w:rPr>
          <w:rFonts w:ascii="Times New Roman" w:hAnsi="Times New Roman" w:cs="Times New Roman"/>
          <w:i/>
          <w:color w:val="000000" w:themeColor="text1"/>
        </w:rPr>
      </w:pPr>
      <w:r w:rsidRPr="001C5993">
        <w:rPr>
          <w:rFonts w:ascii="Times New Roman" w:hAnsi="Times New Roman" w:cs="Times New Roman"/>
          <w:i/>
          <w:color w:val="000000" w:themeColor="text1"/>
        </w:rPr>
        <w:t xml:space="preserve">Tư vấn tài chính doanh nghiệp: </w:t>
      </w:r>
      <w:r w:rsidRPr="001C5993">
        <w:rPr>
          <w:rFonts w:ascii="Times New Roman" w:hAnsi="Times New Roman" w:cs="Times New Roman"/>
          <w:color w:val="000000" w:themeColor="text1"/>
        </w:rPr>
        <w:t>Tư vấn cổ phần hóa, thoái vốn doanh nghiệp nhà nước; Tư vấn niêm yết; Tái cơ cấu; Tư vấn quản trị tài chính; …</w:t>
      </w:r>
    </w:p>
    <w:p w14:paraId="3D14AA18" w14:textId="4710AF07" w:rsidR="00014B28" w:rsidRPr="001C5993" w:rsidRDefault="00014B28" w:rsidP="002E674A">
      <w:pPr>
        <w:ind w:left="540"/>
        <w:jc w:val="both"/>
        <w:rPr>
          <w:rFonts w:ascii="Times New Roman" w:hAnsi="Times New Roman" w:cs="Times New Roman"/>
          <w:color w:val="000000" w:themeColor="text1"/>
        </w:rPr>
      </w:pPr>
      <w:r w:rsidRPr="001C5993">
        <w:rPr>
          <w:rFonts w:ascii="Times New Roman" w:hAnsi="Times New Roman" w:cs="Times New Roman"/>
          <w:color w:val="000000" w:themeColor="text1"/>
        </w:rPr>
        <w:t>Năm 2018, tính riêng sàn HNX và HOSE, có 46 doanh nghiệp niêm yết chứng khoán và thực hiện phiên giao dịch đầu tiên trong năm, tương ứng số lượng đăng ký niêm yết lần đầu 7.129.328.035 cổ phiếu, trong đó 10 doanh nghiệp - 181.950.223 cổ phiếu thuộc HNX, 36 doanh nghiệp - 6.947.377.812 cổ phiếu thuộc HOSE. Vốn điều lệ tại thời điểm đăng ký niêm yết của doanh nghiệp bé nhất, lớn nhất lần lượt là 80,</w:t>
      </w:r>
      <w:r w:rsidR="002E674A" w:rsidRPr="001C5993">
        <w:rPr>
          <w:rFonts w:ascii="Times New Roman" w:hAnsi="Times New Roman" w:cs="Times New Roman"/>
          <w:color w:val="000000" w:themeColor="text1"/>
        </w:rPr>
        <w:t>1</w:t>
      </w:r>
      <w:r w:rsidRPr="001C5993">
        <w:rPr>
          <w:rFonts w:ascii="Times New Roman" w:hAnsi="Times New Roman" w:cs="Times New Roman"/>
          <w:color w:val="000000" w:themeColor="text1"/>
        </w:rPr>
        <w:t>5 tỉ đồng (CTCP Đầu tư và Phát triển TDT) và 26.796,11 tỉ đồng (CTCP Vinhomes).</w:t>
      </w:r>
    </w:p>
    <w:p w14:paraId="5CCE2E6A" w14:textId="77777777" w:rsidR="00014B28" w:rsidRPr="001C5993" w:rsidRDefault="00014B28" w:rsidP="002E674A">
      <w:pPr>
        <w:spacing w:before="120" w:after="120"/>
        <w:ind w:left="540"/>
        <w:jc w:val="both"/>
        <w:rPr>
          <w:rFonts w:ascii="Times New Roman" w:hAnsi="Times New Roman" w:cs="Times New Roman"/>
          <w:color w:val="000000" w:themeColor="text1"/>
        </w:rPr>
      </w:pPr>
      <w:r w:rsidRPr="001C5993">
        <w:rPr>
          <w:rFonts w:ascii="Times New Roman" w:hAnsi="Times New Roman" w:cs="Times New Roman"/>
          <w:color w:val="000000" w:themeColor="text1"/>
        </w:rPr>
        <w:t>Bất động sản là ngành có nhiều doanh nghiệp niêm yết nhất với 10 doanh nghiệp, trong đó có các tên tuổi lớn như Vinhomes, Cenland, Hải Phát Land. Ngành ngân hàng có 3 ngân hàng niêm yết là Techcombank, TPBank và HDBank, trong đó Techcombank có mức vốn hóa niêm yết lớn nhất.</w:t>
      </w:r>
    </w:p>
    <w:p w14:paraId="6CD76E39" w14:textId="77777777" w:rsidR="00014B28" w:rsidRPr="001C5993" w:rsidRDefault="00014B28" w:rsidP="002E674A">
      <w:pPr>
        <w:spacing w:before="120" w:after="120"/>
        <w:ind w:left="540"/>
        <w:jc w:val="both"/>
        <w:rPr>
          <w:rFonts w:ascii="Times New Roman" w:hAnsi="Times New Roman" w:cs="Times New Roman"/>
          <w:color w:val="000000" w:themeColor="text1"/>
        </w:rPr>
      </w:pPr>
      <w:r w:rsidRPr="001C5993">
        <w:rPr>
          <w:rFonts w:ascii="Times New Roman" w:hAnsi="Times New Roman" w:cs="Times New Roman"/>
          <w:color w:val="000000" w:themeColor="text1"/>
        </w:rPr>
        <w:t>Trong số 46 doanh nghiệp niêm yết mới nêu trên, VNDIRECT tư vấn niêm yết 4 doanh nghiệp, trong đó 2 doanh nghiệp niêm yết HOSE, 2 doanh nghiệp niêm yết HNX</w:t>
      </w:r>
    </w:p>
    <w:p w14:paraId="36E73C80" w14:textId="77777777" w:rsidR="00F801AD" w:rsidRPr="001C5993" w:rsidRDefault="00F801AD" w:rsidP="002E674A">
      <w:pPr>
        <w:spacing w:before="60" w:after="0" w:line="264" w:lineRule="auto"/>
        <w:ind w:right="57"/>
        <w:jc w:val="both"/>
        <w:rPr>
          <w:rFonts w:ascii="Times New Roman" w:hAnsi="Times New Roman" w:cs="Times New Roman"/>
          <w:b/>
          <w:i/>
          <w:color w:val="000000" w:themeColor="text1"/>
          <w:lang w:val="vi-VN"/>
        </w:rPr>
      </w:pPr>
      <w:r w:rsidRPr="001C5993">
        <w:rPr>
          <w:rFonts w:ascii="Times New Roman" w:hAnsi="Times New Roman" w:cs="Times New Roman"/>
          <w:b/>
          <w:i/>
          <w:color w:val="000000" w:themeColor="text1"/>
          <w:lang w:val="vi-VN"/>
        </w:rPr>
        <w:t>Dịch vụ tài chính</w:t>
      </w:r>
    </w:p>
    <w:p w14:paraId="6008CE31" w14:textId="77777777" w:rsidR="008274BD" w:rsidRPr="001C5993" w:rsidRDefault="008274BD" w:rsidP="002E674A">
      <w:pPr>
        <w:spacing w:before="60" w:after="0" w:line="264" w:lineRule="auto"/>
        <w:jc w:val="both"/>
        <w:rPr>
          <w:rFonts w:ascii="Times New Roman" w:eastAsia="Times New Roman" w:hAnsi="Times New Roman" w:cs="Times New Roman"/>
          <w:b/>
          <w:i/>
          <w:color w:val="000000" w:themeColor="text1"/>
          <w:lang w:val="vi-VN" w:eastAsia="vi-VN"/>
        </w:rPr>
      </w:pPr>
      <w:r w:rsidRPr="001C5993">
        <w:rPr>
          <w:rFonts w:ascii="Times New Roman" w:eastAsia="Times New Roman" w:hAnsi="Times New Roman" w:cs="Times New Roman"/>
          <w:b/>
          <w:i/>
          <w:color w:val="000000" w:themeColor="text1"/>
          <w:lang w:val="vi-VN" w:eastAsia="vi-VN"/>
        </w:rPr>
        <w:t>Hoạt động nguồn vốn</w:t>
      </w:r>
    </w:p>
    <w:p w14:paraId="26FC1FCC" w14:textId="77777777" w:rsidR="00B662A7" w:rsidRPr="001C5993" w:rsidRDefault="00B662A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Năm 2018, chiến lược tăng nguồn vốn để gia tăng nguồn cung tiền cho hoạt động cho vay ký quỹ đã được Ban lãnh đạo của VNDIRECT xác định là chiến lược quan trọng và đã được thông qua tại cuộc họp đại hội đồng cổ đông thường niên năm 2018.</w:t>
      </w:r>
    </w:p>
    <w:p w14:paraId="315CAC7A" w14:textId="77777777" w:rsidR="00B662A7" w:rsidRPr="001C5993" w:rsidRDefault="00B662A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Dư nợ trung bình năm 2018 đạt 3.900 tỷ đồng, tăng trưởng 20% so với trung bình của năm 2017.</w:t>
      </w:r>
    </w:p>
    <w:p w14:paraId="4B519637" w14:textId="77777777" w:rsidR="00B662A7" w:rsidRPr="001C5993" w:rsidRDefault="00B662A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Có 30.800 tài khoản đăng ký sử dụng sản phẩm tài chính (tăng 1% so với năm 2017)</w:t>
      </w:r>
    </w:p>
    <w:p w14:paraId="13FCAA47" w14:textId="77777777" w:rsidR="00B662A7" w:rsidRPr="001C5993" w:rsidRDefault="00B662A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Tại 31/12/2018, dư nợ cho vay margin ghi nhận 2.456 tỷ đồng</w:t>
      </w:r>
    </w:p>
    <w:p w14:paraId="235FC3DC" w14:textId="77777777" w:rsidR="00B82CF9" w:rsidRPr="001C5993" w:rsidRDefault="00B82CF9" w:rsidP="009864C9">
      <w:pPr>
        <w:spacing w:before="60" w:after="0" w:line="264" w:lineRule="auto"/>
        <w:ind w:firstLine="720"/>
        <w:jc w:val="right"/>
        <w:rPr>
          <w:rFonts w:ascii="Times New Roman" w:hAnsi="Times New Roman" w:cs="Times New Roman"/>
          <w:i/>
          <w:color w:val="000000" w:themeColor="text1"/>
        </w:rPr>
      </w:pPr>
      <w:r w:rsidRPr="001C5993">
        <w:rPr>
          <w:rFonts w:ascii="Times New Roman" w:hAnsi="Times New Roman" w:cs="Times New Roman"/>
          <w:i/>
          <w:color w:val="000000" w:themeColor="text1"/>
        </w:rPr>
        <w:t>Đơn vị: tỷ đồng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080"/>
        <w:gridCol w:w="816"/>
        <w:gridCol w:w="1164"/>
        <w:gridCol w:w="2452"/>
      </w:tblGrid>
      <w:tr w:rsidR="001C5993" w:rsidRPr="001C5993" w14:paraId="4F580C18" w14:textId="77777777" w:rsidTr="00B82CF9">
        <w:tc>
          <w:tcPr>
            <w:tcW w:w="3505" w:type="dxa"/>
            <w:vMerge w:val="restart"/>
            <w:shd w:val="clear" w:color="auto" w:fill="FABF8F" w:themeFill="accent6" w:themeFillTint="99"/>
          </w:tcPr>
          <w:p w14:paraId="4B0AE3EB"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p>
          <w:p w14:paraId="625AF1D4"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Chỉ tiêu</w:t>
            </w:r>
          </w:p>
        </w:tc>
        <w:tc>
          <w:tcPr>
            <w:tcW w:w="1080" w:type="dxa"/>
            <w:vMerge w:val="restart"/>
            <w:shd w:val="clear" w:color="auto" w:fill="FABF8F" w:themeFill="accent6" w:themeFillTint="99"/>
          </w:tcPr>
          <w:p w14:paraId="55FC3C90"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Năm 2016</w:t>
            </w:r>
          </w:p>
        </w:tc>
        <w:tc>
          <w:tcPr>
            <w:tcW w:w="816" w:type="dxa"/>
            <w:vMerge w:val="restart"/>
            <w:shd w:val="clear" w:color="auto" w:fill="FABF8F" w:themeFill="accent6" w:themeFillTint="99"/>
          </w:tcPr>
          <w:p w14:paraId="48AC4564"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Năm 2017*</w:t>
            </w:r>
          </w:p>
        </w:tc>
        <w:tc>
          <w:tcPr>
            <w:tcW w:w="3616" w:type="dxa"/>
            <w:gridSpan w:val="2"/>
            <w:shd w:val="clear" w:color="auto" w:fill="FABF8F" w:themeFill="accent6" w:themeFillTint="99"/>
          </w:tcPr>
          <w:p w14:paraId="13EEE872"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Năm 2018</w:t>
            </w:r>
          </w:p>
        </w:tc>
      </w:tr>
      <w:tr w:rsidR="001C5993" w:rsidRPr="001C5993" w14:paraId="2DB634D5" w14:textId="77777777" w:rsidTr="00B82CF9">
        <w:tc>
          <w:tcPr>
            <w:tcW w:w="3505" w:type="dxa"/>
            <w:vMerge/>
            <w:shd w:val="clear" w:color="auto" w:fill="FABF8F" w:themeFill="accent6" w:themeFillTint="99"/>
          </w:tcPr>
          <w:p w14:paraId="7FD4D4C6"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p>
        </w:tc>
        <w:tc>
          <w:tcPr>
            <w:tcW w:w="1080" w:type="dxa"/>
            <w:vMerge/>
            <w:shd w:val="clear" w:color="auto" w:fill="FABF8F" w:themeFill="accent6" w:themeFillTint="99"/>
          </w:tcPr>
          <w:p w14:paraId="22F3AAE4"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p>
        </w:tc>
        <w:tc>
          <w:tcPr>
            <w:tcW w:w="816" w:type="dxa"/>
            <w:vMerge/>
            <w:shd w:val="clear" w:color="auto" w:fill="FABF8F" w:themeFill="accent6" w:themeFillTint="99"/>
          </w:tcPr>
          <w:p w14:paraId="78EFA326"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p>
        </w:tc>
        <w:tc>
          <w:tcPr>
            <w:tcW w:w="1164" w:type="dxa"/>
            <w:shd w:val="clear" w:color="auto" w:fill="FABF8F" w:themeFill="accent6" w:themeFillTint="99"/>
          </w:tcPr>
          <w:p w14:paraId="1C52DD19"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Giá trị</w:t>
            </w:r>
          </w:p>
        </w:tc>
        <w:tc>
          <w:tcPr>
            <w:tcW w:w="2452" w:type="dxa"/>
            <w:shd w:val="clear" w:color="auto" w:fill="FABF8F" w:themeFill="accent6" w:themeFillTint="99"/>
          </w:tcPr>
          <w:p w14:paraId="31F8B7F6"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Tăng/giảm so với 2017</w:t>
            </w:r>
          </w:p>
        </w:tc>
      </w:tr>
      <w:tr w:rsidR="001C5993" w:rsidRPr="001C5993" w14:paraId="50C844D4" w14:textId="77777777" w:rsidTr="00B82CF9">
        <w:tc>
          <w:tcPr>
            <w:tcW w:w="3505" w:type="dxa"/>
            <w:shd w:val="clear" w:color="auto" w:fill="auto"/>
          </w:tcPr>
          <w:p w14:paraId="42158866" w14:textId="77777777" w:rsidR="00B82CF9" w:rsidRPr="001C5993" w:rsidRDefault="00B82CF9" w:rsidP="002E674A">
            <w:pPr>
              <w:spacing w:before="60" w:after="60" w:line="312" w:lineRule="auto"/>
              <w:jc w:val="both"/>
              <w:rPr>
                <w:rFonts w:ascii="Times New Roman" w:hAnsi="Times New Roman" w:cs="Times New Roman"/>
                <w:color w:val="000000" w:themeColor="text1"/>
              </w:rPr>
            </w:pPr>
            <w:r w:rsidRPr="001C5993">
              <w:rPr>
                <w:rFonts w:ascii="Times New Roman" w:hAnsi="Times New Roman" w:cs="Times New Roman"/>
                <w:color w:val="000000" w:themeColor="text1"/>
              </w:rPr>
              <w:t>Lãi từ các khoản đầu tư nắm giữ đến ngày đáo hạn</w:t>
            </w:r>
          </w:p>
        </w:tc>
        <w:tc>
          <w:tcPr>
            <w:tcW w:w="1080" w:type="dxa"/>
            <w:shd w:val="clear" w:color="auto" w:fill="auto"/>
          </w:tcPr>
          <w:p w14:paraId="4F1E93A9"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128</w:t>
            </w:r>
          </w:p>
        </w:tc>
        <w:tc>
          <w:tcPr>
            <w:tcW w:w="816" w:type="dxa"/>
            <w:shd w:val="clear" w:color="auto" w:fill="auto"/>
          </w:tcPr>
          <w:p w14:paraId="631395BB"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180</w:t>
            </w:r>
          </w:p>
        </w:tc>
        <w:tc>
          <w:tcPr>
            <w:tcW w:w="1164" w:type="dxa"/>
            <w:shd w:val="clear" w:color="auto" w:fill="auto"/>
          </w:tcPr>
          <w:p w14:paraId="016410E3"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289</w:t>
            </w:r>
          </w:p>
        </w:tc>
        <w:tc>
          <w:tcPr>
            <w:tcW w:w="2452" w:type="dxa"/>
            <w:shd w:val="clear" w:color="auto" w:fill="auto"/>
          </w:tcPr>
          <w:p w14:paraId="76E881CB"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60,56%</w:t>
            </w:r>
          </w:p>
        </w:tc>
      </w:tr>
      <w:tr w:rsidR="001C5993" w:rsidRPr="001C5993" w14:paraId="70F58F12" w14:textId="77777777" w:rsidTr="00B82CF9">
        <w:tc>
          <w:tcPr>
            <w:tcW w:w="3505" w:type="dxa"/>
            <w:shd w:val="clear" w:color="auto" w:fill="auto"/>
          </w:tcPr>
          <w:p w14:paraId="2E05569A" w14:textId="77777777" w:rsidR="00B82CF9" w:rsidRPr="001C5993" w:rsidRDefault="00B82CF9" w:rsidP="002E674A">
            <w:pPr>
              <w:spacing w:before="60" w:after="60" w:line="312" w:lineRule="auto"/>
              <w:jc w:val="both"/>
              <w:rPr>
                <w:rFonts w:ascii="Times New Roman" w:hAnsi="Times New Roman" w:cs="Times New Roman"/>
                <w:color w:val="000000" w:themeColor="text1"/>
              </w:rPr>
            </w:pPr>
            <w:r w:rsidRPr="001C5993">
              <w:rPr>
                <w:rFonts w:ascii="Times New Roman" w:hAnsi="Times New Roman" w:cs="Times New Roman"/>
                <w:color w:val="000000" w:themeColor="text1"/>
              </w:rPr>
              <w:t>Lãi từ các khoản cho vay và phải thu</w:t>
            </w:r>
          </w:p>
        </w:tc>
        <w:tc>
          <w:tcPr>
            <w:tcW w:w="1080" w:type="dxa"/>
            <w:shd w:val="clear" w:color="auto" w:fill="auto"/>
          </w:tcPr>
          <w:p w14:paraId="1DD826C4"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208</w:t>
            </w:r>
          </w:p>
        </w:tc>
        <w:tc>
          <w:tcPr>
            <w:tcW w:w="816" w:type="dxa"/>
            <w:shd w:val="clear" w:color="auto" w:fill="auto"/>
          </w:tcPr>
          <w:p w14:paraId="0853F85C"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344</w:t>
            </w:r>
          </w:p>
        </w:tc>
        <w:tc>
          <w:tcPr>
            <w:tcW w:w="1164" w:type="dxa"/>
            <w:shd w:val="clear" w:color="auto" w:fill="auto"/>
          </w:tcPr>
          <w:p w14:paraId="186B9C05"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435</w:t>
            </w:r>
          </w:p>
        </w:tc>
        <w:tc>
          <w:tcPr>
            <w:tcW w:w="2452" w:type="dxa"/>
            <w:shd w:val="clear" w:color="auto" w:fill="auto"/>
          </w:tcPr>
          <w:p w14:paraId="734D20F0"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26,45%</w:t>
            </w:r>
          </w:p>
        </w:tc>
      </w:tr>
      <w:tr w:rsidR="001C5993" w:rsidRPr="001C5993" w14:paraId="1AF54AE4" w14:textId="77777777" w:rsidTr="00B82CF9">
        <w:tc>
          <w:tcPr>
            <w:tcW w:w="3505" w:type="dxa"/>
            <w:shd w:val="clear" w:color="auto" w:fill="auto"/>
          </w:tcPr>
          <w:p w14:paraId="177E975C" w14:textId="77777777" w:rsidR="00B82CF9" w:rsidRPr="001C5993" w:rsidRDefault="00B82CF9" w:rsidP="002E674A">
            <w:pPr>
              <w:spacing w:before="60" w:after="60" w:line="312" w:lineRule="auto"/>
              <w:jc w:val="both"/>
              <w:rPr>
                <w:rFonts w:ascii="Times New Roman" w:hAnsi="Times New Roman" w:cs="Times New Roman"/>
                <w:color w:val="000000" w:themeColor="text1"/>
              </w:rPr>
            </w:pPr>
            <w:r w:rsidRPr="001C5993">
              <w:rPr>
                <w:rFonts w:ascii="Times New Roman" w:hAnsi="Times New Roman" w:cs="Times New Roman"/>
                <w:color w:val="000000" w:themeColor="text1"/>
              </w:rPr>
              <w:t>Thu nhập hoạt động khác</w:t>
            </w:r>
          </w:p>
        </w:tc>
        <w:tc>
          <w:tcPr>
            <w:tcW w:w="1080" w:type="dxa"/>
            <w:shd w:val="clear" w:color="auto" w:fill="auto"/>
          </w:tcPr>
          <w:p w14:paraId="6E815499"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4</w:t>
            </w:r>
          </w:p>
        </w:tc>
        <w:tc>
          <w:tcPr>
            <w:tcW w:w="816" w:type="dxa"/>
            <w:shd w:val="clear" w:color="auto" w:fill="auto"/>
          </w:tcPr>
          <w:p w14:paraId="729769EA"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w:t>
            </w:r>
          </w:p>
        </w:tc>
        <w:tc>
          <w:tcPr>
            <w:tcW w:w="1164" w:type="dxa"/>
            <w:shd w:val="clear" w:color="auto" w:fill="auto"/>
          </w:tcPr>
          <w:p w14:paraId="35C72B6C"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3</w:t>
            </w:r>
          </w:p>
        </w:tc>
        <w:tc>
          <w:tcPr>
            <w:tcW w:w="2452" w:type="dxa"/>
            <w:shd w:val="clear" w:color="auto" w:fill="auto"/>
          </w:tcPr>
          <w:p w14:paraId="34D999FD"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200%</w:t>
            </w:r>
          </w:p>
        </w:tc>
      </w:tr>
      <w:tr w:rsidR="001C5993" w:rsidRPr="001C5993" w14:paraId="4FA5D66C" w14:textId="77777777" w:rsidTr="00B82CF9">
        <w:tc>
          <w:tcPr>
            <w:tcW w:w="3505" w:type="dxa"/>
            <w:shd w:val="clear" w:color="auto" w:fill="auto"/>
          </w:tcPr>
          <w:p w14:paraId="4F46C759" w14:textId="77777777" w:rsidR="00B82CF9" w:rsidRPr="001C5993" w:rsidRDefault="00B82CF9" w:rsidP="002E674A">
            <w:pPr>
              <w:spacing w:before="60" w:after="60" w:line="312" w:lineRule="auto"/>
              <w:jc w:val="both"/>
              <w:rPr>
                <w:rFonts w:ascii="Times New Roman" w:hAnsi="Times New Roman" w:cs="Times New Roman"/>
                <w:color w:val="000000" w:themeColor="text1"/>
              </w:rPr>
            </w:pPr>
            <w:r w:rsidRPr="001C5993">
              <w:rPr>
                <w:rFonts w:ascii="Times New Roman" w:hAnsi="Times New Roman" w:cs="Times New Roman"/>
                <w:color w:val="000000" w:themeColor="text1"/>
              </w:rPr>
              <w:t>Doanh thu hoạt động tài chính</w:t>
            </w:r>
          </w:p>
        </w:tc>
        <w:tc>
          <w:tcPr>
            <w:tcW w:w="1080" w:type="dxa"/>
            <w:shd w:val="clear" w:color="auto" w:fill="auto"/>
          </w:tcPr>
          <w:p w14:paraId="695A75D9"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15</w:t>
            </w:r>
          </w:p>
        </w:tc>
        <w:tc>
          <w:tcPr>
            <w:tcW w:w="816" w:type="dxa"/>
            <w:shd w:val="clear" w:color="auto" w:fill="auto"/>
          </w:tcPr>
          <w:p w14:paraId="4E6801D6"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4</w:t>
            </w:r>
          </w:p>
        </w:tc>
        <w:tc>
          <w:tcPr>
            <w:tcW w:w="1164" w:type="dxa"/>
            <w:shd w:val="clear" w:color="auto" w:fill="auto"/>
          </w:tcPr>
          <w:p w14:paraId="071B6030"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7</w:t>
            </w:r>
          </w:p>
        </w:tc>
        <w:tc>
          <w:tcPr>
            <w:tcW w:w="2452" w:type="dxa"/>
            <w:shd w:val="clear" w:color="auto" w:fill="auto"/>
          </w:tcPr>
          <w:p w14:paraId="4045C510" w14:textId="77777777" w:rsidR="00B82CF9" w:rsidRPr="001C5993" w:rsidRDefault="00B82CF9" w:rsidP="009864C9">
            <w:pPr>
              <w:spacing w:before="60" w:after="60" w:line="312" w:lineRule="auto"/>
              <w:jc w:val="center"/>
              <w:rPr>
                <w:rFonts w:ascii="Times New Roman" w:hAnsi="Times New Roman" w:cs="Times New Roman"/>
                <w:color w:val="000000" w:themeColor="text1"/>
              </w:rPr>
            </w:pPr>
            <w:r w:rsidRPr="001C5993">
              <w:rPr>
                <w:rFonts w:ascii="Times New Roman" w:hAnsi="Times New Roman" w:cs="Times New Roman"/>
                <w:color w:val="000000" w:themeColor="text1"/>
              </w:rPr>
              <w:t>75%</w:t>
            </w:r>
          </w:p>
        </w:tc>
      </w:tr>
      <w:tr w:rsidR="001C5993" w:rsidRPr="001C5993" w14:paraId="2C8CE486" w14:textId="77777777" w:rsidTr="00B82CF9">
        <w:tc>
          <w:tcPr>
            <w:tcW w:w="3505" w:type="dxa"/>
            <w:shd w:val="clear" w:color="auto" w:fill="auto"/>
          </w:tcPr>
          <w:p w14:paraId="281FBE62" w14:textId="77777777" w:rsidR="00B82CF9" w:rsidRPr="001C5993" w:rsidRDefault="00B82CF9" w:rsidP="002E674A">
            <w:pPr>
              <w:spacing w:before="60" w:after="60" w:line="312" w:lineRule="auto"/>
              <w:jc w:val="both"/>
              <w:rPr>
                <w:rFonts w:ascii="Times New Roman" w:hAnsi="Times New Roman" w:cs="Times New Roman"/>
                <w:b/>
                <w:color w:val="000000" w:themeColor="text1"/>
              </w:rPr>
            </w:pPr>
            <w:r w:rsidRPr="001C5993">
              <w:rPr>
                <w:rFonts w:ascii="Times New Roman" w:hAnsi="Times New Roman" w:cs="Times New Roman"/>
                <w:b/>
                <w:color w:val="000000" w:themeColor="text1"/>
              </w:rPr>
              <w:t>Tổng</w:t>
            </w:r>
          </w:p>
        </w:tc>
        <w:tc>
          <w:tcPr>
            <w:tcW w:w="1080" w:type="dxa"/>
            <w:shd w:val="clear" w:color="auto" w:fill="auto"/>
          </w:tcPr>
          <w:p w14:paraId="64D78493" w14:textId="77777777" w:rsidR="00B82CF9" w:rsidRPr="001C5993" w:rsidRDefault="00B82CF9" w:rsidP="009864C9">
            <w:pPr>
              <w:spacing w:before="60" w:after="60" w:line="312" w:lineRule="auto"/>
              <w:jc w:val="center"/>
              <w:rPr>
                <w:rFonts w:ascii="Times New Roman" w:hAnsi="Times New Roman" w:cs="Times New Roman"/>
                <w:b/>
                <w:color w:val="000000" w:themeColor="text1"/>
              </w:rPr>
            </w:pPr>
            <w:r w:rsidRPr="001C5993">
              <w:rPr>
                <w:rFonts w:ascii="Times New Roman" w:hAnsi="Times New Roman" w:cs="Times New Roman"/>
                <w:b/>
                <w:color w:val="000000" w:themeColor="text1"/>
              </w:rPr>
              <w:t>355</w:t>
            </w:r>
          </w:p>
        </w:tc>
        <w:tc>
          <w:tcPr>
            <w:tcW w:w="816" w:type="dxa"/>
            <w:shd w:val="clear" w:color="auto" w:fill="auto"/>
          </w:tcPr>
          <w:p w14:paraId="3B05E67A" w14:textId="77777777" w:rsidR="00B82CF9" w:rsidRPr="001C5993" w:rsidRDefault="00B82CF9" w:rsidP="009864C9">
            <w:pPr>
              <w:spacing w:before="60" w:after="60" w:line="312" w:lineRule="auto"/>
              <w:jc w:val="center"/>
              <w:rPr>
                <w:rFonts w:ascii="Times New Roman" w:hAnsi="Times New Roman" w:cs="Times New Roman"/>
                <w:b/>
                <w:color w:val="000000" w:themeColor="text1"/>
              </w:rPr>
            </w:pPr>
            <w:r w:rsidRPr="001C5993">
              <w:rPr>
                <w:rFonts w:ascii="Times New Roman" w:hAnsi="Times New Roman" w:cs="Times New Roman"/>
                <w:b/>
                <w:color w:val="000000" w:themeColor="text1"/>
              </w:rPr>
              <w:t>529</w:t>
            </w:r>
          </w:p>
        </w:tc>
        <w:tc>
          <w:tcPr>
            <w:tcW w:w="1164" w:type="dxa"/>
            <w:shd w:val="clear" w:color="auto" w:fill="auto"/>
          </w:tcPr>
          <w:p w14:paraId="6C679F73" w14:textId="77777777" w:rsidR="00B82CF9" w:rsidRPr="001C5993" w:rsidRDefault="00B82CF9" w:rsidP="009864C9">
            <w:pPr>
              <w:spacing w:before="60" w:after="60" w:line="312" w:lineRule="auto"/>
              <w:jc w:val="center"/>
              <w:rPr>
                <w:rFonts w:ascii="Times New Roman" w:hAnsi="Times New Roman" w:cs="Times New Roman"/>
                <w:b/>
                <w:color w:val="000000" w:themeColor="text1"/>
              </w:rPr>
            </w:pPr>
            <w:r w:rsidRPr="001C5993">
              <w:rPr>
                <w:rFonts w:ascii="Times New Roman" w:hAnsi="Times New Roman" w:cs="Times New Roman"/>
                <w:b/>
                <w:color w:val="000000" w:themeColor="text1"/>
              </w:rPr>
              <w:t>734</w:t>
            </w:r>
          </w:p>
        </w:tc>
        <w:tc>
          <w:tcPr>
            <w:tcW w:w="2452" w:type="dxa"/>
            <w:shd w:val="clear" w:color="auto" w:fill="auto"/>
          </w:tcPr>
          <w:p w14:paraId="5E5CE368" w14:textId="77777777" w:rsidR="00B82CF9" w:rsidRPr="001C5993" w:rsidRDefault="00B82CF9" w:rsidP="009864C9">
            <w:pPr>
              <w:spacing w:before="60" w:after="60" w:line="312" w:lineRule="auto"/>
              <w:jc w:val="center"/>
              <w:rPr>
                <w:rFonts w:ascii="Times New Roman" w:hAnsi="Times New Roman" w:cs="Times New Roman"/>
                <w:b/>
                <w:color w:val="000000" w:themeColor="text1"/>
              </w:rPr>
            </w:pPr>
            <w:r w:rsidRPr="001C5993">
              <w:rPr>
                <w:rFonts w:ascii="Times New Roman" w:hAnsi="Times New Roman" w:cs="Times New Roman"/>
                <w:b/>
                <w:color w:val="000000" w:themeColor="text1"/>
              </w:rPr>
              <w:t>38,75%</w:t>
            </w:r>
          </w:p>
        </w:tc>
      </w:tr>
    </w:tbl>
    <w:p w14:paraId="0A2F81A6" w14:textId="77777777" w:rsidR="00D77B50" w:rsidRPr="001C5993" w:rsidRDefault="00052CD1" w:rsidP="009864C9">
      <w:pPr>
        <w:spacing w:before="60" w:after="0" w:line="264" w:lineRule="auto"/>
        <w:ind w:left="2880" w:right="57" w:firstLine="720"/>
        <w:jc w:val="both"/>
        <w:rPr>
          <w:rFonts w:ascii="Times New Roman" w:hAnsi="Times New Roman" w:cs="Times New Roman"/>
          <w:i/>
          <w:color w:val="000000" w:themeColor="text1"/>
          <w:lang w:val="vi-VN"/>
        </w:rPr>
      </w:pPr>
      <w:r w:rsidRPr="001C5993">
        <w:rPr>
          <w:rFonts w:ascii="Times New Roman" w:hAnsi="Times New Roman" w:cs="Times New Roman"/>
          <w:i/>
          <w:color w:val="000000" w:themeColor="text1"/>
          <w:lang w:val="vi-VN"/>
        </w:rPr>
        <w:t>Bảng 2: Chỉ tiêu hoạt động nguồn vốn</w:t>
      </w:r>
    </w:p>
    <w:p w14:paraId="50AC279B" w14:textId="77777777" w:rsidR="00B82CF9" w:rsidRPr="001C5993" w:rsidRDefault="00B82CF9" w:rsidP="002E674A">
      <w:pPr>
        <w:spacing w:before="60" w:after="60" w:line="312" w:lineRule="auto"/>
        <w:ind w:firstLine="9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Doanh thu các hoạt động kinh doanh thành phần của mảng kinh doanh nguồn vốn đều có sự tăng trưởng tốt so với năm 2017, trong đó lãi từ các khoản đầu tư nắm giữ đến ngày đáo hạn (HTM) – chủ yếu là các khoản tiền gửi có kỳ hạn tăng 60,56% do quy mô tài sản tiền gửi kỳ hạn tăng cao.</w:t>
      </w:r>
    </w:p>
    <w:p w14:paraId="777838C7" w14:textId="77777777" w:rsidR="00B82CF9" w:rsidRPr="001C5993" w:rsidRDefault="00B82CF9" w:rsidP="002E674A">
      <w:pPr>
        <w:spacing w:before="60" w:after="60" w:line="312" w:lineRule="auto"/>
        <w:ind w:left="9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Nhờ huy động được nguồn vốn mới từ vốn chủ sở hữu và trái phiếu, quy mô vốn cấp cho hoạt động cho vay margin tăng trưởng tốt, lãi hoạt động này đạt 435 tỷ đồng, tăng 26,45% so với năm 2017.</w:t>
      </w:r>
    </w:p>
    <w:p w14:paraId="5DB088DE" w14:textId="77C99948" w:rsidR="00803D8A" w:rsidRPr="001C5993" w:rsidRDefault="00803D8A" w:rsidP="002E674A">
      <w:pPr>
        <w:spacing w:before="60" w:after="0" w:line="264" w:lineRule="auto"/>
        <w:ind w:right="57"/>
        <w:jc w:val="both"/>
        <w:rPr>
          <w:rFonts w:ascii="Times New Roman" w:hAnsi="Times New Roman" w:cs="Times New Roman"/>
          <w:b/>
          <w:i/>
          <w:color w:val="000000" w:themeColor="text1"/>
          <w:lang w:val="vi-VN"/>
        </w:rPr>
      </w:pPr>
      <w:r w:rsidRPr="001C5993">
        <w:rPr>
          <w:rFonts w:ascii="Times New Roman" w:hAnsi="Times New Roman" w:cs="Times New Roman"/>
          <w:b/>
          <w:i/>
          <w:color w:val="000000" w:themeColor="text1"/>
          <w:lang w:val="vi-VN"/>
        </w:rPr>
        <w:t>Đầu tư</w:t>
      </w:r>
      <w:r w:rsidR="002F15D1" w:rsidRPr="001C5993">
        <w:rPr>
          <w:rFonts w:ascii="Times New Roman" w:hAnsi="Times New Roman" w:cs="Times New Roman"/>
          <w:b/>
          <w:i/>
          <w:color w:val="000000" w:themeColor="text1"/>
          <w:lang w:val="vi-VN"/>
        </w:rPr>
        <w:t xml:space="preserve"> </w:t>
      </w:r>
      <w:r w:rsidRPr="001C5993">
        <w:rPr>
          <w:rFonts w:ascii="Times New Roman" w:hAnsi="Times New Roman" w:cs="Times New Roman"/>
          <w:b/>
          <w:i/>
          <w:color w:val="000000" w:themeColor="text1"/>
          <w:lang w:val="vi-VN"/>
        </w:rPr>
        <w:t>Tự doanh</w:t>
      </w:r>
    </w:p>
    <w:p w14:paraId="62938C4C" w14:textId="77777777" w:rsidR="008D1C17" w:rsidRPr="001C5993" w:rsidRDefault="008D1C17" w:rsidP="002E674A">
      <w:pPr>
        <w:spacing w:before="60" w:after="60" w:line="312" w:lineRule="auto"/>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Với hậu thuẫn là đội ngũ phân tích dày dặn kinh nghiệm và đang có hợp tác với bộ phận phân tích của Công ty chứng khoán CIMB, hoạt động tự doanh của VNDIRECT đã có những nhận định phù hợp với tình hình thị trường năm 2018. Doanh thu tự doanh của VNDIRECT đạt 344 tỷ đồng, tăng trưởng 10,26% so với năm 2017, nếu loại bỏ việc ghi nhận 88 tỷ đồng theo phương pháp kế toán trong giao dịch thoái vốn tại PTI thì doanh thu tự doanh đạt 255 tỷ đồng, trong đó lãi từ tài sản tài chính (FVTPL) đạt 250 tỷ đồng – chiếm 98,04%, lãi từ các tài sản tài chính sẵn sàng để bán ghi nhận 5 tỷ đồng – chiếm 1,96%.</w:t>
      </w:r>
    </w:p>
    <w:p w14:paraId="1B1D5577" w14:textId="3B94D655" w:rsidR="00A9068E" w:rsidRPr="001C5993" w:rsidRDefault="00A9068E" w:rsidP="002E674A">
      <w:pPr>
        <w:spacing w:before="60" w:after="60" w:line="312" w:lineRule="auto"/>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Tuy nhiên, chi phí tự doanh cũng tăng mạnh lỗ bán chứng khoán ( 207 tỷ) và dự phòng giảm giá chứng khoán (173 tỷ)</w:t>
      </w:r>
      <w:r w:rsidR="008F718A" w:rsidRPr="001C5993">
        <w:rPr>
          <w:rFonts w:ascii="Times New Roman" w:hAnsi="Times New Roman" w:cs="Times New Roman"/>
          <w:color w:val="000000" w:themeColor="text1"/>
          <w:lang w:val="vi-VN"/>
        </w:rPr>
        <w:t>. Dẫn đến hoạt động tự doanh lỗ 33 tỷ cho năm 2018.</w:t>
      </w:r>
    </w:p>
    <w:p w14:paraId="3222FAE2" w14:textId="77777777" w:rsidR="00803D8A" w:rsidRPr="001C5993" w:rsidRDefault="00803D8A" w:rsidP="002E674A">
      <w:pPr>
        <w:spacing w:before="60" w:after="0" w:line="264" w:lineRule="auto"/>
        <w:ind w:right="57"/>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Quản lý quỹ</w:t>
      </w:r>
    </w:p>
    <w:p w14:paraId="4EAAD0AB" w14:textId="77777777" w:rsidR="00F1550B" w:rsidRPr="001C5993" w:rsidRDefault="00F1550B" w:rsidP="00F1550B">
      <w:pPr>
        <w:spacing w:before="60" w:after="100" w:afterAutospacing="1" w:line="240" w:lineRule="auto"/>
        <w:jc w:val="both"/>
        <w:rPr>
          <w:rFonts w:ascii="Segoe UI" w:eastAsia="Times New Roman" w:hAnsi="Segoe UI" w:cs="Segoe UI"/>
          <w:color w:val="000000" w:themeColor="text1"/>
          <w:sz w:val="21"/>
          <w:szCs w:val="21"/>
          <w:lang w:val="vi-VN"/>
        </w:rPr>
      </w:pPr>
      <w:r w:rsidRPr="001C5993">
        <w:rPr>
          <w:rFonts w:ascii="Times New Roman" w:eastAsia="Times New Roman" w:hAnsi="Times New Roman" w:cs="Times New Roman"/>
          <w:color w:val="000000" w:themeColor="text1"/>
          <w:lang w:val="vi-VN"/>
        </w:rPr>
        <w:t>Sau khi trở thành công ty con của VNDIRECT, IPAAM đóng vai trò trở thành nền tảng cung cấp các sản phẩm đầu tư gồm các quỹ đầu tư, các danh mục đầu tư cho các nhà đầu tư của trong hệ sinh thái VNDIRECT.</w:t>
      </w:r>
    </w:p>
    <w:p w14:paraId="0A14102F" w14:textId="77777777" w:rsidR="00F1550B" w:rsidRPr="001C5993" w:rsidRDefault="00F1550B" w:rsidP="00F1550B">
      <w:pPr>
        <w:spacing w:before="60" w:after="100" w:afterAutospacing="1" w:line="240" w:lineRule="auto"/>
        <w:jc w:val="both"/>
        <w:rPr>
          <w:rFonts w:ascii="Segoe UI" w:eastAsia="Times New Roman" w:hAnsi="Segoe UI" w:cs="Segoe UI"/>
          <w:color w:val="000000" w:themeColor="text1"/>
          <w:sz w:val="21"/>
          <w:szCs w:val="21"/>
          <w:lang w:val="vi-VN"/>
        </w:rPr>
      </w:pPr>
      <w:r w:rsidRPr="001C5993">
        <w:rPr>
          <w:rFonts w:ascii="Times New Roman" w:eastAsia="Times New Roman" w:hAnsi="Times New Roman" w:cs="Times New Roman"/>
          <w:b/>
          <w:bCs/>
          <w:i/>
          <w:iCs/>
          <w:color w:val="000000" w:themeColor="text1"/>
          <w:lang w:val="vi-VN"/>
        </w:rPr>
        <w:t xml:space="preserve">Cung cấp đa dạng các sản phẩm đầu tư:  </w:t>
      </w:r>
      <w:r w:rsidRPr="001C5993">
        <w:rPr>
          <w:rFonts w:ascii="Times New Roman" w:eastAsia="Times New Roman" w:hAnsi="Times New Roman" w:cs="Times New Roman"/>
          <w:color w:val="000000" w:themeColor="text1"/>
          <w:lang w:val="vi-VN"/>
        </w:rPr>
        <w:t>Quỹ mở đầu tư cổ phiếu đầu tiên của IPAAM được chính thức thành lập ngày 12/1/2018. Tính tới cuối năm 2018, Quỹ đã thu hút được hơn 350 nhà đầu tư cá nhân và tổ chức đầu tư vào quỹ. Quy mô quỹ đạt mức 65 tỷ đồng. IPAAM cũng cung cấp dịch vụ quản lý danh mục đầu tư gồm quản lý danh mục đầu tư theo chiến lược, quản lý danh mục đầu tư chuyên biệt đáp ứng các nhu cầu đa dạng của nhà đầu tư. Trong năm 2019, IPAAM sẽ phát triển thêm sản phẩm quỹ mở đầu tư trái phiếu, mở ra kênh đầu tư vào thị trường trái phiếu cho các nhà đầu tư cá nhân.</w:t>
      </w:r>
    </w:p>
    <w:p w14:paraId="3EBD894E" w14:textId="77777777" w:rsidR="00F1550B" w:rsidRPr="001C5993" w:rsidRDefault="00F1550B" w:rsidP="00F1550B">
      <w:pPr>
        <w:spacing w:before="60" w:after="100" w:afterAutospacing="1" w:line="240" w:lineRule="auto"/>
        <w:jc w:val="both"/>
        <w:rPr>
          <w:rFonts w:ascii="Segoe UI" w:eastAsia="Times New Roman" w:hAnsi="Segoe UI" w:cs="Segoe UI"/>
          <w:color w:val="000000" w:themeColor="text1"/>
          <w:sz w:val="21"/>
          <w:szCs w:val="21"/>
          <w:lang w:val="vi-VN"/>
        </w:rPr>
      </w:pPr>
      <w:r w:rsidRPr="001C5993">
        <w:rPr>
          <w:rFonts w:ascii="Times New Roman" w:eastAsia="Times New Roman" w:hAnsi="Times New Roman" w:cs="Times New Roman"/>
          <w:b/>
          <w:bCs/>
          <w:i/>
          <w:iCs/>
          <w:color w:val="000000" w:themeColor="text1"/>
          <w:lang w:val="vi-VN"/>
        </w:rPr>
        <w:t>Tăng trưởng quy mô tài sản quản lý:</w:t>
      </w:r>
      <w:r w:rsidRPr="001C5993">
        <w:rPr>
          <w:rFonts w:ascii="Times New Roman" w:eastAsia="Times New Roman" w:hAnsi="Times New Roman" w:cs="Times New Roman"/>
          <w:color w:val="000000" w:themeColor="text1"/>
          <w:lang w:val="vi-VN"/>
        </w:rPr>
        <w:t xml:space="preserve"> Tính tới 31/12/2018, IPAAM quản lý tài sản cho nhà đầu tư ủy thác trong nước với quy mô  510 tỷ, tăng trưởng 4% so với năm 2017 và tăng 180% so với cuối năm 2016.</w:t>
      </w:r>
    </w:p>
    <w:p w14:paraId="3B0C82F2" w14:textId="77777777" w:rsidR="00224EDC" w:rsidRPr="001C5993" w:rsidRDefault="00224EDC" w:rsidP="002E674A">
      <w:pPr>
        <w:spacing w:before="60" w:after="0" w:line="264" w:lineRule="auto"/>
        <w:ind w:right="57"/>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Hoạt động hỗ trợ kinh doanh</w:t>
      </w:r>
    </w:p>
    <w:p w14:paraId="6A086071" w14:textId="77777777" w:rsidR="006B1D20" w:rsidRPr="001C5993" w:rsidRDefault="006B1D20" w:rsidP="002E674A">
      <w:pPr>
        <w:spacing w:before="60" w:after="0" w:line="264" w:lineRule="auto"/>
        <w:ind w:right="57"/>
        <w:jc w:val="both"/>
        <w:rPr>
          <w:rFonts w:ascii="Times New Roman" w:hAnsi="Times New Roman" w:cs="Times New Roman"/>
          <w:b/>
          <w:i/>
          <w:color w:val="000000" w:themeColor="text1"/>
          <w:lang w:val="vi-VN"/>
        </w:rPr>
      </w:pPr>
      <w:r w:rsidRPr="001C5993">
        <w:rPr>
          <w:rFonts w:ascii="Times New Roman" w:hAnsi="Times New Roman" w:cs="Times New Roman"/>
          <w:b/>
          <w:i/>
          <w:color w:val="000000" w:themeColor="text1"/>
          <w:lang w:val="vi-VN"/>
        </w:rPr>
        <w:t>Quản trị rủi ro</w:t>
      </w:r>
    </w:p>
    <w:p w14:paraId="3F0E51D0" w14:textId="77777777" w:rsidR="00A84FD7" w:rsidRPr="001C5993" w:rsidRDefault="00A84FD7" w:rsidP="002E674A">
      <w:pPr>
        <w:spacing w:before="60" w:after="60" w:line="300" w:lineRule="auto"/>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Trong năm 2018, hoạt động quản trị rủi ro của VNDIRECT được kiểm soát rất tốt và không có chi phí phát sinh rủi ro. Bên cạnh đó các hệ thống chính sách, quy trình về quản trị rủi ro tiếp tục được hoàn thiện và cập nhật, phù hợp với thực tế kinh doanh của Công ty, cụ thể như sau:</w:t>
      </w:r>
    </w:p>
    <w:p w14:paraId="23656EA9" w14:textId="77777777" w:rsidR="00A84FD7" w:rsidRPr="001C5993" w:rsidRDefault="00A84FD7" w:rsidP="002E674A">
      <w:pPr>
        <w:pStyle w:val="ListParagraph"/>
        <w:numPr>
          <w:ilvl w:val="0"/>
          <w:numId w:val="43"/>
        </w:numPr>
        <w:spacing w:before="60" w:after="60" w:line="300" w:lineRule="auto"/>
        <w:ind w:hanging="900"/>
        <w:contextualSpacing/>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 xml:space="preserve">Xây dựng hệ thống đo lường mức độ rủi ro có thể xảy ra với cảnh báo tự động giúp bộ phận ứng phó kịp thời trong các điều kiện biến động nhanh của thị trường. </w:t>
      </w:r>
    </w:p>
    <w:p w14:paraId="0552FD06" w14:textId="77777777" w:rsidR="00A84FD7" w:rsidRPr="001C5993" w:rsidRDefault="00A84FD7" w:rsidP="002E674A">
      <w:pPr>
        <w:pStyle w:val="ListParagraph"/>
        <w:numPr>
          <w:ilvl w:val="0"/>
          <w:numId w:val="43"/>
        </w:numPr>
        <w:spacing w:before="60" w:after="60" w:line="300" w:lineRule="auto"/>
        <w:ind w:hanging="900"/>
        <w:contextualSpacing/>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 xml:space="preserve">Hoạt động call margin mặc dù đã được xây dựng công cụ để tự động hóa xử lý nhưng do thanh khoản của một số cổ phiếu khi thị trường có biến động cần có sự can thiệp của nghiệp vụ và quá trình vận hành này còn chưa ổn định nên vẫn phải bố trí nhân sự để theo dõi. </w:t>
      </w:r>
    </w:p>
    <w:p w14:paraId="5BC1886C" w14:textId="77777777" w:rsidR="00A84FD7" w:rsidRPr="001C5993" w:rsidRDefault="00A84FD7" w:rsidP="002E674A">
      <w:pPr>
        <w:pStyle w:val="ListParagraph"/>
        <w:numPr>
          <w:ilvl w:val="0"/>
          <w:numId w:val="43"/>
        </w:numPr>
        <w:spacing w:before="60" w:after="60" w:line="300" w:lineRule="auto"/>
        <w:ind w:hanging="900"/>
        <w:contextualSpacing/>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 xml:space="preserve">Bộ phận quản trị rủi ro tiếp tục hoàn thiện bộ chính sách và tự động hóa quy trình thẩm định cho vay theo hệ thống, nhằm giảm thiểu thời gian thẩm định của nhân viên và các yếu tố mang tính chủ quan. </w:t>
      </w:r>
    </w:p>
    <w:p w14:paraId="2A9B8EBF" w14:textId="77777777" w:rsidR="00A84FD7" w:rsidRPr="001C5993" w:rsidRDefault="00A84FD7" w:rsidP="002E674A">
      <w:pPr>
        <w:pStyle w:val="ListParagraph"/>
        <w:numPr>
          <w:ilvl w:val="0"/>
          <w:numId w:val="43"/>
        </w:numPr>
        <w:spacing w:before="60" w:after="60" w:line="300" w:lineRule="auto"/>
        <w:ind w:hanging="900"/>
        <w:contextualSpacing/>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 xml:space="preserve">Kịp thời cập nhập các quy định của pháp luật về hoạt động kinh doanh chứng khoán, đảm bảo việc tuân thủ quy định khi đưa ra các sản phẩm mới đáp ứng tính linh hoạt của thị trường. </w:t>
      </w:r>
    </w:p>
    <w:p w14:paraId="769C7C28" w14:textId="77777777" w:rsidR="00935159" w:rsidRPr="001C5993" w:rsidRDefault="00935159" w:rsidP="002E674A">
      <w:pPr>
        <w:spacing w:before="60" w:after="0" w:line="264" w:lineRule="auto"/>
        <w:jc w:val="both"/>
        <w:rPr>
          <w:rFonts w:ascii="Times New Roman" w:eastAsia="Times New Roman" w:hAnsi="Times New Roman" w:cs="Times New Roman"/>
          <w:b/>
          <w:i/>
          <w:color w:val="000000" w:themeColor="text1"/>
          <w:lang w:val="vi-VN"/>
        </w:rPr>
      </w:pPr>
      <w:r w:rsidRPr="001C5993">
        <w:rPr>
          <w:rFonts w:ascii="Times New Roman" w:eastAsia="Times New Roman" w:hAnsi="Times New Roman" w:cs="Times New Roman"/>
          <w:b/>
          <w:i/>
          <w:color w:val="000000" w:themeColor="text1"/>
          <w:lang w:val="vi-VN"/>
        </w:rPr>
        <w:t>Công nghệ thông tin</w:t>
      </w:r>
    </w:p>
    <w:p w14:paraId="22B73F14" w14:textId="77777777" w:rsidR="00A84FD7" w:rsidRPr="001C5993" w:rsidRDefault="00A84FD7" w:rsidP="002E674A">
      <w:pPr>
        <w:spacing w:before="60" w:after="60" w:line="312" w:lineRule="auto"/>
        <w:ind w:left="720"/>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Công nghệ tiên phong kết nối</w:t>
      </w:r>
    </w:p>
    <w:p w14:paraId="6AFBAE0B" w14:textId="77777777" w:rsidR="00A84FD7" w:rsidRPr="001C5993" w:rsidRDefault="00A84FD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Tiếp tục thực hiện sứ mệnh “Go online – Go Direct”, VNDIRECT là công ty chứng khoán tiên phong trên thị trường về áp dụng công nghệ thông tin vào lĩnh vực tài chính.</w:t>
      </w:r>
    </w:p>
    <w:p w14:paraId="5450D5C1" w14:textId="77777777" w:rsidR="00A84FD7" w:rsidRPr="001C5993" w:rsidRDefault="00A84FD7" w:rsidP="002E674A">
      <w:pPr>
        <w:spacing w:before="60" w:after="60" w:line="312" w:lineRule="auto"/>
        <w:ind w:left="720"/>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Hạ tầng kỹ thuật công nghệ mạnh mẽ</w:t>
      </w:r>
    </w:p>
    <w:p w14:paraId="3C252D66" w14:textId="77777777" w:rsidR="00A84FD7" w:rsidRPr="001C5993" w:rsidRDefault="00A84FD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Các dự án lớn của VNDIRECT tiếp tục được đầu tư hoàn thiện như dự án Pro-Trade, cụm máy chủ thông minh, hệ thống Data Center kỳ vọng giúp VNDIRECT khẳng định sức mạnh nền tảng trong hạ tầng kỹ thuật, gia tăng chất lượng sản phẩm, độ an toàn, bảo mật thông tin và đáp ứng các tiêu chuẩn triển khai các dịch vụ phái sinh trong tương lai.</w:t>
      </w:r>
    </w:p>
    <w:p w14:paraId="794B6530" w14:textId="77777777" w:rsidR="00A84FD7" w:rsidRPr="001C5993" w:rsidRDefault="00A84FD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Pro-Trade là một nền tảng giao dịch cho nhà đầu tư, với các tính năng ưu việt, tốc độ xử lý lệnh của Pro-trade lên đến 5000 lệnh/s, chỉ bằng ½ tốc độ xử lý của HNX, độ trễ trung bình chỉ là 40 ms, nhanh nhất trên thị trường. Năm 2018, Pro-trade đã đạt cộc mốc 120.000 tài khoản đăng nhập trong 1 tháng.</w:t>
      </w:r>
    </w:p>
    <w:p w14:paraId="5C75D90C" w14:textId="77777777" w:rsidR="00A84FD7" w:rsidRPr="001C5993" w:rsidRDefault="00A84FD7" w:rsidP="002E674A">
      <w:pPr>
        <w:spacing w:before="60" w:after="60" w:line="312" w:lineRule="auto"/>
        <w:ind w:left="720"/>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Ứng dụng phân tích, giao dịch và kết nối</w:t>
      </w:r>
    </w:p>
    <w:p w14:paraId="30148FE1" w14:textId="77777777" w:rsidR="00A84FD7" w:rsidRPr="001C5993" w:rsidRDefault="00A84FD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Các khách hàng của VNDIRECT có lẽ không còn xa lạ với các sản phẩm ứng dụng kỹ thuật hỗ trợ đầu tư. Các sản phẩm này mang đến cho nhà đầu tư nhiều hơn các tiện ích, thông tin, nhận định và các trải nghiệm giao dịch đồng bộ mà chưa một công ty chứng khoán nào trên thị trường làm được.</w:t>
      </w:r>
    </w:p>
    <w:p w14:paraId="1890F982" w14:textId="77777777" w:rsidR="00A84FD7" w:rsidRPr="001C5993" w:rsidRDefault="00A84FD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 xml:space="preserve">Năm 2018 đánh dấu sự ra đời của một loạt sản phẩm công nghệ mới của VNDIRECT, có nhiệm vụ hỗ trợ nhà đầu tư trong việc tăng tốc độ, tính chính xác và hiệu quả cho nhà đầu tư khi tham gia giao dịch. </w:t>
      </w:r>
    </w:p>
    <w:p w14:paraId="0CC0A893" w14:textId="77777777" w:rsidR="00A84FD7" w:rsidRPr="001C5993" w:rsidRDefault="00A84FD7" w:rsidP="002E674A">
      <w:pPr>
        <w:spacing w:before="60" w:after="60" w:line="312" w:lineRule="auto"/>
        <w:ind w:left="720"/>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Bộ Lệnh điều kiện phái sinh (Stop &amp; Trauling Stop)</w:t>
      </w:r>
    </w:p>
    <w:p w14:paraId="560FD9A8" w14:textId="77777777" w:rsidR="00A84FD7" w:rsidRPr="001C5993" w:rsidRDefault="00A84FD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Đây là công cụ đắc lực cho nhà đầu tư tham gia thị trường phái sinh có thể theo sát thị trường để tận dụng cơ hội và giảm thiểu rủi ro tối đa. Nhà đầu tư hoàn toàn có thể “Mua đáy, Bán đỉnh” với công cụ này.</w:t>
      </w:r>
    </w:p>
    <w:p w14:paraId="391DDC19" w14:textId="77777777" w:rsidR="00A84FD7" w:rsidRPr="001C5993" w:rsidRDefault="00A84FD7" w:rsidP="002E674A">
      <w:pPr>
        <w:spacing w:before="60" w:after="60" w:line="312" w:lineRule="auto"/>
        <w:ind w:left="720"/>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Dchart 1 phút + 10 bước giá phái sinh</w:t>
      </w:r>
    </w:p>
    <w:p w14:paraId="49916B4C" w14:textId="77777777" w:rsidR="00A84FD7" w:rsidRPr="001C5993" w:rsidRDefault="00A84FD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Đây là công cụ phân tích hỗ trợ giao dịch phái sinh, giúp đưa thông tin chi tiết, nhanh chóng về thị trường tới cho khách hàng, giúp khách hàng phân tích thông tin và ra quyết định chính xác trước các biến động của thị trường.</w:t>
      </w:r>
    </w:p>
    <w:p w14:paraId="6ACE0FA2" w14:textId="77777777" w:rsidR="00A84FD7" w:rsidRPr="001C5993" w:rsidRDefault="00A84FD7" w:rsidP="002E674A">
      <w:pPr>
        <w:spacing w:before="60" w:after="60" w:line="312" w:lineRule="auto"/>
        <w:ind w:left="720"/>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DolFin – Destop</w:t>
      </w:r>
    </w:p>
    <w:p w14:paraId="7E3AAF8F" w14:textId="77777777" w:rsidR="00A84FD7" w:rsidRPr="001C5993" w:rsidRDefault="00A84FD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Đây là ứng dụng dành cho các nhà đầu tư chuyên nghiệp, nhằm chuyên nghiệp hóa việc đầu tư của khách hàng thông qua các tính năng riêng biệt đảm bảo tốc độ, tính chính xác cho các nhà đầu tư.</w:t>
      </w:r>
    </w:p>
    <w:p w14:paraId="495AABCC" w14:textId="0868280A" w:rsidR="009864C9" w:rsidRPr="001C5993" w:rsidRDefault="009864C9" w:rsidP="002E674A">
      <w:pPr>
        <w:spacing w:before="60" w:after="60" w:line="312" w:lineRule="auto"/>
        <w:ind w:left="720"/>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Triển khai Mobile App</w:t>
      </w:r>
    </w:p>
    <w:p w14:paraId="2C6E0EF1" w14:textId="1ED4C933" w:rsidR="00A84FD7" w:rsidRPr="001C5993" w:rsidRDefault="00A84FD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IOS sử dụng công nghệ mới nhất và hỗ trợ thêm nhiều tính năng nâng cao tăng trải nghiệm giao dịch của khách hàng.</w:t>
      </w:r>
    </w:p>
    <w:p w14:paraId="153FEF1F" w14:textId="77777777" w:rsidR="00A84FD7" w:rsidRPr="001C5993" w:rsidRDefault="00A84FD7" w:rsidP="002E674A">
      <w:pPr>
        <w:spacing w:before="60" w:after="60" w:line="312" w:lineRule="auto"/>
        <w:ind w:left="720"/>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Trực tuyến hóa các sản phẩm tài chính:</w:t>
      </w:r>
    </w:p>
    <w:p w14:paraId="50C53B3F" w14:textId="77777777" w:rsidR="00A84FD7" w:rsidRPr="001C5993" w:rsidRDefault="00A84FD7" w:rsidP="002E674A">
      <w:pPr>
        <w:spacing w:before="60" w:after="60" w:line="312" w:lineRule="auto"/>
        <w:ind w:left="720"/>
        <w:jc w:val="both"/>
        <w:rPr>
          <w:rFonts w:ascii="Times New Roman" w:hAnsi="Times New Roman" w:cs="Times New Roman"/>
          <w:color w:val="000000" w:themeColor="text1"/>
          <w:lang w:val="vi-VN"/>
        </w:rPr>
      </w:pPr>
      <w:r w:rsidRPr="001C5993">
        <w:rPr>
          <w:rFonts w:ascii="Times New Roman" w:hAnsi="Times New Roman" w:cs="Times New Roman"/>
          <w:color w:val="000000" w:themeColor="text1"/>
          <w:lang w:val="vi-VN"/>
        </w:rPr>
        <w:t>Giúp Cấp/ rút hạn mức Online, giúp giảm thủ tục giấy tờ cho khách hàng, tăng tính linh hoạt, tiện lợi trong việc cấp rút hạn mức trên các kênh trực tuyến của VNDIRECT</w:t>
      </w:r>
    </w:p>
    <w:p w14:paraId="0409332E" w14:textId="7AEE6999" w:rsidR="000713AA" w:rsidRPr="001C5993" w:rsidRDefault="00716E5E" w:rsidP="002E674A">
      <w:pPr>
        <w:pStyle w:val="Heading1"/>
        <w:numPr>
          <w:ilvl w:val="0"/>
          <w:numId w:val="9"/>
        </w:numPr>
        <w:tabs>
          <w:tab w:val="clear" w:pos="1080"/>
          <w:tab w:val="num" w:pos="540"/>
        </w:tabs>
        <w:spacing w:before="60" w:line="264" w:lineRule="auto"/>
        <w:ind w:left="540" w:hanging="540"/>
        <w:jc w:val="both"/>
        <w:rPr>
          <w:rFonts w:ascii="Times New Roman" w:hAnsi="Times New Roman" w:cs="Times New Roman"/>
          <w:color w:val="000000" w:themeColor="text1"/>
          <w:sz w:val="22"/>
          <w:szCs w:val="22"/>
          <w:lang w:val="vi-VN"/>
        </w:rPr>
      </w:pPr>
      <w:r w:rsidRPr="001C5993">
        <w:rPr>
          <w:rFonts w:ascii="Times New Roman" w:hAnsi="Times New Roman" w:cs="Times New Roman"/>
          <w:color w:val="000000" w:themeColor="text1"/>
          <w:sz w:val="22"/>
          <w:szCs w:val="22"/>
          <w:lang w:val="vi-VN"/>
        </w:rPr>
        <w:t>Kế hoạch kinh doanh năm 2019</w:t>
      </w:r>
    </w:p>
    <w:p w14:paraId="6FFD0E07" w14:textId="2B32A551" w:rsidR="00DB6B3C" w:rsidRPr="001C5993" w:rsidRDefault="00AE1CF4" w:rsidP="002E674A">
      <w:pPr>
        <w:pStyle w:val="Heading2"/>
        <w:numPr>
          <w:ilvl w:val="1"/>
          <w:numId w:val="3"/>
        </w:numPr>
        <w:spacing w:before="60" w:line="264" w:lineRule="auto"/>
        <w:ind w:left="540" w:hanging="540"/>
        <w:jc w:val="both"/>
        <w:rPr>
          <w:rFonts w:ascii="Times New Roman" w:hAnsi="Times New Roman" w:cs="Times New Roman"/>
          <w:color w:val="000000" w:themeColor="text1"/>
          <w:sz w:val="22"/>
          <w:szCs w:val="22"/>
          <w:lang w:val="vi-VN"/>
        </w:rPr>
      </w:pPr>
      <w:r w:rsidRPr="001C5993">
        <w:rPr>
          <w:rFonts w:ascii="Times New Roman" w:hAnsi="Times New Roman" w:cs="Times New Roman"/>
          <w:color w:val="000000" w:themeColor="text1"/>
          <w:sz w:val="22"/>
          <w:szCs w:val="22"/>
          <w:lang w:val="vi-VN"/>
        </w:rPr>
        <w:t>Triển vọng</w:t>
      </w:r>
      <w:r w:rsidR="000713AA" w:rsidRPr="001C5993">
        <w:rPr>
          <w:rFonts w:ascii="Times New Roman" w:hAnsi="Times New Roman" w:cs="Times New Roman"/>
          <w:color w:val="000000" w:themeColor="text1"/>
          <w:sz w:val="22"/>
          <w:szCs w:val="22"/>
          <w:lang w:val="vi-VN"/>
        </w:rPr>
        <w:t xml:space="preserve"> thị trường</w:t>
      </w:r>
      <w:r w:rsidR="00716E5E" w:rsidRPr="001C5993">
        <w:rPr>
          <w:rFonts w:ascii="Times New Roman" w:hAnsi="Times New Roman" w:cs="Times New Roman"/>
          <w:color w:val="000000" w:themeColor="text1"/>
          <w:sz w:val="22"/>
          <w:szCs w:val="22"/>
          <w:lang w:val="vi-VN"/>
        </w:rPr>
        <w:t xml:space="preserve"> năm 2019</w:t>
      </w:r>
    </w:p>
    <w:p w14:paraId="5A1003B9" w14:textId="129B14E3" w:rsidR="00AE1CF4" w:rsidRPr="001C5993" w:rsidRDefault="00B81706" w:rsidP="002E674A">
      <w:pPr>
        <w:spacing w:before="60" w:after="0" w:line="264" w:lineRule="auto"/>
        <w:jc w:val="both"/>
        <w:rPr>
          <w:rFonts w:ascii="Times New Roman" w:hAnsi="Times New Roman" w:cs="Times New Roman"/>
          <w:b/>
          <w:color w:val="000000" w:themeColor="text1"/>
          <w:lang w:val="vi-VN"/>
        </w:rPr>
      </w:pPr>
      <w:r w:rsidRPr="001C5993">
        <w:rPr>
          <w:rFonts w:ascii="Times New Roman" w:hAnsi="Times New Roman" w:cs="Times New Roman"/>
          <w:b/>
          <w:color w:val="000000" w:themeColor="text1"/>
          <w:lang w:val="vi-VN"/>
        </w:rPr>
        <w:t>Dự báo tình hình kinh tế</w:t>
      </w:r>
      <w:r w:rsidR="0071790B" w:rsidRPr="001C5993">
        <w:rPr>
          <w:rFonts w:ascii="Times New Roman" w:hAnsi="Times New Roman" w:cs="Times New Roman"/>
          <w:b/>
          <w:color w:val="000000" w:themeColor="text1"/>
          <w:lang w:val="vi-VN"/>
        </w:rPr>
        <w:t xml:space="preserve"> v</w:t>
      </w:r>
      <w:r w:rsidR="00AE1CF4" w:rsidRPr="001C5993">
        <w:rPr>
          <w:rFonts w:ascii="Times New Roman" w:hAnsi="Times New Roman" w:cs="Times New Roman"/>
          <w:b/>
          <w:color w:val="000000" w:themeColor="text1"/>
          <w:lang w:val="vi-VN"/>
        </w:rPr>
        <w:t>ĩ mô</w:t>
      </w:r>
      <w:r w:rsidR="0071790B" w:rsidRPr="001C5993">
        <w:rPr>
          <w:rFonts w:ascii="Times New Roman" w:hAnsi="Times New Roman" w:cs="Times New Roman"/>
          <w:b/>
          <w:color w:val="000000" w:themeColor="text1"/>
          <w:lang w:val="vi-VN"/>
        </w:rPr>
        <w:t xml:space="preserve"> </w:t>
      </w:r>
      <w:r w:rsidRPr="001C5993">
        <w:rPr>
          <w:rFonts w:ascii="Times New Roman" w:hAnsi="Times New Roman" w:cs="Times New Roman"/>
          <w:b/>
          <w:color w:val="000000" w:themeColor="text1"/>
          <w:lang w:val="vi-VN"/>
        </w:rPr>
        <w:t xml:space="preserve">năm </w:t>
      </w:r>
      <w:r w:rsidR="00520D71" w:rsidRPr="001C5993">
        <w:rPr>
          <w:rFonts w:ascii="Times New Roman" w:hAnsi="Times New Roman" w:cs="Times New Roman"/>
          <w:b/>
          <w:color w:val="000000" w:themeColor="text1"/>
          <w:lang w:val="vi-VN"/>
        </w:rPr>
        <w:t>201</w:t>
      </w:r>
      <w:r w:rsidR="00716E5E" w:rsidRPr="001C5993">
        <w:rPr>
          <w:rFonts w:ascii="Times New Roman" w:hAnsi="Times New Roman" w:cs="Times New Roman"/>
          <w:b/>
          <w:color w:val="000000" w:themeColor="text1"/>
          <w:lang w:val="vi-VN"/>
        </w:rPr>
        <w:t>9</w:t>
      </w:r>
    </w:p>
    <w:p w14:paraId="5ADFD615" w14:textId="77777777" w:rsidR="00716E5E" w:rsidRPr="001C5993" w:rsidRDefault="00716E5E" w:rsidP="002E674A">
      <w:pPr>
        <w:pStyle w:val="EFAContent"/>
        <w:rPr>
          <w:rFonts w:ascii="Times New Roman" w:eastAsia="Arial" w:hAnsi="Times New Roman"/>
          <w:i/>
          <w:color w:val="000000" w:themeColor="text1"/>
          <w:sz w:val="22"/>
          <w:szCs w:val="22"/>
          <w:lang w:val="vi-VN"/>
        </w:rPr>
      </w:pPr>
      <w:r w:rsidRPr="001C5993">
        <w:rPr>
          <w:rFonts w:ascii="Times New Roman" w:eastAsia="Arial" w:hAnsi="Times New Roman"/>
          <w:i/>
          <w:color w:val="000000" w:themeColor="text1"/>
          <w:sz w:val="22"/>
          <w:szCs w:val="22"/>
          <w:lang w:val="vi-VN"/>
        </w:rPr>
        <w:t xml:space="preserve">Tăng trưởng kinh tế chậm lại trong năm 2019 nhưng vẫn duy trì ở mức cao nhờ sự mở rộng mạnh mẽ của sản xuất công nghiệp và nhu cầu tiêu dùng khả quan </w:t>
      </w:r>
    </w:p>
    <w:p w14:paraId="5824D1B3" w14:textId="77777777" w:rsidR="00716E5E" w:rsidRPr="001C5993" w:rsidRDefault="00716E5E" w:rsidP="002E674A">
      <w:pPr>
        <w:jc w:val="both"/>
        <w:rPr>
          <w:rFonts w:ascii="Times New Roman" w:eastAsia="Arial" w:hAnsi="Times New Roman" w:cs="Times New Roman"/>
          <w:color w:val="000000" w:themeColor="text1"/>
          <w:lang w:val="vi-VN"/>
        </w:rPr>
      </w:pPr>
      <w:r w:rsidRPr="001C5993">
        <w:rPr>
          <w:rFonts w:ascii="Times New Roman" w:eastAsia="Arial" w:hAnsi="Times New Roman" w:cs="Times New Roman"/>
          <w:color w:val="000000" w:themeColor="text1"/>
          <w:lang w:val="vi-VN"/>
        </w:rPr>
        <w:t>Chúng tôi dự báo tăng trưởng sẽ giảm xuống trong năm 2019 sau mức tăng mạnh trong giai đoạn 2017-18. Tăng trưởng GDP thực năm 2019 ước tính đạt 6,6%, sát với kỳ vọng thị trường và thấp hơn mục tiêu của Chính phủ cho năm 2019 trong khoảng 6,8%. Theo chúng tôi, nhu cầu trong nước vẫn là yếu tố quan trọng trong tăng trưởng chung với sự tăng trưởng mạnh của ngành bán lẻ và du lịch.</w:t>
      </w:r>
    </w:p>
    <w:p w14:paraId="178D935A" w14:textId="3E197422" w:rsidR="00716E5E" w:rsidRPr="001C5993" w:rsidRDefault="00716E5E" w:rsidP="002E674A">
      <w:pPr>
        <w:jc w:val="both"/>
        <w:rPr>
          <w:rFonts w:ascii="Times New Roman" w:eastAsia="Arial" w:hAnsi="Times New Roman" w:cs="Times New Roman"/>
          <w:color w:val="000000" w:themeColor="text1"/>
          <w:lang w:val="vi-VN"/>
        </w:rPr>
      </w:pPr>
      <w:r w:rsidRPr="001C5993">
        <w:rPr>
          <w:rFonts w:ascii="Times New Roman" w:eastAsia="Arial" w:hAnsi="Times New Roman" w:cs="Times New Roman"/>
          <w:color w:val="000000" w:themeColor="text1"/>
          <w:lang w:val="vi-VN"/>
        </w:rPr>
        <w:t xml:space="preserve">Trong năm 2018, lạm phát được kiểm soát nhờ sự nhất quán của Chính phủ trong điều hành và giá dầu chỉ gia tăng ngắn hạn vào cuối năm. Chúng tôi dự báo tỷ lệ lạm phát chung năm 2019 đạt 3,9%, thấp hơn dự báo bình quân từ Bloomberg ở mức 4,0%. </w:t>
      </w:r>
    </w:p>
    <w:p w14:paraId="074F45B2" w14:textId="301E756A" w:rsidR="00716E5E" w:rsidRPr="001C5993" w:rsidRDefault="00716E5E" w:rsidP="002E674A">
      <w:pPr>
        <w:pStyle w:val="EFAContent"/>
        <w:rPr>
          <w:rFonts w:ascii="Times New Roman" w:eastAsia="Arial" w:hAnsi="Times New Roman"/>
          <w:color w:val="000000" w:themeColor="text1"/>
          <w:sz w:val="22"/>
          <w:szCs w:val="22"/>
          <w:lang w:val="vi-VN"/>
        </w:rPr>
      </w:pPr>
      <w:r w:rsidRPr="001C5993">
        <w:rPr>
          <w:rFonts w:ascii="Times New Roman" w:eastAsia="Arial" w:hAnsi="Times New Roman"/>
          <w:color w:val="000000" w:themeColor="text1"/>
          <w:sz w:val="22"/>
          <w:szCs w:val="22"/>
          <w:lang w:val="vi-VN"/>
        </w:rPr>
        <w:t>Chúng tôi dự báo tiền đồng sẽ mất giá khoảng 2,0% trong năm 2019 do mặc dù có nhiều yếu tố bên ngoài có thể ảnh hưởng đến cán cân cung-cầu trong ngắn hạn, giá trị của đồng tiền vẫn sẽ được dẫn dắt bởi yếu tố nội tại</w:t>
      </w:r>
      <w:r w:rsidR="0082723D" w:rsidRPr="001C5993">
        <w:rPr>
          <w:rFonts w:ascii="Times New Roman" w:eastAsia="Arial" w:hAnsi="Times New Roman"/>
          <w:color w:val="000000" w:themeColor="text1"/>
          <w:sz w:val="22"/>
          <w:szCs w:val="22"/>
          <w:lang w:val="vi-VN"/>
        </w:rPr>
        <w:t xml:space="preserve">. </w:t>
      </w:r>
      <w:r w:rsidRPr="001C5993">
        <w:rPr>
          <w:rFonts w:ascii="Times New Roman" w:eastAsia="Arial" w:hAnsi="Times New Roman"/>
          <w:color w:val="000000" w:themeColor="text1"/>
          <w:sz w:val="22"/>
          <w:szCs w:val="22"/>
          <w:lang w:val="vi-VN"/>
        </w:rPr>
        <w:t>Năm 2019, chúng tôi ước tính thặng dư tài khoản vãng lai giảm xuống còn 2,5% GDP từ mức 3,0% trong năm 2018 do đà tăng trưởng xuất khẩu giảm xuống. Tuy nhiên, chúng tôi cũng cho rằng áp lực vốn bên ngoài sẽ giảm đáng kể do Fed trở nên ôn hòa hơn và điều này sẽ giảm bớt áp lực mất giá lên tiền đồng. Chính phủ cũng thực hiện các biện pháp để kiểm soát lạm phát và không phá giá tiền đồng để kích thích xuất khẩu. Vì vậy, chúng tôi dự báo tiền đồng sẽ không mất giá mạnh trong năm 2019.</w:t>
      </w:r>
    </w:p>
    <w:p w14:paraId="07316B4D" w14:textId="77777777" w:rsidR="00716E5E" w:rsidRPr="001C5993" w:rsidRDefault="00716E5E" w:rsidP="002E674A">
      <w:pPr>
        <w:spacing w:before="120" w:after="120"/>
        <w:jc w:val="both"/>
        <w:outlineLvl w:val="1"/>
        <w:rPr>
          <w:rFonts w:ascii="Times New Roman" w:eastAsia="Arial" w:hAnsi="Times New Roman" w:cs="Times New Roman"/>
          <w:i/>
          <w:color w:val="000000" w:themeColor="text1"/>
          <w:lang w:val="vi-VN"/>
        </w:rPr>
      </w:pPr>
      <w:bookmarkStart w:id="0" w:name="_Toc536536595"/>
      <w:r w:rsidRPr="001C5993">
        <w:rPr>
          <w:rFonts w:ascii="Times New Roman" w:eastAsia="Arial" w:hAnsi="Times New Roman" w:cs="Times New Roman"/>
          <w:i/>
          <w:color w:val="000000" w:themeColor="text1"/>
          <w:lang w:val="vi-VN"/>
        </w:rPr>
        <w:t>Rủi ro đối với triển vọng kinh tế năm 2019</w:t>
      </w:r>
      <w:bookmarkEnd w:id="0"/>
    </w:p>
    <w:p w14:paraId="0DEE0DD7" w14:textId="77777777" w:rsidR="00716E5E" w:rsidRPr="001C5993" w:rsidRDefault="00716E5E" w:rsidP="002E674A">
      <w:pPr>
        <w:pStyle w:val="EFAContent"/>
        <w:rPr>
          <w:rFonts w:ascii="Times New Roman" w:eastAsia="Arial" w:hAnsi="Times New Roman"/>
          <w:color w:val="000000" w:themeColor="text1"/>
          <w:sz w:val="22"/>
          <w:szCs w:val="22"/>
        </w:rPr>
      </w:pPr>
      <w:r w:rsidRPr="001C5993">
        <w:rPr>
          <w:rFonts w:ascii="Times New Roman" w:eastAsia="Arial" w:hAnsi="Times New Roman"/>
          <w:color w:val="000000" w:themeColor="text1"/>
          <w:sz w:val="22"/>
          <w:szCs w:val="22"/>
        </w:rPr>
        <w:t xml:space="preserve">Theo chúng tôi, rủi ro chính đối với triển vọng kinh tế của Việt Nam là ảnh hưởng tiêu cực đến từ các yếu tố bên ngoài, bao gồm đồng USD mạnh lên và lãi suất tiếp tục tăng, dòng vốn tiếp tục rút khỏi các tài sản rủi ro do mức ngại rủi ro toàn cầu gia tăng và chiến tranh thương mại leo thang. Về phía trong nước, chính sách tài khóa thận trọng quá mức và sự trì trệ trong cải cách DNNN có thể ảnh hưởng đến tăng trưởng dài hạn và nền tảng cấu trúc kinh tế. Ngoài ra, điều kiện tín dụng trong nước là yếu tố quan trọng cần theo dõi. Việc trì hoãn chính sách thắt chặt tiền tệ có thể dẫn đến áp lực lạm phát tăng lên và rủi ro cho tăng trưởng trong tương lai. </w:t>
      </w:r>
    </w:p>
    <w:p w14:paraId="33694FA7" w14:textId="77777777" w:rsidR="00716E5E" w:rsidRPr="001C5993" w:rsidRDefault="00716E5E" w:rsidP="002E674A">
      <w:pPr>
        <w:jc w:val="both"/>
        <w:rPr>
          <w:rFonts w:ascii="Times New Roman" w:hAnsi="Times New Roman" w:cs="Times New Roman"/>
          <w:b/>
          <w:color w:val="000000" w:themeColor="text1"/>
        </w:rPr>
      </w:pPr>
      <w:r w:rsidRPr="001C5993">
        <w:rPr>
          <w:rFonts w:ascii="Times New Roman" w:hAnsi="Times New Roman" w:cs="Times New Roman"/>
          <w:b/>
          <w:color w:val="000000" w:themeColor="text1"/>
        </w:rPr>
        <w:t>Dự báo thị trường chứng khoán 2019</w:t>
      </w:r>
    </w:p>
    <w:p w14:paraId="6A21832C" w14:textId="77777777" w:rsidR="00716E5E" w:rsidRPr="001C5993" w:rsidRDefault="00716E5E" w:rsidP="002E674A">
      <w:pPr>
        <w:jc w:val="both"/>
        <w:rPr>
          <w:rFonts w:ascii="Times New Roman" w:eastAsia="Arial" w:hAnsi="Times New Roman" w:cs="Times New Roman"/>
          <w:i/>
          <w:color w:val="000000" w:themeColor="text1"/>
        </w:rPr>
      </w:pPr>
      <w:r w:rsidRPr="001C5993">
        <w:rPr>
          <w:rFonts w:ascii="Times New Roman" w:eastAsia="Arial" w:hAnsi="Times New Roman" w:cs="Times New Roman"/>
          <w:i/>
          <w:color w:val="000000" w:themeColor="text1"/>
        </w:rPr>
        <w:t xml:space="preserve">Chúng tôi dự báo VNINDEX sẽ kết thúc năm 2019 ở mức 990 điểm, tăng 11% so với năm 2018. </w:t>
      </w:r>
    </w:p>
    <w:p w14:paraId="22B21018" w14:textId="77777777" w:rsidR="00716E5E" w:rsidRPr="001C5993" w:rsidRDefault="00716E5E" w:rsidP="002E674A">
      <w:pPr>
        <w:spacing w:before="60" w:after="120" w:line="240" w:lineRule="auto"/>
        <w:jc w:val="both"/>
        <w:rPr>
          <w:rFonts w:ascii="Times New Roman" w:eastAsia="Times New Roman" w:hAnsi="Times New Roman" w:cs="Times New Roman"/>
          <w:color w:val="000000" w:themeColor="text1"/>
          <w:lang w:val="vi-VN"/>
        </w:rPr>
      </w:pPr>
      <w:r w:rsidRPr="001C5993">
        <w:rPr>
          <w:rFonts w:ascii="Times New Roman" w:eastAsia="Times New Roman" w:hAnsi="Times New Roman" w:cs="Times New Roman"/>
          <w:color w:val="000000" w:themeColor="text1"/>
          <w:lang w:val="vi-VN"/>
        </w:rPr>
        <w:t xml:space="preserve">Chúng tôi cho rằng P/E của VNINDEX có thể sẽ gặp những áp lực giảm trong năm 2019 do: </w:t>
      </w:r>
    </w:p>
    <w:p w14:paraId="24202BC8" w14:textId="77777777" w:rsidR="00716E5E" w:rsidRPr="001C5993" w:rsidRDefault="00716E5E" w:rsidP="002E674A">
      <w:pPr>
        <w:numPr>
          <w:ilvl w:val="0"/>
          <w:numId w:val="38"/>
        </w:numPr>
        <w:spacing w:after="0" w:line="240" w:lineRule="auto"/>
        <w:ind w:left="284"/>
        <w:jc w:val="both"/>
        <w:rPr>
          <w:rFonts w:ascii="Times New Roman" w:eastAsia="Times New Roman" w:hAnsi="Times New Roman" w:cs="Times New Roman"/>
          <w:color w:val="000000" w:themeColor="text1"/>
          <w:lang w:val="vi-VN"/>
        </w:rPr>
      </w:pPr>
      <w:r w:rsidRPr="001C5993">
        <w:rPr>
          <w:rFonts w:ascii="Times New Roman" w:eastAsia="Times New Roman" w:hAnsi="Times New Roman" w:cs="Times New Roman"/>
          <w:color w:val="000000" w:themeColor="text1"/>
          <w:lang w:val="vi-VN"/>
        </w:rPr>
        <w:t xml:space="preserve">Dòng tiền khối ngoại có thể tiếp tục rút ra từ các thị trường mới nổi và tìm đến các tài sản an toàn hơn do khả năng FED tiếp tục nâng lãi suất và triển vọng kinh tế toàn cầu xấu đi. </w:t>
      </w:r>
    </w:p>
    <w:p w14:paraId="013C60F1" w14:textId="77777777" w:rsidR="00716E5E" w:rsidRPr="001C5993" w:rsidRDefault="00716E5E" w:rsidP="002E674A">
      <w:pPr>
        <w:numPr>
          <w:ilvl w:val="0"/>
          <w:numId w:val="38"/>
        </w:numPr>
        <w:spacing w:after="0" w:line="240" w:lineRule="auto"/>
        <w:ind w:left="284"/>
        <w:jc w:val="both"/>
        <w:rPr>
          <w:rFonts w:ascii="Times New Roman" w:eastAsia="Times New Roman" w:hAnsi="Times New Roman" w:cs="Times New Roman"/>
          <w:color w:val="000000" w:themeColor="text1"/>
          <w:lang w:val="vi-VN"/>
        </w:rPr>
      </w:pPr>
      <w:r w:rsidRPr="001C5993">
        <w:rPr>
          <w:rFonts w:ascii="Times New Roman" w:eastAsia="Times New Roman" w:hAnsi="Times New Roman" w:cs="Times New Roman"/>
          <w:color w:val="000000" w:themeColor="text1"/>
          <w:lang w:val="vi-VN"/>
        </w:rPr>
        <w:t xml:space="preserve">Lợi suất trái phiếu của Việt Nam có thể tăng lên năm 2019, dù không đáng kể, cũng sẽ làm tăng chi phí vốn chủ sở hữu lên. </w:t>
      </w:r>
    </w:p>
    <w:p w14:paraId="045FA365" w14:textId="77777777" w:rsidR="00716E5E" w:rsidRPr="001C5993" w:rsidRDefault="00716E5E" w:rsidP="002E674A">
      <w:pPr>
        <w:spacing w:before="60" w:after="120" w:line="240" w:lineRule="auto"/>
        <w:jc w:val="both"/>
        <w:rPr>
          <w:rFonts w:ascii="Times New Roman" w:eastAsia="Times New Roman" w:hAnsi="Times New Roman" w:cs="Times New Roman"/>
          <w:color w:val="000000" w:themeColor="text1"/>
          <w:lang w:val="vi-VN"/>
        </w:rPr>
      </w:pPr>
      <w:r w:rsidRPr="001C5993">
        <w:rPr>
          <w:rFonts w:ascii="Times New Roman" w:eastAsia="Times New Roman" w:hAnsi="Times New Roman" w:cs="Times New Roman"/>
          <w:color w:val="000000" w:themeColor="text1"/>
          <w:lang w:val="vi-VN"/>
        </w:rPr>
        <w:t xml:space="preserve">Chúng tôi kỳ vọng P/E của thị trường có thể giảm 5% về mức 14,7x, kèm với mức tăng 16,4% của lợi nhuận các DN niêm yết đưa đến dự báo tăng trưởng khoảng 11% của chỉ số VNINDEX, tương ứng với mức 990 điểm vào cuối năm 2019. Dù vậy, chỉ số hoàn toàn có thể vượt quá mốc này trong nửa đầu 2019 nhờ những tin tức khả quan có thể được đưa ra về sự xuống thang của chiến tranh thương mại hay chính sách tài khóa mở rộng của Trung Quốc nhưng sự lạc quan có thể không được kéo dài sang 6 tháng cuối năm do khả năng nền kinh tế tiếp tục chậm lại ở Mỹ, và cũng có thể là ở Trung Quốc. </w:t>
      </w:r>
    </w:p>
    <w:p w14:paraId="267679E1" w14:textId="3EAA7FC9" w:rsidR="000713AA" w:rsidRPr="001C5993" w:rsidRDefault="00565A29" w:rsidP="002E674A">
      <w:pPr>
        <w:pStyle w:val="Heading2"/>
        <w:keepNext w:val="0"/>
        <w:keepLines w:val="0"/>
        <w:widowControl w:val="0"/>
        <w:numPr>
          <w:ilvl w:val="1"/>
          <w:numId w:val="3"/>
        </w:numPr>
        <w:spacing w:before="60" w:line="264" w:lineRule="auto"/>
        <w:ind w:left="540" w:hanging="540"/>
        <w:jc w:val="both"/>
        <w:rPr>
          <w:rFonts w:ascii="Times New Roman" w:hAnsi="Times New Roman" w:cs="Times New Roman"/>
          <w:color w:val="000000" w:themeColor="text1"/>
          <w:sz w:val="22"/>
          <w:szCs w:val="22"/>
        </w:rPr>
      </w:pPr>
      <w:r w:rsidRPr="001C5993">
        <w:rPr>
          <w:rFonts w:ascii="Times New Roman" w:hAnsi="Times New Roman" w:cs="Times New Roman"/>
          <w:color w:val="000000" w:themeColor="text1"/>
          <w:sz w:val="22"/>
          <w:szCs w:val="22"/>
        </w:rPr>
        <w:t>Mục tiêu năm 201</w:t>
      </w:r>
      <w:r w:rsidR="005A4A8D" w:rsidRPr="001C5993">
        <w:rPr>
          <w:rFonts w:ascii="Times New Roman" w:hAnsi="Times New Roman" w:cs="Times New Roman"/>
          <w:color w:val="000000" w:themeColor="text1"/>
          <w:sz w:val="22"/>
          <w:szCs w:val="22"/>
        </w:rPr>
        <w:t>9</w:t>
      </w:r>
      <w:r w:rsidR="000713AA" w:rsidRPr="001C5993">
        <w:rPr>
          <w:rFonts w:ascii="Times New Roman" w:hAnsi="Times New Roman" w:cs="Times New Roman"/>
          <w:color w:val="000000" w:themeColor="text1"/>
          <w:sz w:val="22"/>
          <w:szCs w:val="22"/>
        </w:rPr>
        <w:t>:</w:t>
      </w:r>
    </w:p>
    <w:p w14:paraId="19FA8D32" w14:textId="77777777" w:rsidR="00711C17" w:rsidRPr="001C5993" w:rsidRDefault="00711C17" w:rsidP="002E674A">
      <w:pPr>
        <w:spacing w:before="100" w:beforeAutospacing="1" w:after="100" w:afterAutospacing="1" w:line="240" w:lineRule="auto"/>
        <w:jc w:val="both"/>
        <w:rPr>
          <w:rFonts w:ascii="Times New Roman" w:hAnsi="Times New Roman" w:cs="Times New Roman"/>
          <w:color w:val="000000" w:themeColor="text1"/>
        </w:rPr>
      </w:pPr>
      <w:r w:rsidRPr="001C5993">
        <w:rPr>
          <w:rFonts w:ascii="Times New Roman" w:hAnsi="Times New Roman" w:cs="Times New Roman"/>
          <w:b/>
          <w:i/>
          <w:color w:val="000000" w:themeColor="text1"/>
        </w:rPr>
        <w:t>Thúc đẩy tăng trưởng quy mô nguồn vốn:</w:t>
      </w:r>
      <w:r w:rsidRPr="001C5993">
        <w:rPr>
          <w:rFonts w:ascii="Times New Roman" w:hAnsi="Times New Roman" w:cs="Times New Roman"/>
          <w:color w:val="000000" w:themeColor="text1"/>
        </w:rPr>
        <w:t xml:space="preserve"> Năm 2019, VNDIRECT tiếp tục huy động vốn bổ sung cho hoạt động kinh doanh thông qua việc phát hành trái phiếu với quy mô dự kiến phát hành là 1500 tỷ. VNDIRECT tiếp tục hướng tới phát hành cho các nhà đầu tư chuyên nghiệp, bao gồm các tổ chức tín dụng và các quỹ đầu tư trong và ngoài nước. </w:t>
      </w:r>
    </w:p>
    <w:p w14:paraId="3C077F9F" w14:textId="77777777" w:rsidR="00711C17" w:rsidRPr="001C5993" w:rsidRDefault="00711C17" w:rsidP="002E674A">
      <w:pPr>
        <w:spacing w:before="100" w:beforeAutospacing="1" w:after="100" w:afterAutospacing="1" w:line="240" w:lineRule="auto"/>
        <w:jc w:val="both"/>
        <w:rPr>
          <w:rFonts w:ascii="Times New Roman" w:hAnsi="Times New Roman" w:cs="Times New Roman"/>
          <w:color w:val="000000" w:themeColor="text1"/>
        </w:rPr>
      </w:pPr>
      <w:r w:rsidRPr="001C5993">
        <w:rPr>
          <w:rFonts w:ascii="Times New Roman" w:hAnsi="Times New Roman" w:cs="Times New Roman"/>
          <w:b/>
          <w:i/>
          <w:color w:val="000000" w:themeColor="text1"/>
        </w:rPr>
        <w:t>Nâng cao năng lực trong hoạt động cho vay ký quỹ và hoạt động trên thị trường vốn:</w:t>
      </w:r>
      <w:r w:rsidRPr="001C5993">
        <w:rPr>
          <w:rFonts w:ascii="Times New Roman" w:hAnsi="Times New Roman" w:cs="Times New Roman"/>
          <w:color w:val="000000" w:themeColor="text1"/>
        </w:rPr>
        <w:t xml:space="preserve"> VNDIRECT tiếp tục nâng cao năng lực nguồn vốn để phục vụ cho các nghiệp vụ cho vay ký quỹ và hoạt động đầu tư trên thị trường vốn. Trong đó, nguồn vốn phục vụ cho hoạt động cho vay ký quỹ tối đa tiếp tục được duy trì ở mức 6000 tỷ như năm 2018. Trên thị trường vốn, VNDIRECT tiếp tục tìm kiếm các cơ hội đầu từ và phân phối trên thị trường, trong đó vẫn tập trung vào các giao dịch trên thị trường trái phiếu (debt capital market).</w:t>
      </w:r>
    </w:p>
    <w:p w14:paraId="08A81F2F" w14:textId="40AF2025" w:rsidR="00F317FA" w:rsidRPr="001C5993" w:rsidRDefault="00EA7799" w:rsidP="002E674A">
      <w:pPr>
        <w:spacing w:before="60" w:after="0" w:line="264" w:lineRule="auto"/>
        <w:jc w:val="both"/>
        <w:rPr>
          <w:rFonts w:ascii="Times New Roman" w:hAnsi="Times New Roman" w:cs="Times New Roman"/>
          <w:color w:val="000000" w:themeColor="text1"/>
        </w:rPr>
      </w:pPr>
      <w:r w:rsidRPr="001C5993">
        <w:rPr>
          <w:rFonts w:ascii="Times New Roman" w:hAnsi="Times New Roman" w:cs="Times New Roman"/>
          <w:b/>
          <w:i/>
          <w:color w:val="000000" w:themeColor="text1"/>
        </w:rPr>
        <w:t xml:space="preserve">Tăng trưởng tỷ lệ </w:t>
      </w:r>
      <w:r w:rsidR="00F317FA" w:rsidRPr="001C5993">
        <w:rPr>
          <w:rFonts w:ascii="Times New Roman" w:hAnsi="Times New Roman" w:cs="Times New Roman"/>
          <w:b/>
          <w:i/>
          <w:color w:val="000000" w:themeColor="text1"/>
        </w:rPr>
        <w:t xml:space="preserve">ROE, ROA </w:t>
      </w:r>
      <w:r w:rsidRPr="001C5993">
        <w:rPr>
          <w:rFonts w:ascii="Times New Roman" w:hAnsi="Times New Roman" w:cs="Times New Roman"/>
          <w:b/>
          <w:i/>
          <w:color w:val="000000" w:themeColor="text1"/>
        </w:rPr>
        <w:t>so với năm 2018</w:t>
      </w:r>
      <w:r w:rsidR="00F317FA" w:rsidRPr="001C5993">
        <w:rPr>
          <w:rFonts w:ascii="Times New Roman" w:hAnsi="Times New Roman" w:cs="Times New Roman"/>
          <w:b/>
          <w:i/>
          <w:color w:val="000000" w:themeColor="text1"/>
        </w:rPr>
        <w:t>:</w:t>
      </w:r>
      <w:r w:rsidRPr="001C5993">
        <w:rPr>
          <w:rFonts w:ascii="Times New Roman" w:hAnsi="Times New Roman" w:cs="Times New Roman"/>
          <w:color w:val="000000" w:themeColor="text1"/>
        </w:rPr>
        <w:t xml:space="preserve"> Năm 2018</w:t>
      </w:r>
      <w:r w:rsidR="00F317FA" w:rsidRPr="001C5993">
        <w:rPr>
          <w:rFonts w:ascii="Times New Roman" w:hAnsi="Times New Roman" w:cs="Times New Roman"/>
          <w:color w:val="000000" w:themeColor="text1"/>
        </w:rPr>
        <w:t xml:space="preserve"> kết quả kinh doanh của VNDIRECT </w:t>
      </w:r>
      <w:r w:rsidRPr="001C5993">
        <w:rPr>
          <w:rFonts w:ascii="Times New Roman" w:hAnsi="Times New Roman" w:cs="Times New Roman"/>
          <w:color w:val="000000" w:themeColor="text1"/>
        </w:rPr>
        <w:t>tương đối tốt</w:t>
      </w:r>
      <w:r w:rsidR="00F317FA" w:rsidRPr="001C5993">
        <w:rPr>
          <w:rFonts w:ascii="Times New Roman" w:hAnsi="Times New Roman" w:cs="Times New Roman"/>
          <w:color w:val="000000" w:themeColor="text1"/>
        </w:rPr>
        <w:t xml:space="preserve">, ROE và ROA ở mức </w:t>
      </w:r>
      <w:r w:rsidRPr="001C5993">
        <w:rPr>
          <w:rFonts w:ascii="Times New Roman" w:hAnsi="Times New Roman" w:cs="Times New Roman"/>
          <w:color w:val="000000" w:themeColor="text1"/>
        </w:rPr>
        <w:t>trung bình.</w:t>
      </w:r>
      <w:r w:rsidR="00F317FA" w:rsidRPr="001C5993">
        <w:rPr>
          <w:rFonts w:ascii="Times New Roman" w:hAnsi="Times New Roman" w:cs="Times New Roman"/>
          <w:color w:val="000000" w:themeColor="text1"/>
        </w:rPr>
        <w:t xml:space="preserve"> VNDIRECT đặt kỳ vọng t</w:t>
      </w:r>
      <w:r w:rsidR="00CD2A59" w:rsidRPr="001C5993">
        <w:rPr>
          <w:rFonts w:ascii="Times New Roman" w:hAnsi="Times New Roman" w:cs="Times New Roman"/>
          <w:color w:val="000000" w:themeColor="text1"/>
        </w:rPr>
        <w:t>ổn</w:t>
      </w:r>
      <w:r w:rsidR="00F317FA" w:rsidRPr="001C5993">
        <w:rPr>
          <w:rFonts w:ascii="Times New Roman" w:hAnsi="Times New Roman" w:cs="Times New Roman"/>
          <w:color w:val="000000" w:themeColor="text1"/>
        </w:rPr>
        <w:t>g doanh thu năm 201</w:t>
      </w:r>
      <w:r w:rsidRPr="001C5993">
        <w:rPr>
          <w:rFonts w:ascii="Times New Roman" w:hAnsi="Times New Roman" w:cs="Times New Roman"/>
          <w:color w:val="000000" w:themeColor="text1"/>
        </w:rPr>
        <w:t>9</w:t>
      </w:r>
      <w:r w:rsidR="00F317FA" w:rsidRPr="001C5993">
        <w:rPr>
          <w:rFonts w:ascii="Times New Roman" w:hAnsi="Times New Roman" w:cs="Times New Roman"/>
          <w:color w:val="000000" w:themeColor="text1"/>
        </w:rPr>
        <w:t xml:space="preserve"> tăng trưởng tối thiểu </w:t>
      </w:r>
      <w:r w:rsidRPr="001C5993">
        <w:rPr>
          <w:rFonts w:ascii="Times New Roman" w:hAnsi="Times New Roman" w:cs="Times New Roman"/>
          <w:color w:val="000000" w:themeColor="text1"/>
        </w:rPr>
        <w:t>10</w:t>
      </w:r>
      <w:r w:rsidR="00F317FA" w:rsidRPr="001C5993">
        <w:rPr>
          <w:rFonts w:ascii="Times New Roman" w:hAnsi="Times New Roman" w:cs="Times New Roman"/>
          <w:color w:val="000000" w:themeColor="text1"/>
        </w:rPr>
        <w:t xml:space="preserve">% so với năm trước và các tỷ suất sinh lời </w:t>
      </w:r>
      <w:r w:rsidRPr="001C5993">
        <w:rPr>
          <w:rFonts w:ascii="Times New Roman" w:hAnsi="Times New Roman" w:cs="Times New Roman"/>
          <w:color w:val="000000" w:themeColor="text1"/>
        </w:rPr>
        <w:t>cao hơn so với năm 2</w:t>
      </w:r>
      <w:r w:rsidR="00F317FA" w:rsidRPr="001C5993">
        <w:rPr>
          <w:rFonts w:ascii="Times New Roman" w:hAnsi="Times New Roman" w:cs="Times New Roman"/>
          <w:color w:val="000000" w:themeColor="text1"/>
        </w:rPr>
        <w:t>01</w:t>
      </w:r>
      <w:r w:rsidRPr="001C5993">
        <w:rPr>
          <w:rFonts w:ascii="Times New Roman" w:hAnsi="Times New Roman" w:cs="Times New Roman"/>
          <w:color w:val="000000" w:themeColor="text1"/>
        </w:rPr>
        <w:t>8</w:t>
      </w:r>
      <w:r w:rsidR="00F317FA" w:rsidRPr="001C5993">
        <w:rPr>
          <w:rFonts w:ascii="Times New Roman" w:hAnsi="Times New Roman" w:cs="Times New Roman"/>
          <w:color w:val="000000" w:themeColor="text1"/>
        </w:rPr>
        <w:t>.</w:t>
      </w:r>
    </w:p>
    <w:p w14:paraId="66E8A547" w14:textId="19DE2135" w:rsidR="001B23BC" w:rsidRPr="001C5993" w:rsidRDefault="001B23BC" w:rsidP="002E674A">
      <w:pPr>
        <w:spacing w:before="60" w:after="0" w:line="264" w:lineRule="auto"/>
        <w:jc w:val="both"/>
        <w:rPr>
          <w:rFonts w:ascii="Times New Roman" w:hAnsi="Times New Roman" w:cs="Times New Roman"/>
          <w:color w:val="000000" w:themeColor="text1"/>
        </w:rPr>
      </w:pPr>
      <w:r w:rsidRPr="001C5993">
        <w:rPr>
          <w:rFonts w:ascii="Times New Roman" w:hAnsi="Times New Roman" w:cs="Times New Roman"/>
          <w:color w:val="000000" w:themeColor="text1"/>
        </w:rPr>
        <w:t xml:space="preserve">Để thực hiện được các mục tiêu trên, Công ty đẩy mạnh: </w:t>
      </w:r>
    </w:p>
    <w:p w14:paraId="27439CF0" w14:textId="77777777" w:rsidR="001B23BC" w:rsidRPr="001C5993" w:rsidRDefault="001B23BC" w:rsidP="002E674A">
      <w:pPr>
        <w:pStyle w:val="ListParagraph"/>
        <w:numPr>
          <w:ilvl w:val="0"/>
          <w:numId w:val="40"/>
        </w:numPr>
        <w:spacing w:before="60" w:after="60" w:line="300" w:lineRule="auto"/>
        <w:ind w:hanging="357"/>
        <w:jc w:val="both"/>
        <w:rPr>
          <w:rFonts w:ascii="Times New Roman" w:hAnsi="Times New Roman" w:cs="Times New Roman"/>
          <w:color w:val="000000" w:themeColor="text1"/>
        </w:rPr>
      </w:pPr>
      <w:r w:rsidRPr="001C5993">
        <w:rPr>
          <w:rFonts w:ascii="Times New Roman" w:hAnsi="Times New Roman" w:cs="Times New Roman"/>
          <w:color w:val="000000" w:themeColor="text1"/>
        </w:rPr>
        <w:t>Tăng cường hiệu quả và giám sát chất lượng hoạt động kinh doanh</w:t>
      </w:r>
    </w:p>
    <w:p w14:paraId="5FE05E27" w14:textId="77777777" w:rsidR="001B23BC" w:rsidRPr="001C5993" w:rsidRDefault="001B23BC" w:rsidP="002E674A">
      <w:pPr>
        <w:pStyle w:val="ListParagraph"/>
        <w:numPr>
          <w:ilvl w:val="0"/>
          <w:numId w:val="40"/>
        </w:numPr>
        <w:spacing w:before="60" w:after="60" w:line="300" w:lineRule="auto"/>
        <w:ind w:hanging="357"/>
        <w:jc w:val="both"/>
        <w:rPr>
          <w:rFonts w:ascii="Times New Roman" w:hAnsi="Times New Roman" w:cs="Times New Roman"/>
          <w:color w:val="000000" w:themeColor="text1"/>
        </w:rPr>
      </w:pPr>
      <w:r w:rsidRPr="001C5993">
        <w:rPr>
          <w:rFonts w:ascii="Times New Roman" w:hAnsi="Times New Roman" w:cs="Times New Roman"/>
          <w:color w:val="000000" w:themeColor="text1"/>
        </w:rPr>
        <w:t>Xây dựng năng lực tổ chức và nguồn lực kinh doanh</w:t>
      </w:r>
    </w:p>
    <w:p w14:paraId="4A993F6F" w14:textId="77777777" w:rsidR="001B23BC" w:rsidRPr="001C5993" w:rsidRDefault="001B23BC" w:rsidP="002E674A">
      <w:pPr>
        <w:pStyle w:val="ListParagraph"/>
        <w:numPr>
          <w:ilvl w:val="0"/>
          <w:numId w:val="40"/>
        </w:numPr>
        <w:spacing w:before="60" w:after="60" w:line="300" w:lineRule="auto"/>
        <w:ind w:hanging="357"/>
        <w:jc w:val="both"/>
        <w:rPr>
          <w:rFonts w:ascii="Times New Roman" w:hAnsi="Times New Roman" w:cs="Times New Roman"/>
          <w:color w:val="000000" w:themeColor="text1"/>
        </w:rPr>
      </w:pPr>
      <w:r w:rsidRPr="001C5993">
        <w:rPr>
          <w:rFonts w:ascii="Times New Roman" w:hAnsi="Times New Roman" w:cs="Times New Roman"/>
          <w:color w:val="000000" w:themeColor="text1"/>
        </w:rPr>
        <w:t>Nhiệm vụ đầu tư nền tảng chuyển dịch sang nền tảng kinh doanh số</w:t>
      </w:r>
    </w:p>
    <w:p w14:paraId="0DF229D1" w14:textId="77777777" w:rsidR="001B23BC" w:rsidRPr="001C5993" w:rsidRDefault="001B23BC" w:rsidP="002E674A">
      <w:pPr>
        <w:pStyle w:val="ListParagraph"/>
        <w:numPr>
          <w:ilvl w:val="0"/>
          <w:numId w:val="40"/>
        </w:numPr>
        <w:spacing w:before="60" w:after="60" w:line="312" w:lineRule="auto"/>
        <w:contextualSpacing/>
        <w:jc w:val="both"/>
        <w:rPr>
          <w:rFonts w:ascii="Times New Roman" w:hAnsi="Times New Roman" w:cs="Times New Roman"/>
          <w:color w:val="000000" w:themeColor="text1"/>
        </w:rPr>
      </w:pPr>
      <w:r w:rsidRPr="001C5993">
        <w:rPr>
          <w:rFonts w:ascii="Times New Roman" w:hAnsi="Times New Roman" w:cs="Times New Roman"/>
          <w:color w:val="000000" w:themeColor="text1"/>
        </w:rPr>
        <w:t>Đa dạng hóa dịch vụ chứng khoán</w:t>
      </w:r>
    </w:p>
    <w:p w14:paraId="34C11256" w14:textId="404EB042" w:rsidR="000713AA" w:rsidRPr="001C5993" w:rsidRDefault="002F15D1" w:rsidP="002E674A">
      <w:pPr>
        <w:pStyle w:val="Heading2"/>
        <w:keepNext w:val="0"/>
        <w:keepLines w:val="0"/>
        <w:widowControl w:val="0"/>
        <w:numPr>
          <w:ilvl w:val="1"/>
          <w:numId w:val="3"/>
        </w:numPr>
        <w:spacing w:before="60" w:line="264" w:lineRule="auto"/>
        <w:ind w:left="540" w:hanging="540"/>
        <w:jc w:val="both"/>
        <w:rPr>
          <w:rFonts w:ascii="Times New Roman" w:hAnsi="Times New Roman" w:cs="Times New Roman"/>
          <w:color w:val="000000" w:themeColor="text1"/>
          <w:sz w:val="22"/>
          <w:szCs w:val="22"/>
        </w:rPr>
      </w:pPr>
      <w:r w:rsidRPr="001C5993">
        <w:rPr>
          <w:rFonts w:ascii="Times New Roman" w:hAnsi="Times New Roman" w:cs="Times New Roman"/>
          <w:color w:val="000000" w:themeColor="text1"/>
          <w:sz w:val="22"/>
          <w:szCs w:val="22"/>
        </w:rPr>
        <w:t>K</w:t>
      </w:r>
      <w:r w:rsidR="000713AA" w:rsidRPr="001C5993">
        <w:rPr>
          <w:rFonts w:ascii="Times New Roman" w:hAnsi="Times New Roman" w:cs="Times New Roman"/>
          <w:color w:val="000000" w:themeColor="text1"/>
          <w:sz w:val="22"/>
          <w:szCs w:val="22"/>
        </w:rPr>
        <w:t xml:space="preserve">ế hoạch </w:t>
      </w:r>
      <w:r w:rsidRPr="001C5993">
        <w:rPr>
          <w:rFonts w:ascii="Times New Roman" w:hAnsi="Times New Roman" w:cs="Times New Roman"/>
          <w:color w:val="000000" w:themeColor="text1"/>
          <w:sz w:val="22"/>
          <w:szCs w:val="22"/>
        </w:rPr>
        <w:t xml:space="preserve">lợi nhuận năm </w:t>
      </w:r>
      <w:r w:rsidR="000713AA" w:rsidRPr="001C5993">
        <w:rPr>
          <w:rFonts w:ascii="Times New Roman" w:hAnsi="Times New Roman" w:cs="Times New Roman"/>
          <w:color w:val="000000" w:themeColor="text1"/>
          <w:sz w:val="22"/>
          <w:szCs w:val="22"/>
        </w:rPr>
        <w:t>201</w:t>
      </w:r>
      <w:r w:rsidR="00EA7799" w:rsidRPr="001C5993">
        <w:rPr>
          <w:rFonts w:ascii="Times New Roman" w:hAnsi="Times New Roman" w:cs="Times New Roman"/>
          <w:color w:val="000000" w:themeColor="text1"/>
          <w:sz w:val="22"/>
          <w:szCs w:val="22"/>
        </w:rPr>
        <w:t>9</w:t>
      </w:r>
    </w:p>
    <w:p w14:paraId="6DE932EC" w14:textId="48099C6A" w:rsidR="000713AA" w:rsidRPr="001C5993" w:rsidRDefault="002F15D1" w:rsidP="002E674A">
      <w:pPr>
        <w:pStyle w:val="ListParagraph"/>
        <w:spacing w:before="60" w:after="0" w:line="264" w:lineRule="auto"/>
        <w:ind w:left="0"/>
        <w:jc w:val="both"/>
        <w:rPr>
          <w:rFonts w:ascii="Times New Roman" w:hAnsi="Times New Roman" w:cs="Times New Roman"/>
          <w:color w:val="000000" w:themeColor="text1"/>
        </w:rPr>
      </w:pPr>
      <w:r w:rsidRPr="001C5993">
        <w:rPr>
          <w:rFonts w:ascii="Times New Roman" w:hAnsi="Times New Roman" w:cs="Times New Roman"/>
          <w:color w:val="000000" w:themeColor="text1"/>
        </w:rPr>
        <w:t>Trong năm 201</w:t>
      </w:r>
      <w:r w:rsidR="00EA7799" w:rsidRPr="001C5993">
        <w:rPr>
          <w:rFonts w:ascii="Times New Roman" w:hAnsi="Times New Roman" w:cs="Times New Roman"/>
          <w:color w:val="000000" w:themeColor="text1"/>
        </w:rPr>
        <w:t>9</w:t>
      </w:r>
      <w:r w:rsidRPr="001C5993">
        <w:rPr>
          <w:rFonts w:ascii="Times New Roman" w:hAnsi="Times New Roman" w:cs="Times New Roman"/>
          <w:color w:val="000000" w:themeColor="text1"/>
        </w:rPr>
        <w:t xml:space="preserve"> </w:t>
      </w:r>
      <w:r w:rsidR="006F3417" w:rsidRPr="001C5993">
        <w:rPr>
          <w:rFonts w:ascii="Times New Roman" w:hAnsi="Times New Roman" w:cs="Times New Roman"/>
          <w:color w:val="000000" w:themeColor="text1"/>
        </w:rPr>
        <w:t>Công ty</w:t>
      </w:r>
      <w:r w:rsidR="000713AA" w:rsidRPr="001C5993">
        <w:rPr>
          <w:rFonts w:ascii="Times New Roman" w:hAnsi="Times New Roman" w:cs="Times New Roman"/>
          <w:color w:val="000000" w:themeColor="text1"/>
        </w:rPr>
        <w:t xml:space="preserve"> </w:t>
      </w:r>
      <w:r w:rsidRPr="001C5993">
        <w:rPr>
          <w:rFonts w:ascii="Times New Roman" w:hAnsi="Times New Roman" w:cs="Times New Roman"/>
          <w:color w:val="000000" w:themeColor="text1"/>
        </w:rPr>
        <w:t xml:space="preserve">đặt kế hoạch lợi nhuận sau thuế (hợp nhất) </w:t>
      </w:r>
      <w:r w:rsidR="000713AA" w:rsidRPr="001C5993">
        <w:rPr>
          <w:rFonts w:ascii="Times New Roman" w:hAnsi="Times New Roman" w:cs="Times New Roman"/>
          <w:color w:val="000000" w:themeColor="text1"/>
        </w:rPr>
        <w:t>như sau:</w:t>
      </w:r>
    </w:p>
    <w:tbl>
      <w:tblPr>
        <w:tblW w:w="9270" w:type="dxa"/>
        <w:tblInd w:w="108" w:type="dxa"/>
        <w:tblLook w:val="04A0" w:firstRow="1" w:lastRow="0" w:firstColumn="1" w:lastColumn="0" w:noHBand="0" w:noVBand="1"/>
      </w:tblPr>
      <w:tblGrid>
        <w:gridCol w:w="943"/>
        <w:gridCol w:w="3107"/>
        <w:gridCol w:w="1620"/>
        <w:gridCol w:w="1620"/>
        <w:gridCol w:w="1980"/>
      </w:tblGrid>
      <w:tr w:rsidR="001C5993" w:rsidRPr="001C5993" w14:paraId="2B700BB9" w14:textId="77777777" w:rsidTr="00AC4577">
        <w:trPr>
          <w:trHeight w:val="315"/>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38517" w14:textId="77777777" w:rsidR="00AC4577" w:rsidRPr="001C5993" w:rsidRDefault="00AC4577" w:rsidP="009864C9">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STT</w:t>
            </w:r>
          </w:p>
        </w:tc>
        <w:tc>
          <w:tcPr>
            <w:tcW w:w="3107" w:type="dxa"/>
            <w:tcBorders>
              <w:top w:val="single" w:sz="4" w:space="0" w:color="auto"/>
              <w:left w:val="nil"/>
              <w:bottom w:val="single" w:sz="4" w:space="0" w:color="auto"/>
              <w:right w:val="single" w:sz="4" w:space="0" w:color="auto"/>
            </w:tcBorders>
            <w:shd w:val="clear" w:color="auto" w:fill="auto"/>
            <w:noWrap/>
            <w:vAlign w:val="bottom"/>
            <w:hideMark/>
          </w:tcPr>
          <w:p w14:paraId="6D2598D9" w14:textId="4A94CED8" w:rsidR="00AC4577" w:rsidRPr="001C5993" w:rsidRDefault="00AC4577" w:rsidP="009864C9">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Chỉ tiêu</w:t>
            </w:r>
            <w:r w:rsidR="002F15D1" w:rsidRPr="001C5993">
              <w:rPr>
                <w:rFonts w:ascii="Times New Roman" w:eastAsia="Times New Roman" w:hAnsi="Times New Roman" w:cs="Times New Roman"/>
                <w:b/>
                <w:bCs/>
                <w:color w:val="000000" w:themeColor="text1"/>
              </w:rPr>
              <w:t xml:space="preserve"> </w:t>
            </w:r>
            <w:r w:rsidRPr="001C5993">
              <w:rPr>
                <w:rFonts w:ascii="Times New Roman" w:eastAsia="Times New Roman" w:hAnsi="Times New Roman" w:cs="Times New Roman"/>
                <w:b/>
                <w:bCs/>
                <w:color w:val="000000" w:themeColor="text1"/>
              </w:rPr>
              <w:t>(Tỷ đồng)</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665A056" w14:textId="4E574123" w:rsidR="00AC4577" w:rsidRPr="001C5993" w:rsidRDefault="00AC4577" w:rsidP="009864C9">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 xml:space="preserve">Kế hoạch </w:t>
            </w:r>
            <w:r w:rsidR="00D77B50" w:rsidRPr="001C5993">
              <w:rPr>
                <w:rFonts w:ascii="Times New Roman" w:eastAsia="Times New Roman" w:hAnsi="Times New Roman" w:cs="Times New Roman"/>
                <w:b/>
                <w:bCs/>
                <w:color w:val="000000" w:themeColor="text1"/>
              </w:rPr>
              <w:t>201</w:t>
            </w:r>
            <w:r w:rsidR="00CD2A59" w:rsidRPr="001C5993">
              <w:rPr>
                <w:rFonts w:ascii="Times New Roman" w:eastAsia="Times New Roman" w:hAnsi="Times New Roman" w:cs="Times New Roman"/>
                <w:b/>
                <w:bCs/>
                <w:color w:val="000000" w:themeColor="text1"/>
              </w:rPr>
              <w:t>9</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3C4E57A" w14:textId="0FCBF758" w:rsidR="00AC4577" w:rsidRPr="001C5993" w:rsidRDefault="00AC4577" w:rsidP="009864C9">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 xml:space="preserve">Thực hiện </w:t>
            </w:r>
            <w:r w:rsidR="00D77B50" w:rsidRPr="001C5993">
              <w:rPr>
                <w:rFonts w:ascii="Times New Roman" w:eastAsia="Times New Roman" w:hAnsi="Times New Roman" w:cs="Times New Roman"/>
                <w:b/>
                <w:bCs/>
                <w:color w:val="000000" w:themeColor="text1"/>
              </w:rPr>
              <w:t>201</w:t>
            </w:r>
            <w:r w:rsidR="00CD2A59" w:rsidRPr="001C5993">
              <w:rPr>
                <w:rFonts w:ascii="Times New Roman" w:eastAsia="Times New Roman" w:hAnsi="Times New Roman" w:cs="Times New Roman"/>
                <w:b/>
                <w:bCs/>
                <w:color w:val="000000" w:themeColor="text1"/>
              </w:rPr>
              <w:t>8</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3A431D2" w14:textId="77777777" w:rsidR="00AC4577" w:rsidRPr="001C5993" w:rsidRDefault="00AC4577" w:rsidP="009864C9">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Tăng trưởng</w:t>
            </w:r>
          </w:p>
          <w:p w14:paraId="4D17F71E" w14:textId="10A04E20" w:rsidR="00AC4577" w:rsidRPr="001C5993" w:rsidRDefault="00CD2A59" w:rsidP="009864C9">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eastAsia="Times New Roman" w:hAnsi="Times New Roman" w:cs="Times New Roman"/>
                <w:b/>
                <w:bCs/>
                <w:color w:val="000000" w:themeColor="text1"/>
              </w:rPr>
              <w:t>so với 2018</w:t>
            </w:r>
          </w:p>
        </w:tc>
      </w:tr>
      <w:tr w:rsidR="001C5993" w:rsidRPr="001C5993" w14:paraId="68C88D6B" w14:textId="77777777" w:rsidTr="00AC4577">
        <w:trPr>
          <w:trHeight w:val="315"/>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E792C" w14:textId="77777777" w:rsidR="0030534C" w:rsidRPr="001C5993" w:rsidRDefault="0030534C" w:rsidP="002E674A">
            <w:pPr>
              <w:spacing w:before="60" w:after="0" w:line="264" w:lineRule="auto"/>
              <w:jc w:val="both"/>
              <w:rPr>
                <w:rFonts w:ascii="Times New Roman" w:eastAsia="Times New Roman" w:hAnsi="Times New Roman" w:cs="Times New Roman"/>
                <w:bCs/>
                <w:color w:val="000000" w:themeColor="text1"/>
              </w:rPr>
            </w:pPr>
            <w:r w:rsidRPr="001C5993">
              <w:rPr>
                <w:rFonts w:ascii="Times New Roman" w:eastAsia="Times New Roman" w:hAnsi="Times New Roman" w:cs="Times New Roman"/>
                <w:bCs/>
                <w:color w:val="000000" w:themeColor="text1"/>
              </w:rPr>
              <w:t>1</w:t>
            </w:r>
          </w:p>
        </w:tc>
        <w:tc>
          <w:tcPr>
            <w:tcW w:w="3107" w:type="dxa"/>
            <w:tcBorders>
              <w:top w:val="single" w:sz="4" w:space="0" w:color="auto"/>
              <w:left w:val="nil"/>
              <w:bottom w:val="single" w:sz="4" w:space="0" w:color="auto"/>
              <w:right w:val="single" w:sz="4" w:space="0" w:color="auto"/>
            </w:tcBorders>
            <w:shd w:val="clear" w:color="auto" w:fill="auto"/>
            <w:noWrap/>
            <w:vAlign w:val="bottom"/>
          </w:tcPr>
          <w:p w14:paraId="02FB52F9" w14:textId="1A36B507" w:rsidR="0030534C" w:rsidRPr="001C5993" w:rsidRDefault="0030534C" w:rsidP="002E674A">
            <w:pPr>
              <w:spacing w:before="60" w:after="0" w:line="264" w:lineRule="auto"/>
              <w:jc w:val="both"/>
              <w:rPr>
                <w:rFonts w:ascii="Times New Roman" w:eastAsia="Times New Roman" w:hAnsi="Times New Roman" w:cs="Times New Roman"/>
                <w:bCs/>
                <w:color w:val="000000" w:themeColor="text1"/>
              </w:rPr>
            </w:pPr>
            <w:r w:rsidRPr="001C5993">
              <w:rPr>
                <w:rFonts w:ascii="Times New Roman" w:hAnsi="Times New Roman" w:cs="Times New Roman"/>
                <w:color w:val="000000" w:themeColor="text1"/>
              </w:rPr>
              <w:t xml:space="preserve">Doanh thu </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7EAAC098" w14:textId="22355813" w:rsidR="0030534C" w:rsidRPr="001C5993" w:rsidRDefault="0030534C" w:rsidP="009864C9">
            <w:pPr>
              <w:spacing w:before="60" w:after="0" w:line="264" w:lineRule="auto"/>
              <w:jc w:val="center"/>
              <w:rPr>
                <w:rFonts w:ascii="Times New Roman" w:eastAsia="Times New Roman" w:hAnsi="Times New Roman" w:cs="Times New Roman"/>
                <w:bCs/>
                <w:color w:val="000000" w:themeColor="text1"/>
              </w:rPr>
            </w:pPr>
            <w:r w:rsidRPr="001C5993">
              <w:rPr>
                <w:rFonts w:ascii="Times New Roman" w:hAnsi="Times New Roman" w:cs="Times New Roman"/>
                <w:color w:val="000000" w:themeColor="text1"/>
              </w:rPr>
              <w:t>1,797</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77AB7284" w14:textId="28B8DCFE" w:rsidR="0030534C" w:rsidRPr="001C5993" w:rsidRDefault="0030534C" w:rsidP="009864C9">
            <w:pPr>
              <w:spacing w:before="60" w:after="0" w:line="264" w:lineRule="auto"/>
              <w:jc w:val="center"/>
              <w:rPr>
                <w:rFonts w:ascii="Times New Roman" w:eastAsia="Times New Roman" w:hAnsi="Times New Roman" w:cs="Times New Roman"/>
                <w:bCs/>
                <w:color w:val="000000" w:themeColor="text1"/>
              </w:rPr>
            </w:pPr>
            <w:r w:rsidRPr="001C5993">
              <w:rPr>
                <w:rFonts w:ascii="Times New Roman" w:hAnsi="Times New Roman" w:cs="Times New Roman"/>
                <w:color w:val="000000" w:themeColor="text1"/>
              </w:rPr>
              <w:t>1,635</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7552712" w14:textId="56ECACEE" w:rsidR="0030534C" w:rsidRPr="001C5993" w:rsidRDefault="0030534C" w:rsidP="009864C9">
            <w:pPr>
              <w:spacing w:before="60" w:after="0" w:line="264" w:lineRule="auto"/>
              <w:jc w:val="center"/>
              <w:rPr>
                <w:rFonts w:ascii="Times New Roman" w:eastAsia="Times New Roman" w:hAnsi="Times New Roman" w:cs="Times New Roman"/>
                <w:bCs/>
                <w:color w:val="000000" w:themeColor="text1"/>
              </w:rPr>
            </w:pPr>
            <w:r w:rsidRPr="001C5993">
              <w:rPr>
                <w:rFonts w:ascii="Times New Roman" w:hAnsi="Times New Roman" w:cs="Times New Roman"/>
                <w:color w:val="000000" w:themeColor="text1"/>
              </w:rPr>
              <w:t>10%</w:t>
            </w:r>
          </w:p>
        </w:tc>
      </w:tr>
      <w:tr w:rsidR="001C5993" w:rsidRPr="001C5993" w14:paraId="62738EC3" w14:textId="77777777" w:rsidTr="00AC4577">
        <w:trPr>
          <w:trHeight w:val="315"/>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C5BA6" w14:textId="670B5FE5" w:rsidR="0030534C" w:rsidRPr="001C5993" w:rsidRDefault="0030534C" w:rsidP="002E674A">
            <w:pPr>
              <w:spacing w:before="60" w:after="0" w:line="264" w:lineRule="auto"/>
              <w:jc w:val="both"/>
              <w:rPr>
                <w:rFonts w:ascii="Times New Roman" w:eastAsia="Times New Roman" w:hAnsi="Times New Roman" w:cs="Times New Roman"/>
                <w:bCs/>
                <w:color w:val="000000" w:themeColor="text1"/>
              </w:rPr>
            </w:pPr>
            <w:r w:rsidRPr="001C5993">
              <w:rPr>
                <w:rFonts w:ascii="Times New Roman" w:eastAsia="Times New Roman" w:hAnsi="Times New Roman" w:cs="Times New Roman"/>
                <w:bCs/>
                <w:color w:val="000000" w:themeColor="text1"/>
              </w:rPr>
              <w:t>2</w:t>
            </w:r>
          </w:p>
        </w:tc>
        <w:tc>
          <w:tcPr>
            <w:tcW w:w="3107" w:type="dxa"/>
            <w:tcBorders>
              <w:top w:val="single" w:sz="4" w:space="0" w:color="auto"/>
              <w:left w:val="nil"/>
              <w:bottom w:val="single" w:sz="4" w:space="0" w:color="auto"/>
              <w:right w:val="single" w:sz="4" w:space="0" w:color="auto"/>
            </w:tcBorders>
            <w:shd w:val="clear" w:color="auto" w:fill="auto"/>
            <w:noWrap/>
            <w:vAlign w:val="bottom"/>
          </w:tcPr>
          <w:p w14:paraId="6B74D5F4" w14:textId="3FCB9F97" w:rsidR="0030534C" w:rsidRPr="001C5993" w:rsidRDefault="0030534C" w:rsidP="002E674A">
            <w:pPr>
              <w:spacing w:before="60" w:after="0" w:line="264" w:lineRule="auto"/>
              <w:jc w:val="both"/>
              <w:rPr>
                <w:rFonts w:ascii="Times New Roman" w:eastAsia="Times New Roman" w:hAnsi="Times New Roman" w:cs="Times New Roman"/>
                <w:bCs/>
                <w:color w:val="000000" w:themeColor="text1"/>
              </w:rPr>
            </w:pPr>
            <w:r w:rsidRPr="001C5993">
              <w:rPr>
                <w:rFonts w:ascii="Times New Roman" w:hAnsi="Times New Roman" w:cs="Times New Roman"/>
                <w:color w:val="000000" w:themeColor="text1"/>
              </w:rPr>
              <w:t xml:space="preserve">Chi phí </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7C40EBFF" w14:textId="201F87C4" w:rsidR="0030534C" w:rsidRPr="001C5993" w:rsidRDefault="0030534C" w:rsidP="009864C9">
            <w:pPr>
              <w:spacing w:before="60" w:after="0" w:line="264" w:lineRule="auto"/>
              <w:jc w:val="center"/>
              <w:rPr>
                <w:rFonts w:ascii="Times New Roman" w:eastAsia="Times New Roman" w:hAnsi="Times New Roman" w:cs="Times New Roman"/>
                <w:bCs/>
                <w:color w:val="000000" w:themeColor="text1"/>
              </w:rPr>
            </w:pPr>
            <w:r w:rsidRPr="001C5993">
              <w:rPr>
                <w:rFonts w:ascii="Times New Roman" w:hAnsi="Times New Roman" w:cs="Times New Roman"/>
                <w:color w:val="000000" w:themeColor="text1"/>
              </w:rPr>
              <w:t>1,187</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61AA874D" w14:textId="71ACA0B0" w:rsidR="0030534C" w:rsidRPr="001C5993" w:rsidRDefault="0030534C" w:rsidP="009864C9">
            <w:pPr>
              <w:spacing w:before="60" w:after="0" w:line="264" w:lineRule="auto"/>
              <w:jc w:val="center"/>
              <w:rPr>
                <w:rFonts w:ascii="Times New Roman" w:eastAsia="Times New Roman" w:hAnsi="Times New Roman" w:cs="Times New Roman"/>
                <w:bCs/>
                <w:color w:val="000000" w:themeColor="text1"/>
              </w:rPr>
            </w:pPr>
            <w:r w:rsidRPr="001C5993">
              <w:rPr>
                <w:rFonts w:ascii="Times New Roman" w:hAnsi="Times New Roman" w:cs="Times New Roman"/>
                <w:color w:val="000000" w:themeColor="text1"/>
              </w:rPr>
              <w:t>1,197</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61583F1" w14:textId="7D5064F4" w:rsidR="0030534C" w:rsidRPr="001C5993" w:rsidRDefault="0030534C" w:rsidP="009864C9">
            <w:pPr>
              <w:spacing w:before="60" w:after="0" w:line="264" w:lineRule="auto"/>
              <w:jc w:val="center"/>
              <w:rPr>
                <w:rFonts w:ascii="Times New Roman" w:eastAsia="Times New Roman" w:hAnsi="Times New Roman" w:cs="Times New Roman"/>
                <w:bCs/>
                <w:color w:val="000000" w:themeColor="text1"/>
              </w:rPr>
            </w:pPr>
            <w:r w:rsidRPr="001C5993">
              <w:rPr>
                <w:rFonts w:ascii="Times New Roman" w:hAnsi="Times New Roman" w:cs="Times New Roman"/>
                <w:color w:val="000000" w:themeColor="text1"/>
              </w:rPr>
              <w:t>-1%</w:t>
            </w:r>
          </w:p>
        </w:tc>
      </w:tr>
      <w:tr w:rsidR="001C5993" w:rsidRPr="001C5993" w14:paraId="0DBC84AB" w14:textId="77777777" w:rsidTr="00AC4577">
        <w:trPr>
          <w:trHeight w:val="315"/>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8F0DC" w14:textId="67643BF8" w:rsidR="0030534C" w:rsidRPr="001C5993" w:rsidRDefault="0030534C" w:rsidP="002E674A">
            <w:pPr>
              <w:spacing w:before="60" w:after="0" w:line="264" w:lineRule="auto"/>
              <w:jc w:val="both"/>
              <w:rPr>
                <w:rFonts w:ascii="Times New Roman" w:eastAsia="Times New Roman" w:hAnsi="Times New Roman" w:cs="Times New Roman"/>
                <w:bCs/>
                <w:color w:val="000000" w:themeColor="text1"/>
              </w:rPr>
            </w:pPr>
            <w:r w:rsidRPr="001C5993">
              <w:rPr>
                <w:rFonts w:ascii="Times New Roman" w:eastAsia="Times New Roman" w:hAnsi="Times New Roman" w:cs="Times New Roman"/>
                <w:bCs/>
                <w:color w:val="000000" w:themeColor="text1"/>
              </w:rPr>
              <w:t>3</w:t>
            </w:r>
          </w:p>
        </w:tc>
        <w:tc>
          <w:tcPr>
            <w:tcW w:w="3107" w:type="dxa"/>
            <w:tcBorders>
              <w:top w:val="single" w:sz="4" w:space="0" w:color="auto"/>
              <w:left w:val="nil"/>
              <w:bottom w:val="single" w:sz="4" w:space="0" w:color="auto"/>
              <w:right w:val="single" w:sz="4" w:space="0" w:color="auto"/>
            </w:tcBorders>
            <w:shd w:val="clear" w:color="auto" w:fill="auto"/>
            <w:noWrap/>
            <w:vAlign w:val="bottom"/>
          </w:tcPr>
          <w:p w14:paraId="43ACF82C" w14:textId="46D14E31" w:rsidR="0030534C" w:rsidRPr="001C5993" w:rsidRDefault="0030534C" w:rsidP="002E674A">
            <w:pPr>
              <w:spacing w:before="60" w:after="0" w:line="264" w:lineRule="auto"/>
              <w:jc w:val="both"/>
              <w:rPr>
                <w:rFonts w:ascii="Times New Roman" w:eastAsia="Times New Roman" w:hAnsi="Times New Roman" w:cs="Times New Roman"/>
                <w:bCs/>
                <w:color w:val="000000" w:themeColor="text1"/>
              </w:rPr>
            </w:pPr>
            <w:r w:rsidRPr="001C5993">
              <w:rPr>
                <w:rFonts w:ascii="Times New Roman" w:hAnsi="Times New Roman" w:cs="Times New Roman"/>
                <w:b/>
                <w:bCs/>
                <w:color w:val="000000" w:themeColor="text1"/>
              </w:rPr>
              <w:t>Lợi nhuận sau thuế</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5DB97810" w14:textId="6377B4C1" w:rsidR="0030534C" w:rsidRPr="001C5993" w:rsidRDefault="0030534C" w:rsidP="009864C9">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hAnsi="Times New Roman" w:cs="Times New Roman"/>
                <w:b/>
                <w:color w:val="000000" w:themeColor="text1"/>
              </w:rPr>
              <w:t>487</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2F3FF3FA" w14:textId="7414496F" w:rsidR="0030534C" w:rsidRPr="001C5993" w:rsidRDefault="0030534C" w:rsidP="009864C9">
            <w:pPr>
              <w:spacing w:before="60" w:after="0" w:line="264" w:lineRule="auto"/>
              <w:jc w:val="center"/>
              <w:rPr>
                <w:rFonts w:ascii="Times New Roman" w:eastAsia="Times New Roman" w:hAnsi="Times New Roman" w:cs="Times New Roman"/>
                <w:b/>
                <w:bCs/>
                <w:color w:val="000000" w:themeColor="text1"/>
              </w:rPr>
            </w:pPr>
            <w:r w:rsidRPr="001C5993">
              <w:rPr>
                <w:rFonts w:ascii="Times New Roman" w:hAnsi="Times New Roman" w:cs="Times New Roman"/>
                <w:b/>
                <w:color w:val="000000" w:themeColor="text1"/>
              </w:rPr>
              <w:t>373</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37F8274" w14:textId="2FE8D695" w:rsidR="0030534C" w:rsidRPr="001C5993" w:rsidRDefault="0030534C" w:rsidP="009864C9">
            <w:pPr>
              <w:spacing w:before="60" w:after="0" w:line="264" w:lineRule="auto"/>
              <w:jc w:val="center"/>
              <w:rPr>
                <w:rFonts w:ascii="Times New Roman" w:eastAsia="Times New Roman" w:hAnsi="Times New Roman" w:cs="Times New Roman"/>
                <w:bCs/>
                <w:color w:val="000000" w:themeColor="text1"/>
              </w:rPr>
            </w:pPr>
            <w:r w:rsidRPr="001C5993">
              <w:rPr>
                <w:rFonts w:ascii="Times New Roman" w:hAnsi="Times New Roman" w:cs="Times New Roman"/>
                <w:b/>
                <w:bCs/>
                <w:color w:val="000000" w:themeColor="text1"/>
              </w:rPr>
              <w:t>31%</w:t>
            </w:r>
          </w:p>
        </w:tc>
      </w:tr>
    </w:tbl>
    <w:p w14:paraId="49DE55E2" w14:textId="77777777" w:rsidR="00F62D98" w:rsidRPr="001C5993" w:rsidRDefault="00F62D98" w:rsidP="002E674A">
      <w:pPr>
        <w:spacing w:before="60" w:after="0" w:line="264" w:lineRule="auto"/>
        <w:jc w:val="both"/>
        <w:rPr>
          <w:rFonts w:ascii="Times New Roman" w:hAnsi="Times New Roman" w:cs="Times New Roman"/>
          <w:color w:val="000000" w:themeColor="text1"/>
        </w:rPr>
      </w:pPr>
    </w:p>
    <w:p w14:paraId="70E61E54" w14:textId="4ED4592E" w:rsidR="000713AA" w:rsidRPr="001C5993" w:rsidRDefault="000713AA" w:rsidP="002E674A">
      <w:pPr>
        <w:spacing w:before="60" w:after="0" w:line="264" w:lineRule="auto"/>
        <w:jc w:val="both"/>
        <w:rPr>
          <w:rFonts w:ascii="Times New Roman" w:hAnsi="Times New Roman" w:cs="Times New Roman"/>
          <w:color w:val="000000" w:themeColor="text1"/>
        </w:rPr>
      </w:pPr>
      <w:r w:rsidRPr="001C5993">
        <w:rPr>
          <w:rFonts w:ascii="Times New Roman" w:hAnsi="Times New Roman" w:cs="Times New Roman"/>
          <w:color w:val="000000" w:themeColor="text1"/>
        </w:rPr>
        <w:t>Trên đây là báo cáo tình hình kết quả kinh doanh năm 201</w:t>
      </w:r>
      <w:r w:rsidR="00CD2A59" w:rsidRPr="001C5993">
        <w:rPr>
          <w:rFonts w:ascii="Times New Roman" w:hAnsi="Times New Roman" w:cs="Times New Roman"/>
          <w:color w:val="000000" w:themeColor="text1"/>
        </w:rPr>
        <w:t>8</w:t>
      </w:r>
      <w:r w:rsidRPr="001C5993">
        <w:rPr>
          <w:rFonts w:ascii="Times New Roman" w:hAnsi="Times New Roman" w:cs="Times New Roman"/>
          <w:color w:val="000000" w:themeColor="text1"/>
        </w:rPr>
        <w:t xml:space="preserve"> </w:t>
      </w:r>
      <w:r w:rsidR="00BC5BBD" w:rsidRPr="001C5993">
        <w:rPr>
          <w:rFonts w:ascii="Times New Roman" w:hAnsi="Times New Roman" w:cs="Times New Roman"/>
          <w:color w:val="000000" w:themeColor="text1"/>
        </w:rPr>
        <w:t>và kế hoạch năm 201</w:t>
      </w:r>
      <w:r w:rsidR="00CD2A59" w:rsidRPr="001C5993">
        <w:rPr>
          <w:rFonts w:ascii="Times New Roman" w:hAnsi="Times New Roman" w:cs="Times New Roman"/>
          <w:color w:val="000000" w:themeColor="text1"/>
        </w:rPr>
        <w:t>9</w:t>
      </w:r>
      <w:r w:rsidR="00BC5BBD" w:rsidRPr="001C5993">
        <w:rPr>
          <w:rFonts w:ascii="Times New Roman" w:hAnsi="Times New Roman" w:cs="Times New Roman"/>
          <w:color w:val="000000" w:themeColor="text1"/>
        </w:rPr>
        <w:t xml:space="preserve"> </w:t>
      </w:r>
      <w:r w:rsidRPr="001C5993">
        <w:rPr>
          <w:rFonts w:ascii="Times New Roman" w:hAnsi="Times New Roman" w:cs="Times New Roman"/>
          <w:color w:val="000000" w:themeColor="text1"/>
        </w:rPr>
        <w:t xml:space="preserve">của Công ty cổ phần chứng khoán VNDIRECT, </w:t>
      </w:r>
      <w:r w:rsidR="00A9612F" w:rsidRPr="001C5993">
        <w:rPr>
          <w:rFonts w:ascii="Times New Roman" w:hAnsi="Times New Roman" w:cs="Times New Roman"/>
          <w:color w:val="000000" w:themeColor="text1"/>
        </w:rPr>
        <w:t>Ban Tổng Giám Đốc</w:t>
      </w:r>
      <w:r w:rsidRPr="001C5993">
        <w:rPr>
          <w:rFonts w:ascii="Times New Roman" w:hAnsi="Times New Roman" w:cs="Times New Roman"/>
          <w:color w:val="000000" w:themeColor="text1"/>
        </w:rPr>
        <w:t xml:space="preserve"> kính trình Đại hội đồng cổ đông xem xét thông qua. </w:t>
      </w:r>
    </w:p>
    <w:p w14:paraId="47268243" w14:textId="1DC00640" w:rsidR="000713AA" w:rsidRPr="001C5993" w:rsidRDefault="000713AA" w:rsidP="002E674A">
      <w:pPr>
        <w:spacing w:before="60" w:after="0" w:line="264" w:lineRule="auto"/>
        <w:jc w:val="both"/>
        <w:rPr>
          <w:rFonts w:ascii="Times New Roman" w:hAnsi="Times New Roman" w:cs="Times New Roman"/>
          <w:color w:val="000000" w:themeColor="text1"/>
        </w:rPr>
      </w:pPr>
      <w:r w:rsidRPr="001C5993">
        <w:rPr>
          <w:rFonts w:ascii="Times New Roman" w:hAnsi="Times New Roman" w:cs="Times New Roman"/>
          <w:color w:val="000000" w:themeColor="text1"/>
        </w:rPr>
        <w:t xml:space="preserve">Thay mặt </w:t>
      </w:r>
      <w:r w:rsidR="00A9612F" w:rsidRPr="001C5993">
        <w:rPr>
          <w:rFonts w:ascii="Times New Roman" w:hAnsi="Times New Roman" w:cs="Times New Roman"/>
          <w:color w:val="000000" w:themeColor="text1"/>
        </w:rPr>
        <w:t>Ban Tổng Giám Đốc</w:t>
      </w:r>
      <w:r w:rsidRPr="001C5993">
        <w:rPr>
          <w:rFonts w:ascii="Times New Roman" w:hAnsi="Times New Roman" w:cs="Times New Roman"/>
          <w:color w:val="000000" w:themeColor="text1"/>
        </w:rPr>
        <w:t>, tôi gửi lời cảm ơn đến các Quý cổ đông, khách hàng và đồng nghiệp đã liên tục ủng hộ VNDIRECT vững bước vượt qua khó khăn và phát triển bền vững. Tôi kính chúc các Quý cổ đông dồi dào sức khỏe, hạnh phúc và thành đạt</w:t>
      </w:r>
      <w:r w:rsidR="00BC5BBD" w:rsidRPr="001C5993">
        <w:rPr>
          <w:rFonts w:ascii="Times New Roman" w:hAnsi="Times New Roman" w:cs="Times New Roman"/>
          <w:color w:val="000000" w:themeColor="text1"/>
        </w:rPr>
        <w:t>.</w:t>
      </w:r>
    </w:p>
    <w:tbl>
      <w:tblPr>
        <w:tblW w:w="0" w:type="auto"/>
        <w:tblInd w:w="-106" w:type="dxa"/>
        <w:tblLook w:val="01E0" w:firstRow="1" w:lastRow="1" w:firstColumn="1" w:lastColumn="1" w:noHBand="0" w:noVBand="0"/>
      </w:tblPr>
      <w:tblGrid>
        <w:gridCol w:w="4637"/>
        <w:gridCol w:w="4654"/>
      </w:tblGrid>
      <w:tr w:rsidR="001C5993" w:rsidRPr="001C5993" w14:paraId="02D6B571" w14:textId="77777777" w:rsidTr="006770CF">
        <w:tc>
          <w:tcPr>
            <w:tcW w:w="4637" w:type="dxa"/>
          </w:tcPr>
          <w:p w14:paraId="22C5CD20" w14:textId="77777777" w:rsidR="000713AA" w:rsidRPr="001C5993" w:rsidRDefault="000713AA" w:rsidP="00243446">
            <w:pPr>
              <w:spacing w:before="120" w:after="120" w:line="240" w:lineRule="auto"/>
              <w:jc w:val="both"/>
              <w:rPr>
                <w:rFonts w:ascii="Times New Roman" w:hAnsi="Times New Roman" w:cs="Times New Roman"/>
                <w:color w:val="000000" w:themeColor="text1"/>
              </w:rPr>
            </w:pPr>
          </w:p>
        </w:tc>
        <w:tc>
          <w:tcPr>
            <w:tcW w:w="465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7"/>
            </w:tblGrid>
            <w:tr w:rsidR="001C5993" w:rsidRPr="001C5993" w14:paraId="53B8BA6D" w14:textId="77777777" w:rsidTr="001E25D0">
              <w:trPr>
                <w:trHeight w:val="331"/>
              </w:trPr>
              <w:tc>
                <w:tcPr>
                  <w:tcW w:w="4367" w:type="dxa"/>
                </w:tcPr>
                <w:p w14:paraId="195B0418" w14:textId="5CAF5AE3" w:rsidR="00D5113C" w:rsidRPr="001C5993" w:rsidRDefault="00D5113C" w:rsidP="00692888">
                  <w:pPr>
                    <w:spacing w:before="60"/>
                    <w:jc w:val="center"/>
                    <w:rPr>
                      <w:rFonts w:ascii="Times New Roman" w:hAnsi="Times New Roman" w:cs="Times New Roman"/>
                      <w:bCs/>
                      <w:color w:val="000000" w:themeColor="text1"/>
                    </w:rPr>
                  </w:pPr>
                  <w:r w:rsidRPr="001C5993">
                    <w:rPr>
                      <w:rFonts w:ascii="Times New Roman" w:hAnsi="Times New Roman" w:cs="Times New Roman"/>
                      <w:bCs/>
                      <w:color w:val="000000" w:themeColor="text1"/>
                    </w:rPr>
                    <w:t>TM.</w:t>
                  </w:r>
                  <w:r w:rsidR="00E53E8F" w:rsidRPr="001C5993">
                    <w:rPr>
                      <w:rFonts w:ascii="Times New Roman" w:hAnsi="Times New Roman" w:cs="Times New Roman"/>
                      <w:bCs/>
                      <w:color w:val="000000" w:themeColor="text1"/>
                    </w:rPr>
                    <w:t xml:space="preserve"> </w:t>
                  </w:r>
                  <w:r w:rsidR="00A9612F" w:rsidRPr="001C5993">
                    <w:rPr>
                      <w:rFonts w:ascii="Times New Roman" w:hAnsi="Times New Roman" w:cs="Times New Roman"/>
                      <w:bCs/>
                      <w:color w:val="000000" w:themeColor="text1"/>
                    </w:rPr>
                    <w:t>BAN TỔNG GIÁM ĐỐC</w:t>
                  </w:r>
                </w:p>
              </w:tc>
            </w:tr>
            <w:tr w:rsidR="001C5993" w:rsidRPr="001C5993" w14:paraId="21C2A13D" w14:textId="77777777" w:rsidTr="001E25D0">
              <w:trPr>
                <w:trHeight w:val="331"/>
              </w:trPr>
              <w:tc>
                <w:tcPr>
                  <w:tcW w:w="4367" w:type="dxa"/>
                </w:tcPr>
                <w:p w14:paraId="70D4B9CB" w14:textId="77777777" w:rsidR="00D5113C" w:rsidRPr="001C5993" w:rsidRDefault="00D5113C" w:rsidP="00692888">
                  <w:pPr>
                    <w:spacing w:before="60"/>
                    <w:jc w:val="center"/>
                    <w:rPr>
                      <w:rFonts w:ascii="Times New Roman" w:hAnsi="Times New Roman" w:cs="Times New Roman"/>
                      <w:bCs/>
                      <w:color w:val="000000" w:themeColor="text1"/>
                    </w:rPr>
                  </w:pPr>
                  <w:r w:rsidRPr="001C5993">
                    <w:rPr>
                      <w:rFonts w:ascii="Times New Roman" w:hAnsi="Times New Roman" w:cs="Times New Roman"/>
                      <w:bCs/>
                      <w:color w:val="000000" w:themeColor="text1"/>
                    </w:rPr>
                    <w:t>TỔNG GIÁM ĐỐC</w:t>
                  </w:r>
                </w:p>
                <w:p w14:paraId="2BE8848D" w14:textId="7DE42B75" w:rsidR="003B409F" w:rsidRDefault="003B409F" w:rsidP="00692888">
                  <w:pPr>
                    <w:spacing w:before="60"/>
                    <w:jc w:val="center"/>
                    <w:rPr>
                      <w:rFonts w:ascii="Times New Roman" w:hAnsi="Times New Roman" w:cs="Times New Roman"/>
                      <w:bCs/>
                      <w:color w:val="000000" w:themeColor="text1"/>
                    </w:rPr>
                  </w:pPr>
                  <w:bookmarkStart w:id="1" w:name="_GoBack"/>
                  <w:bookmarkEnd w:id="1"/>
                </w:p>
                <w:p w14:paraId="356435CB" w14:textId="77777777" w:rsidR="001C5993" w:rsidRDefault="001C5993" w:rsidP="00692888">
                  <w:pPr>
                    <w:spacing w:before="60"/>
                    <w:jc w:val="center"/>
                    <w:rPr>
                      <w:rFonts w:ascii="Times New Roman" w:hAnsi="Times New Roman" w:cs="Times New Roman"/>
                      <w:bCs/>
                      <w:color w:val="000000" w:themeColor="text1"/>
                    </w:rPr>
                  </w:pPr>
                </w:p>
                <w:p w14:paraId="60708430" w14:textId="77777777" w:rsidR="001C5993" w:rsidRPr="001C5993" w:rsidRDefault="001C5993" w:rsidP="00692888">
                  <w:pPr>
                    <w:spacing w:before="60"/>
                    <w:jc w:val="center"/>
                    <w:rPr>
                      <w:rFonts w:ascii="Times New Roman" w:hAnsi="Times New Roman" w:cs="Times New Roman"/>
                      <w:bCs/>
                      <w:color w:val="000000" w:themeColor="text1"/>
                    </w:rPr>
                  </w:pPr>
                </w:p>
                <w:p w14:paraId="19C47B80" w14:textId="5508D0F5" w:rsidR="003B409F" w:rsidRPr="001C5993" w:rsidRDefault="00CD2A59" w:rsidP="00692888">
                  <w:pPr>
                    <w:spacing w:before="60"/>
                    <w:jc w:val="center"/>
                    <w:rPr>
                      <w:rFonts w:ascii="Times New Roman" w:hAnsi="Times New Roman" w:cs="Times New Roman"/>
                      <w:bCs/>
                      <w:color w:val="000000" w:themeColor="text1"/>
                    </w:rPr>
                  </w:pPr>
                  <w:r w:rsidRPr="001C5993">
                    <w:rPr>
                      <w:rFonts w:ascii="Times New Roman" w:hAnsi="Times New Roman" w:cs="Times New Roman"/>
                      <w:bCs/>
                      <w:color w:val="000000" w:themeColor="text1"/>
                    </w:rPr>
                    <w:t>PHẠM MINH HƯƠNG</w:t>
                  </w:r>
                </w:p>
              </w:tc>
            </w:tr>
          </w:tbl>
          <w:p w14:paraId="42B05C6E" w14:textId="77777777" w:rsidR="000713AA" w:rsidRPr="001C5993" w:rsidRDefault="000713AA" w:rsidP="00243446">
            <w:pPr>
              <w:spacing w:before="120" w:after="120" w:line="240" w:lineRule="auto"/>
              <w:rPr>
                <w:rFonts w:ascii="Times New Roman" w:hAnsi="Times New Roman" w:cs="Times New Roman"/>
                <w:b/>
                <w:bCs/>
                <w:color w:val="000000" w:themeColor="text1"/>
              </w:rPr>
            </w:pPr>
          </w:p>
        </w:tc>
      </w:tr>
    </w:tbl>
    <w:p w14:paraId="01FB5C7D" w14:textId="6495F0CD" w:rsidR="005442EF" w:rsidRPr="001C5993" w:rsidRDefault="001C5993" w:rsidP="003B409F">
      <w:pPr>
        <w:spacing w:before="120" w:after="120" w:line="240" w:lineRule="auto"/>
        <w:rPr>
          <w:rFonts w:ascii="Times New Roman" w:hAnsi="Times New Roman" w:cs="Times New Roman"/>
          <w:color w:val="000000" w:themeColor="text1"/>
        </w:rPr>
      </w:pPr>
      <w:r w:rsidRPr="00D241EE">
        <w:rPr>
          <w:rFonts w:ascii="Times New Roman" w:hAnsi="Times New Roman"/>
          <w:noProof/>
          <w:sz w:val="24"/>
        </w:rPr>
        <mc:AlternateContent>
          <mc:Choice Requires="wps">
            <w:drawing>
              <wp:anchor distT="0" distB="0" distL="114300" distR="114300" simplePos="0" relativeHeight="251677696" behindDoc="0" locked="0" layoutInCell="1" allowOverlap="1" wp14:anchorId="6743DBEF" wp14:editId="10A4F212">
                <wp:simplePos x="0" y="0"/>
                <wp:positionH relativeFrom="column">
                  <wp:posOffset>-676275</wp:posOffset>
                </wp:positionH>
                <wp:positionV relativeFrom="paragraph">
                  <wp:posOffset>2533650</wp:posOffset>
                </wp:positionV>
                <wp:extent cx="6443980" cy="409575"/>
                <wp:effectExtent l="0" t="0" r="13970" b="1714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980" cy="409575"/>
                        </a:xfrm>
                        <a:prstGeom prst="rect">
                          <a:avLst/>
                        </a:prstGeom>
                        <a:solidFill>
                          <a:srgbClr val="FFFFFF"/>
                        </a:solidFill>
                        <a:ln w="6350" cap="rnd">
                          <a:solidFill>
                            <a:srgbClr val="000000"/>
                          </a:solidFill>
                          <a:prstDash val="sysDot"/>
                          <a:miter lim="800000"/>
                          <a:headEnd/>
                          <a:tailEnd/>
                        </a:ln>
                      </wps:spPr>
                      <wps:txbx>
                        <w:txbxContent>
                          <w:p w14:paraId="50926AFA" w14:textId="77777777" w:rsidR="001C5993" w:rsidRPr="001C5993" w:rsidRDefault="001C5993" w:rsidP="001C5993">
                            <w:pPr>
                              <w:rPr>
                                <w:rFonts w:ascii="Times New Roman" w:hAnsi="Times New Roman" w:cs="Times New Roman"/>
                                <w:i/>
                              </w:rPr>
                            </w:pPr>
                            <w:r w:rsidRPr="001C5993">
                              <w:rPr>
                                <w:rFonts w:ascii="Times New Roman" w:hAnsi="Times New Roman" w:cs="Times New Roman"/>
                                <w:i/>
                              </w:rPr>
                              <w:t>Ghi chú: Tài liệu này có thể được sửa đổi/bổ sung và trình ĐHĐCĐ xem xét quyết định tại Đại hội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743DBEF" id="_x0000_t202" coordsize="21600,21600" o:spt="202" path="m,l,21600r21600,l21600,xe">
                <v:stroke joinstyle="miter"/>
                <v:path gradientshapeok="t" o:connecttype="rect"/>
              </v:shapetype>
              <v:shape id="Text Box 10" o:spid="_x0000_s1026" type="#_x0000_t202" style="position:absolute;margin-left:-53.25pt;margin-top:199.5pt;width:507.4pt;height:32.2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" strokeweight=".5pt">
                <v:stroke dashstyle="1 1" endcap="round"/>
                <v:textbox style="mso-fit-shape-to-text:t">
                  <w:txbxContent>
                    <w:p w14:paraId="50926AFA" w14:textId="77777777" w:rsidR="001C5993" w:rsidRPr="001C5993" w:rsidRDefault="001C5993" w:rsidP="001C5993">
                      <w:pPr>
                        <w:rPr>
                          <w:rFonts w:ascii="Times New Roman" w:hAnsi="Times New Roman" w:cs="Times New Roman"/>
                          <w:i/>
                        </w:rPr>
                      </w:pPr>
                      <w:r w:rsidRPr="001C5993">
                        <w:rPr>
                          <w:rFonts w:ascii="Times New Roman" w:hAnsi="Times New Roman" w:cs="Times New Roman"/>
                          <w:i/>
                        </w:rPr>
                        <w:t>Ghi chú: Tài liệu này có thể được sửa đổi/bổ sung v</w:t>
                      </w:r>
                      <w:bookmarkStart w:id="3" w:name="_GoBack"/>
                      <w:bookmarkEnd w:id="3"/>
                      <w:r w:rsidRPr="001C5993">
                        <w:rPr>
                          <w:rFonts w:ascii="Times New Roman" w:hAnsi="Times New Roman" w:cs="Times New Roman"/>
                          <w:i/>
                        </w:rPr>
                        <w:t>à trình ĐHĐCĐ xem xét quyết định tại Đại hội</w:t>
                      </w:r>
                    </w:p>
                  </w:txbxContent>
                </v:textbox>
              </v:shape>
            </w:pict>
          </mc:Fallback>
        </mc:AlternateContent>
      </w:r>
      <w:r w:rsidR="00734445" w:rsidRPr="001C5993">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36A4AF03" wp14:editId="49B5CD88">
                <wp:simplePos x="0" y="0"/>
                <wp:positionH relativeFrom="column">
                  <wp:posOffset>-284480</wp:posOffset>
                </wp:positionH>
                <wp:positionV relativeFrom="paragraph">
                  <wp:posOffset>4873625</wp:posOffset>
                </wp:positionV>
                <wp:extent cx="6443980" cy="409575"/>
                <wp:effectExtent l="0" t="0" r="13970" b="2857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980" cy="409575"/>
                        </a:xfrm>
                        <a:prstGeom prst="rect">
                          <a:avLst/>
                        </a:prstGeom>
                        <a:solidFill>
                          <a:srgbClr val="FFFFFF"/>
                        </a:solidFill>
                        <a:ln w="6350" cap="rnd">
                          <a:solidFill>
                            <a:srgbClr val="000000"/>
                          </a:solidFill>
                          <a:prstDash val="sysDot"/>
                          <a:miter lim="800000"/>
                          <a:headEnd/>
                          <a:tailEnd/>
                        </a:ln>
                      </wps:spPr>
                      <wps:txbx>
                        <w:txbxContent>
                          <w:p w14:paraId="26042583" w14:textId="77777777" w:rsidR="001462E4" w:rsidRPr="005E5B8E" w:rsidRDefault="001462E4" w:rsidP="00CD3169">
                            <w:pPr>
                              <w:rPr>
                                <w:rFonts w:ascii="Times New Roman" w:hAnsi="Times New Roman"/>
                                <w:i/>
                              </w:rPr>
                            </w:pPr>
                            <w:r w:rsidRPr="005E5B8E">
                              <w:rPr>
                                <w:rFonts w:ascii="Times New Roman" w:hAnsi="Times New Roman"/>
                                <w:i/>
                              </w:rPr>
                              <w:t>Ghi chú: Tài liệu này có thể được sửa đổi/bổ sung và trình ĐHĐCĐ xem xét quyết định tại Đại hội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6A4AF03" id="_x0000_t202" coordsize="21600,21600" o:spt="202" path="m,l,21600r21600,l21600,xe">
                <v:stroke joinstyle="miter"/>
                <v:path gradientshapeok="t" o:connecttype="rect"/>
              </v:shapetype>
              <v:shape id="Text Box 10" o:spid="_x0000_s1026" type="#_x0000_t202" style="position:absolute;margin-left:-22.4pt;margin-top:383.75pt;width:507.4pt;height:32.2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" strokeweight=".5pt">
                <v:stroke dashstyle="1 1" endcap="round"/>
                <v:textbox style="mso-fit-shape-to-text:t">
                  <w:txbxContent>
                    <w:p w14:paraId="26042583" w14:textId="77777777" w:rsidR="001462E4" w:rsidRPr="005E5B8E" w:rsidRDefault="001462E4" w:rsidP="00CD3169">
                      <w:pPr>
                        <w:rPr>
                          <w:rFonts w:ascii="Times New Roman" w:hAnsi="Times New Roman"/>
                          <w:i/>
                        </w:rPr>
                      </w:pPr>
                      <w:r w:rsidRPr="005E5B8E">
                        <w:rPr>
                          <w:rFonts w:ascii="Times New Roman" w:hAnsi="Times New Roman"/>
                          <w:i/>
                        </w:rPr>
                        <w:t>Ghi chú: Tài liệu này có thể được sửa đổi/bổ sung và trình ĐHĐCĐ xem xét quyết định tại Đại hội</w:t>
                      </w:r>
                    </w:p>
                  </w:txbxContent>
                </v:textbox>
              </v:shape>
            </w:pict>
          </mc:Fallback>
        </mc:AlternateContent>
      </w:r>
    </w:p>
    <w:sectPr w:rsidR="005442EF" w:rsidRPr="001C5993" w:rsidSect="0084535B">
      <w:footerReference w:type="default" r:id="rId13"/>
      <w:pgSz w:w="11907" w:h="16840" w:code="9"/>
      <w:pgMar w:top="1138" w:right="1138" w:bottom="1138" w:left="1584" w:header="720" w:footer="274"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310757" w16cid:durableId="1E70C8E9"/>
  <w16cid:commentId w16cid:paraId="0F285284" w16cid:durableId="1E70C8AA"/>
  <w16cid:commentId w16cid:paraId="26F10693" w16cid:durableId="1E70C78C"/>
  <w16cid:commentId w16cid:paraId="029BA76E" w16cid:durableId="1E70C956"/>
  <w16cid:commentId w16cid:paraId="4E429D8D" w16cid:durableId="1E70C9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6891E" w14:textId="77777777" w:rsidR="00773678" w:rsidRDefault="00773678" w:rsidP="00812C1A">
      <w:pPr>
        <w:spacing w:after="0" w:line="240" w:lineRule="auto"/>
      </w:pPr>
      <w:r>
        <w:separator/>
      </w:r>
    </w:p>
  </w:endnote>
  <w:endnote w:type="continuationSeparator" w:id="0">
    <w:p w14:paraId="2209978D" w14:textId="77777777" w:rsidR="00773678" w:rsidRDefault="00773678" w:rsidP="00812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112216"/>
      <w:docPartObj>
        <w:docPartGallery w:val="Page Numbers (Bottom of Page)"/>
        <w:docPartUnique/>
      </w:docPartObj>
    </w:sdtPr>
    <w:sdtEndPr>
      <w:rPr>
        <w:noProof/>
      </w:rPr>
    </w:sdtEndPr>
    <w:sdtContent>
      <w:p w14:paraId="1A6C29DA" w14:textId="668A91DF" w:rsidR="004F38A7" w:rsidRDefault="004F38A7">
        <w:pPr>
          <w:pStyle w:val="Footer"/>
          <w:jc w:val="right"/>
        </w:pPr>
        <w:r>
          <w:fldChar w:fldCharType="begin"/>
        </w:r>
        <w:r>
          <w:instrText xml:space="preserve"> PAGE   \* MERGEFORMAT </w:instrText>
        </w:r>
        <w:r>
          <w:fldChar w:fldCharType="separate"/>
        </w:r>
        <w:r w:rsidR="00692888">
          <w:rPr>
            <w:noProof/>
          </w:rPr>
          <w:t>9</w:t>
        </w:r>
        <w:r>
          <w:rPr>
            <w:noProof/>
          </w:rPr>
          <w:fldChar w:fldCharType="end"/>
        </w:r>
      </w:p>
    </w:sdtContent>
  </w:sdt>
  <w:p w14:paraId="2B7ABF47" w14:textId="77777777" w:rsidR="001462E4" w:rsidRDefault="00146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FB94A" w14:textId="77777777" w:rsidR="00773678" w:rsidRDefault="00773678" w:rsidP="00812C1A">
      <w:pPr>
        <w:spacing w:after="0" w:line="240" w:lineRule="auto"/>
      </w:pPr>
      <w:r>
        <w:separator/>
      </w:r>
    </w:p>
  </w:footnote>
  <w:footnote w:type="continuationSeparator" w:id="0">
    <w:p w14:paraId="4A236068" w14:textId="77777777" w:rsidR="00773678" w:rsidRDefault="00773678" w:rsidP="00812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27E"/>
    <w:multiLevelType w:val="multilevel"/>
    <w:tmpl w:val="74F8A87C"/>
    <w:lvl w:ilvl="0">
      <w:start w:val="2"/>
      <w:numFmt w:val="upperRoman"/>
      <w:lvlText w:val="%1."/>
      <w:lvlJc w:val="left"/>
      <w:pPr>
        <w:ind w:left="1080" w:hanging="720"/>
      </w:pPr>
      <w:rPr>
        <w:rFonts w:cs="Times New Roman" w:hint="default"/>
        <w:color w:val="auto"/>
        <w:sz w:val="28"/>
        <w:szCs w:val="28"/>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8915909"/>
    <w:multiLevelType w:val="hybridMultilevel"/>
    <w:tmpl w:val="6552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9605B"/>
    <w:multiLevelType w:val="multilevel"/>
    <w:tmpl w:val="F334A0F2"/>
    <w:lvl w:ilvl="0">
      <w:start w:val="1"/>
      <w:numFmt w:val="upperRoman"/>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nsid w:val="0FDF1555"/>
    <w:multiLevelType w:val="multilevel"/>
    <w:tmpl w:val="0FB61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673F5F"/>
    <w:multiLevelType w:val="hybridMultilevel"/>
    <w:tmpl w:val="58FC4AD8"/>
    <w:lvl w:ilvl="0" w:tplc="04090003">
      <w:start w:val="1"/>
      <w:numFmt w:val="bullet"/>
      <w:lvlText w:val="o"/>
      <w:lvlJc w:val="left"/>
      <w:pPr>
        <w:ind w:left="1287" w:hanging="360"/>
      </w:pPr>
      <w:rPr>
        <w:rFonts w:ascii="Courier New" w:hAnsi="Courier New" w:cs="Courier New" w:hint="default"/>
        <w:color w:val="auto"/>
      </w:rPr>
    </w:lvl>
    <w:lvl w:ilvl="1" w:tplc="0409000B">
      <w:start w:val="1"/>
      <w:numFmt w:val="bullet"/>
      <w:lvlText w:val=""/>
      <w:lvlJc w:val="left"/>
      <w:pPr>
        <w:ind w:left="2007" w:hanging="360"/>
      </w:pPr>
      <w:rPr>
        <w:rFonts w:ascii="Wingdings" w:hAnsi="Wingdings"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38914B3"/>
    <w:multiLevelType w:val="hybridMultilevel"/>
    <w:tmpl w:val="DF706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6346F8D"/>
    <w:multiLevelType w:val="hybridMultilevel"/>
    <w:tmpl w:val="6584DD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364E9A"/>
    <w:multiLevelType w:val="hybridMultilevel"/>
    <w:tmpl w:val="E3388FE8"/>
    <w:lvl w:ilvl="0" w:tplc="3A8C6E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C54D6"/>
    <w:multiLevelType w:val="hybridMultilevel"/>
    <w:tmpl w:val="9F309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372EA"/>
    <w:multiLevelType w:val="hybridMultilevel"/>
    <w:tmpl w:val="B5C83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AFC7B56"/>
    <w:multiLevelType w:val="hybridMultilevel"/>
    <w:tmpl w:val="E8662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12C29"/>
    <w:multiLevelType w:val="hybridMultilevel"/>
    <w:tmpl w:val="D5C8D4D0"/>
    <w:lvl w:ilvl="0" w:tplc="04090005">
      <w:start w:val="1"/>
      <w:numFmt w:val="bullet"/>
      <w:lvlText w:val=""/>
      <w:lvlJc w:val="left"/>
      <w:pPr>
        <w:ind w:left="720" w:hanging="360"/>
      </w:pPr>
      <w:rPr>
        <w:rFonts w:ascii="Wingdings" w:hAnsi="Wingdings" w:hint="default"/>
      </w:rPr>
    </w:lvl>
    <w:lvl w:ilvl="1" w:tplc="CED8EB0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DD4F75"/>
    <w:multiLevelType w:val="hybridMultilevel"/>
    <w:tmpl w:val="F0F6A0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54F7432"/>
    <w:multiLevelType w:val="hybridMultilevel"/>
    <w:tmpl w:val="CBD43CA4"/>
    <w:lvl w:ilvl="0" w:tplc="9CE0EB2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C3E99"/>
    <w:multiLevelType w:val="hybridMultilevel"/>
    <w:tmpl w:val="81BA480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2CA45A7F"/>
    <w:multiLevelType w:val="hybridMultilevel"/>
    <w:tmpl w:val="7D98BD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767B1B"/>
    <w:multiLevelType w:val="hybridMultilevel"/>
    <w:tmpl w:val="1FA43D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294FFD"/>
    <w:multiLevelType w:val="hybridMultilevel"/>
    <w:tmpl w:val="B37C3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0736E32"/>
    <w:multiLevelType w:val="hybridMultilevel"/>
    <w:tmpl w:val="04069F0E"/>
    <w:lvl w:ilvl="0" w:tplc="B5D6531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23291"/>
    <w:multiLevelType w:val="hybridMultilevel"/>
    <w:tmpl w:val="208872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0A5467"/>
    <w:multiLevelType w:val="hybridMultilevel"/>
    <w:tmpl w:val="5DDACD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30E7B"/>
    <w:multiLevelType w:val="hybridMultilevel"/>
    <w:tmpl w:val="C144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701445"/>
    <w:multiLevelType w:val="hybridMultilevel"/>
    <w:tmpl w:val="8AF092F8"/>
    <w:lvl w:ilvl="0" w:tplc="70304270">
      <w:start w:val="48"/>
      <w:numFmt w:val="bullet"/>
      <w:lvlText w:val="-"/>
      <w:lvlJc w:val="left"/>
      <w:pPr>
        <w:ind w:left="360" w:hanging="360"/>
      </w:pPr>
      <w:rPr>
        <w:rFonts w:ascii="Times New Roman" w:eastAsia="Times New Roman" w:hAnsi="Times New Roman" w:hint="default"/>
      </w:rPr>
    </w:lvl>
    <w:lvl w:ilvl="1" w:tplc="70304270">
      <w:start w:val="48"/>
      <w:numFmt w:val="bullet"/>
      <w:lvlText w:val="-"/>
      <w:lvlJc w:val="left"/>
      <w:pPr>
        <w:ind w:left="1080" w:hanging="360"/>
      </w:pPr>
      <w:rPr>
        <w:rFonts w:ascii="Times New Roman" w:eastAsia="Times New Roman" w:hAnsi="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38747F36"/>
    <w:multiLevelType w:val="hybridMultilevel"/>
    <w:tmpl w:val="E858173C"/>
    <w:lvl w:ilvl="0" w:tplc="B5D2AE36">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3DA109A8"/>
    <w:multiLevelType w:val="hybridMultilevel"/>
    <w:tmpl w:val="CD5A7E02"/>
    <w:lvl w:ilvl="0" w:tplc="1116DC80">
      <w:numFmt w:val="bullet"/>
      <w:lvlText w:val="-"/>
      <w:lvlJc w:val="left"/>
      <w:pPr>
        <w:ind w:left="900" w:hanging="360"/>
      </w:pPr>
      <w:rPr>
        <w:rFonts w:ascii="Times New Roman" w:eastAsia="Calibr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428F388F"/>
    <w:multiLevelType w:val="hybridMultilevel"/>
    <w:tmpl w:val="6FAED0A6"/>
    <w:lvl w:ilvl="0" w:tplc="1AEE9A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7319C6"/>
    <w:multiLevelType w:val="hybridMultilevel"/>
    <w:tmpl w:val="E806C514"/>
    <w:lvl w:ilvl="0" w:tplc="78B096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7">
    <w:nsid w:val="50D95A07"/>
    <w:multiLevelType w:val="hybridMultilevel"/>
    <w:tmpl w:val="2466D0BA"/>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525D06AC"/>
    <w:multiLevelType w:val="multilevel"/>
    <w:tmpl w:val="A40CE5E4"/>
    <w:lvl w:ilvl="0">
      <w:start w:val="1"/>
      <w:numFmt w:val="upperRoman"/>
      <w:lvlText w:val="%1."/>
      <w:lvlJc w:val="left"/>
      <w:pPr>
        <w:tabs>
          <w:tab w:val="num" w:pos="1080"/>
        </w:tabs>
        <w:ind w:left="1080" w:hanging="720"/>
      </w:pPr>
      <w:rPr>
        <w:rFonts w:cs="Times New Roman"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4F74BFC"/>
    <w:multiLevelType w:val="hybridMultilevel"/>
    <w:tmpl w:val="DE840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5A159D5"/>
    <w:multiLevelType w:val="hybridMultilevel"/>
    <w:tmpl w:val="166C9C88"/>
    <w:lvl w:ilvl="0" w:tplc="04090005">
      <w:start w:val="1"/>
      <w:numFmt w:val="bullet"/>
      <w:lvlText w:val=""/>
      <w:lvlJc w:val="left"/>
      <w:pPr>
        <w:ind w:left="417" w:hanging="360"/>
      </w:pPr>
      <w:rPr>
        <w:rFonts w:ascii="Wingdings" w:hAnsi="Wingdings" w:hint="default"/>
      </w:rPr>
    </w:lvl>
    <w:lvl w:ilvl="1" w:tplc="04090003">
      <w:start w:val="1"/>
      <w:numFmt w:val="bullet"/>
      <w:lvlText w:val="o"/>
      <w:lvlJc w:val="left"/>
      <w:pPr>
        <w:ind w:left="1137" w:hanging="360"/>
      </w:pPr>
      <w:rPr>
        <w:rFonts w:ascii="Courier New" w:hAnsi="Courier New" w:hint="default"/>
      </w:rPr>
    </w:lvl>
    <w:lvl w:ilvl="2" w:tplc="04090005">
      <w:start w:val="1"/>
      <w:numFmt w:val="bullet"/>
      <w:lvlText w:val=""/>
      <w:lvlJc w:val="left"/>
      <w:pPr>
        <w:ind w:left="1857" w:hanging="360"/>
      </w:pPr>
      <w:rPr>
        <w:rFonts w:ascii="Wingdings" w:hAnsi="Wingdings" w:hint="default"/>
      </w:rPr>
    </w:lvl>
    <w:lvl w:ilvl="3" w:tplc="04090001">
      <w:start w:val="1"/>
      <w:numFmt w:val="bullet"/>
      <w:lvlText w:val=""/>
      <w:lvlJc w:val="left"/>
      <w:pPr>
        <w:ind w:left="2577" w:hanging="360"/>
      </w:pPr>
      <w:rPr>
        <w:rFonts w:ascii="Symbol" w:hAnsi="Symbol" w:hint="default"/>
      </w:rPr>
    </w:lvl>
    <w:lvl w:ilvl="4" w:tplc="04090003">
      <w:start w:val="1"/>
      <w:numFmt w:val="bullet"/>
      <w:lvlText w:val="o"/>
      <w:lvlJc w:val="left"/>
      <w:pPr>
        <w:ind w:left="3297" w:hanging="360"/>
      </w:pPr>
      <w:rPr>
        <w:rFonts w:ascii="Courier New" w:hAnsi="Courier New" w:hint="default"/>
      </w:rPr>
    </w:lvl>
    <w:lvl w:ilvl="5" w:tplc="04090005">
      <w:start w:val="1"/>
      <w:numFmt w:val="bullet"/>
      <w:lvlText w:val=""/>
      <w:lvlJc w:val="left"/>
      <w:pPr>
        <w:ind w:left="4017" w:hanging="360"/>
      </w:pPr>
      <w:rPr>
        <w:rFonts w:ascii="Wingdings" w:hAnsi="Wingdings" w:hint="default"/>
      </w:rPr>
    </w:lvl>
    <w:lvl w:ilvl="6" w:tplc="04090001">
      <w:start w:val="1"/>
      <w:numFmt w:val="bullet"/>
      <w:lvlText w:val=""/>
      <w:lvlJc w:val="left"/>
      <w:pPr>
        <w:ind w:left="4737" w:hanging="360"/>
      </w:pPr>
      <w:rPr>
        <w:rFonts w:ascii="Symbol" w:hAnsi="Symbol" w:hint="default"/>
      </w:rPr>
    </w:lvl>
    <w:lvl w:ilvl="7" w:tplc="04090003">
      <w:start w:val="1"/>
      <w:numFmt w:val="bullet"/>
      <w:lvlText w:val="o"/>
      <w:lvlJc w:val="left"/>
      <w:pPr>
        <w:ind w:left="5457" w:hanging="360"/>
      </w:pPr>
      <w:rPr>
        <w:rFonts w:ascii="Courier New" w:hAnsi="Courier New" w:hint="default"/>
      </w:rPr>
    </w:lvl>
    <w:lvl w:ilvl="8" w:tplc="04090005">
      <w:start w:val="1"/>
      <w:numFmt w:val="bullet"/>
      <w:lvlText w:val=""/>
      <w:lvlJc w:val="left"/>
      <w:pPr>
        <w:ind w:left="6177" w:hanging="360"/>
      </w:pPr>
      <w:rPr>
        <w:rFonts w:ascii="Wingdings" w:hAnsi="Wingdings" w:hint="default"/>
      </w:rPr>
    </w:lvl>
  </w:abstractNum>
  <w:abstractNum w:abstractNumId="31">
    <w:nsid w:val="55BA006D"/>
    <w:multiLevelType w:val="hybridMultilevel"/>
    <w:tmpl w:val="78A0F7D4"/>
    <w:lvl w:ilvl="0" w:tplc="A2CCED7E">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5D213E1"/>
    <w:multiLevelType w:val="hybridMultilevel"/>
    <w:tmpl w:val="B824CA30"/>
    <w:lvl w:ilvl="0" w:tplc="9CA26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0541EE"/>
    <w:multiLevelType w:val="hybridMultilevel"/>
    <w:tmpl w:val="231411B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F8539E8"/>
    <w:multiLevelType w:val="hybridMultilevel"/>
    <w:tmpl w:val="6B260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C55D69"/>
    <w:multiLevelType w:val="hybridMultilevel"/>
    <w:tmpl w:val="8482E6E6"/>
    <w:lvl w:ilvl="0" w:tplc="2C8079A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AF92969"/>
    <w:multiLevelType w:val="hybridMultilevel"/>
    <w:tmpl w:val="807818B6"/>
    <w:lvl w:ilvl="0" w:tplc="0430E040">
      <w:start w:val="5"/>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E224FF9"/>
    <w:multiLevelType w:val="hybridMultilevel"/>
    <w:tmpl w:val="A6FA5A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1B33DD"/>
    <w:multiLevelType w:val="hybridMultilevel"/>
    <w:tmpl w:val="C5EC6122"/>
    <w:lvl w:ilvl="0" w:tplc="04090001">
      <w:start w:val="1"/>
      <w:numFmt w:val="bullet"/>
      <w:lvlText w:val=""/>
      <w:lvlJc w:val="left"/>
      <w:pPr>
        <w:ind w:left="417" w:hanging="360"/>
      </w:pPr>
      <w:rPr>
        <w:rFonts w:ascii="Symbol" w:hAnsi="Symbol" w:hint="default"/>
      </w:rPr>
    </w:lvl>
    <w:lvl w:ilvl="1" w:tplc="04090003">
      <w:start w:val="1"/>
      <w:numFmt w:val="bullet"/>
      <w:lvlText w:val="o"/>
      <w:lvlJc w:val="left"/>
      <w:pPr>
        <w:ind w:left="1137" w:hanging="360"/>
      </w:pPr>
      <w:rPr>
        <w:rFonts w:ascii="Courier New" w:hAnsi="Courier New" w:hint="default"/>
      </w:rPr>
    </w:lvl>
    <w:lvl w:ilvl="2" w:tplc="04090005">
      <w:start w:val="1"/>
      <w:numFmt w:val="bullet"/>
      <w:lvlText w:val=""/>
      <w:lvlJc w:val="left"/>
      <w:pPr>
        <w:ind w:left="1857" w:hanging="360"/>
      </w:pPr>
      <w:rPr>
        <w:rFonts w:ascii="Wingdings" w:hAnsi="Wingdings" w:hint="default"/>
      </w:rPr>
    </w:lvl>
    <w:lvl w:ilvl="3" w:tplc="04090001">
      <w:start w:val="1"/>
      <w:numFmt w:val="bullet"/>
      <w:lvlText w:val=""/>
      <w:lvlJc w:val="left"/>
      <w:pPr>
        <w:ind w:left="2577" w:hanging="360"/>
      </w:pPr>
      <w:rPr>
        <w:rFonts w:ascii="Symbol" w:hAnsi="Symbol" w:hint="default"/>
      </w:rPr>
    </w:lvl>
    <w:lvl w:ilvl="4" w:tplc="04090003">
      <w:start w:val="1"/>
      <w:numFmt w:val="bullet"/>
      <w:lvlText w:val="o"/>
      <w:lvlJc w:val="left"/>
      <w:pPr>
        <w:ind w:left="3297" w:hanging="360"/>
      </w:pPr>
      <w:rPr>
        <w:rFonts w:ascii="Courier New" w:hAnsi="Courier New" w:hint="default"/>
      </w:rPr>
    </w:lvl>
    <w:lvl w:ilvl="5" w:tplc="04090005">
      <w:start w:val="1"/>
      <w:numFmt w:val="bullet"/>
      <w:lvlText w:val=""/>
      <w:lvlJc w:val="left"/>
      <w:pPr>
        <w:ind w:left="4017" w:hanging="360"/>
      </w:pPr>
      <w:rPr>
        <w:rFonts w:ascii="Wingdings" w:hAnsi="Wingdings" w:hint="default"/>
      </w:rPr>
    </w:lvl>
    <w:lvl w:ilvl="6" w:tplc="04090001">
      <w:start w:val="1"/>
      <w:numFmt w:val="bullet"/>
      <w:lvlText w:val=""/>
      <w:lvlJc w:val="left"/>
      <w:pPr>
        <w:ind w:left="4737" w:hanging="360"/>
      </w:pPr>
      <w:rPr>
        <w:rFonts w:ascii="Symbol" w:hAnsi="Symbol" w:hint="default"/>
      </w:rPr>
    </w:lvl>
    <w:lvl w:ilvl="7" w:tplc="04090003">
      <w:start w:val="1"/>
      <w:numFmt w:val="bullet"/>
      <w:lvlText w:val="o"/>
      <w:lvlJc w:val="left"/>
      <w:pPr>
        <w:ind w:left="5457" w:hanging="360"/>
      </w:pPr>
      <w:rPr>
        <w:rFonts w:ascii="Courier New" w:hAnsi="Courier New" w:hint="default"/>
      </w:rPr>
    </w:lvl>
    <w:lvl w:ilvl="8" w:tplc="04090005">
      <w:start w:val="1"/>
      <w:numFmt w:val="bullet"/>
      <w:lvlText w:val=""/>
      <w:lvlJc w:val="left"/>
      <w:pPr>
        <w:ind w:left="6177" w:hanging="360"/>
      </w:pPr>
      <w:rPr>
        <w:rFonts w:ascii="Wingdings" w:hAnsi="Wingdings" w:hint="default"/>
      </w:rPr>
    </w:lvl>
  </w:abstractNum>
  <w:abstractNum w:abstractNumId="39">
    <w:nsid w:val="7713659F"/>
    <w:multiLevelType w:val="multilevel"/>
    <w:tmpl w:val="2E7EED50"/>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880" w:hanging="720"/>
      </w:pPr>
      <w:rPr>
        <w:rFonts w:cs="Times New Roman" w:hint="default"/>
      </w:rPr>
    </w:lvl>
    <w:lvl w:ilvl="3">
      <w:start w:val="1"/>
      <w:numFmt w:val="decimal"/>
      <w:isLgl/>
      <w:lvlText w:val="%1.%2.%3.%4"/>
      <w:lvlJc w:val="left"/>
      <w:pPr>
        <w:ind w:left="3600" w:hanging="720"/>
      </w:pPr>
      <w:rPr>
        <w:rFonts w:cs="Times New Roman" w:hint="default"/>
      </w:rPr>
    </w:lvl>
    <w:lvl w:ilvl="4">
      <w:start w:val="1"/>
      <w:numFmt w:val="decimal"/>
      <w:isLgl/>
      <w:lvlText w:val="%1.%2.%3.%4.%5"/>
      <w:lvlJc w:val="left"/>
      <w:pPr>
        <w:ind w:left="4680" w:hanging="1080"/>
      </w:pPr>
      <w:rPr>
        <w:rFonts w:cs="Times New Roman" w:hint="default"/>
      </w:rPr>
    </w:lvl>
    <w:lvl w:ilvl="5">
      <w:start w:val="1"/>
      <w:numFmt w:val="decimal"/>
      <w:isLgl/>
      <w:lvlText w:val="%1.%2.%3.%4.%5.%6"/>
      <w:lvlJc w:val="left"/>
      <w:pPr>
        <w:ind w:left="5760" w:hanging="1440"/>
      </w:pPr>
      <w:rPr>
        <w:rFonts w:cs="Times New Roman" w:hint="default"/>
      </w:rPr>
    </w:lvl>
    <w:lvl w:ilvl="6">
      <w:start w:val="1"/>
      <w:numFmt w:val="decimal"/>
      <w:isLgl/>
      <w:lvlText w:val="%1.%2.%3.%4.%5.%6.%7"/>
      <w:lvlJc w:val="left"/>
      <w:pPr>
        <w:ind w:left="6480" w:hanging="1440"/>
      </w:pPr>
      <w:rPr>
        <w:rFonts w:cs="Times New Roman" w:hint="default"/>
      </w:rPr>
    </w:lvl>
    <w:lvl w:ilvl="7">
      <w:start w:val="1"/>
      <w:numFmt w:val="decimal"/>
      <w:isLgl/>
      <w:lvlText w:val="%1.%2.%3.%4.%5.%6.%7.%8"/>
      <w:lvlJc w:val="left"/>
      <w:pPr>
        <w:ind w:left="7560" w:hanging="1800"/>
      </w:pPr>
      <w:rPr>
        <w:rFonts w:cs="Times New Roman" w:hint="default"/>
      </w:rPr>
    </w:lvl>
    <w:lvl w:ilvl="8">
      <w:start w:val="1"/>
      <w:numFmt w:val="decimal"/>
      <w:isLgl/>
      <w:lvlText w:val="%1.%2.%3.%4.%5.%6.%7.%8.%9"/>
      <w:lvlJc w:val="left"/>
      <w:pPr>
        <w:ind w:left="8280" w:hanging="1800"/>
      </w:pPr>
      <w:rPr>
        <w:rFonts w:cs="Times New Roman" w:hint="default"/>
      </w:rPr>
    </w:lvl>
  </w:abstractNum>
  <w:abstractNum w:abstractNumId="40">
    <w:nsid w:val="783149EA"/>
    <w:multiLevelType w:val="hybridMultilevel"/>
    <w:tmpl w:val="A6FA4EFA"/>
    <w:lvl w:ilvl="0" w:tplc="04090005">
      <w:start w:val="1"/>
      <w:numFmt w:val="bullet"/>
      <w:lvlText w:val=""/>
      <w:lvlJc w:val="left"/>
      <w:pPr>
        <w:ind w:left="417" w:hanging="360"/>
      </w:pPr>
      <w:rPr>
        <w:rFonts w:ascii="Wingdings" w:hAnsi="Wingdings" w:hint="default"/>
      </w:rPr>
    </w:lvl>
    <w:lvl w:ilvl="1" w:tplc="04090003">
      <w:start w:val="1"/>
      <w:numFmt w:val="bullet"/>
      <w:lvlText w:val="o"/>
      <w:lvlJc w:val="left"/>
      <w:pPr>
        <w:ind w:left="1137" w:hanging="360"/>
      </w:pPr>
      <w:rPr>
        <w:rFonts w:ascii="Courier New" w:hAnsi="Courier New" w:hint="default"/>
      </w:rPr>
    </w:lvl>
    <w:lvl w:ilvl="2" w:tplc="04090005">
      <w:start w:val="1"/>
      <w:numFmt w:val="bullet"/>
      <w:lvlText w:val=""/>
      <w:lvlJc w:val="left"/>
      <w:pPr>
        <w:ind w:left="1857" w:hanging="360"/>
      </w:pPr>
      <w:rPr>
        <w:rFonts w:ascii="Wingdings" w:hAnsi="Wingdings" w:hint="default"/>
      </w:rPr>
    </w:lvl>
    <w:lvl w:ilvl="3" w:tplc="04090001">
      <w:start w:val="1"/>
      <w:numFmt w:val="bullet"/>
      <w:lvlText w:val=""/>
      <w:lvlJc w:val="left"/>
      <w:pPr>
        <w:ind w:left="2577" w:hanging="360"/>
      </w:pPr>
      <w:rPr>
        <w:rFonts w:ascii="Symbol" w:hAnsi="Symbol" w:hint="default"/>
      </w:rPr>
    </w:lvl>
    <w:lvl w:ilvl="4" w:tplc="04090003">
      <w:start w:val="1"/>
      <w:numFmt w:val="bullet"/>
      <w:lvlText w:val="o"/>
      <w:lvlJc w:val="left"/>
      <w:pPr>
        <w:ind w:left="3297" w:hanging="360"/>
      </w:pPr>
      <w:rPr>
        <w:rFonts w:ascii="Courier New" w:hAnsi="Courier New" w:hint="default"/>
      </w:rPr>
    </w:lvl>
    <w:lvl w:ilvl="5" w:tplc="04090005">
      <w:start w:val="1"/>
      <w:numFmt w:val="bullet"/>
      <w:lvlText w:val=""/>
      <w:lvlJc w:val="left"/>
      <w:pPr>
        <w:ind w:left="4017" w:hanging="360"/>
      </w:pPr>
      <w:rPr>
        <w:rFonts w:ascii="Wingdings" w:hAnsi="Wingdings" w:hint="default"/>
      </w:rPr>
    </w:lvl>
    <w:lvl w:ilvl="6" w:tplc="04090001">
      <w:start w:val="1"/>
      <w:numFmt w:val="bullet"/>
      <w:lvlText w:val=""/>
      <w:lvlJc w:val="left"/>
      <w:pPr>
        <w:ind w:left="4737" w:hanging="360"/>
      </w:pPr>
      <w:rPr>
        <w:rFonts w:ascii="Symbol" w:hAnsi="Symbol" w:hint="default"/>
      </w:rPr>
    </w:lvl>
    <w:lvl w:ilvl="7" w:tplc="04090003">
      <w:start w:val="1"/>
      <w:numFmt w:val="bullet"/>
      <w:lvlText w:val="o"/>
      <w:lvlJc w:val="left"/>
      <w:pPr>
        <w:ind w:left="5457" w:hanging="360"/>
      </w:pPr>
      <w:rPr>
        <w:rFonts w:ascii="Courier New" w:hAnsi="Courier New" w:hint="default"/>
      </w:rPr>
    </w:lvl>
    <w:lvl w:ilvl="8" w:tplc="04090005">
      <w:start w:val="1"/>
      <w:numFmt w:val="bullet"/>
      <w:lvlText w:val=""/>
      <w:lvlJc w:val="left"/>
      <w:pPr>
        <w:ind w:left="6177" w:hanging="360"/>
      </w:pPr>
      <w:rPr>
        <w:rFonts w:ascii="Wingdings" w:hAnsi="Wingdings" w:hint="default"/>
      </w:rPr>
    </w:lvl>
  </w:abstractNum>
  <w:abstractNum w:abstractNumId="41">
    <w:nsid w:val="7C9F3BE8"/>
    <w:multiLevelType w:val="hybridMultilevel"/>
    <w:tmpl w:val="6E3ECFC6"/>
    <w:lvl w:ilvl="0" w:tplc="2DE63930">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951028"/>
    <w:multiLevelType w:val="hybridMultilevel"/>
    <w:tmpl w:val="E7844A42"/>
    <w:lvl w:ilvl="0" w:tplc="6672891C">
      <w:start w:val="5"/>
      <w:numFmt w:val="bullet"/>
      <w:lvlText w:val="-"/>
      <w:lvlJc w:val="left"/>
      <w:pPr>
        <w:ind w:left="1287" w:hanging="360"/>
      </w:pPr>
      <w:rPr>
        <w:rFonts w:hint="default"/>
        <w:color w:val="auto"/>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39"/>
  </w:num>
  <w:num w:numId="3">
    <w:abstractNumId w:val="0"/>
  </w:num>
  <w:num w:numId="4">
    <w:abstractNumId w:val="17"/>
  </w:num>
  <w:num w:numId="5">
    <w:abstractNumId w:val="22"/>
  </w:num>
  <w:num w:numId="6">
    <w:abstractNumId w:val="12"/>
  </w:num>
  <w:num w:numId="7">
    <w:abstractNumId w:val="38"/>
  </w:num>
  <w:num w:numId="8">
    <w:abstractNumId w:val="23"/>
  </w:num>
  <w:num w:numId="9">
    <w:abstractNumId w:val="28"/>
  </w:num>
  <w:num w:numId="10">
    <w:abstractNumId w:val="32"/>
  </w:num>
  <w:num w:numId="11">
    <w:abstractNumId w:val="35"/>
  </w:num>
  <w:num w:numId="12">
    <w:abstractNumId w:val="33"/>
  </w:num>
  <w:num w:numId="13">
    <w:abstractNumId w:val="31"/>
  </w:num>
  <w:num w:numId="14">
    <w:abstractNumId w:val="20"/>
  </w:num>
  <w:num w:numId="15">
    <w:abstractNumId w:val="36"/>
  </w:num>
  <w:num w:numId="16">
    <w:abstractNumId w:val="3"/>
  </w:num>
  <w:num w:numId="17">
    <w:abstractNumId w:val="11"/>
  </w:num>
  <w:num w:numId="18">
    <w:abstractNumId w:val="8"/>
  </w:num>
  <w:num w:numId="19">
    <w:abstractNumId w:val="34"/>
  </w:num>
  <w:num w:numId="20">
    <w:abstractNumId w:val="10"/>
  </w:num>
  <w:num w:numId="21">
    <w:abstractNumId w:val="30"/>
  </w:num>
  <w:num w:numId="22">
    <w:abstractNumId w:val="40"/>
  </w:num>
  <w:num w:numId="23">
    <w:abstractNumId w:val="41"/>
  </w:num>
  <w:num w:numId="24">
    <w:abstractNumId w:val="6"/>
  </w:num>
  <w:num w:numId="25">
    <w:abstractNumId w:val="18"/>
  </w:num>
  <w:num w:numId="26">
    <w:abstractNumId w:val="16"/>
  </w:num>
  <w:num w:numId="27">
    <w:abstractNumId w:val="9"/>
  </w:num>
  <w:num w:numId="28">
    <w:abstractNumId w:val="15"/>
  </w:num>
  <w:num w:numId="29">
    <w:abstractNumId w:val="27"/>
  </w:num>
  <w:num w:numId="30">
    <w:abstractNumId w:val="42"/>
  </w:num>
  <w:num w:numId="31">
    <w:abstractNumId w:val="2"/>
  </w:num>
  <w:num w:numId="32">
    <w:abstractNumId w:val="25"/>
  </w:num>
  <w:num w:numId="33">
    <w:abstractNumId w:val="7"/>
  </w:num>
  <w:num w:numId="34">
    <w:abstractNumId w:val="13"/>
  </w:num>
  <w:num w:numId="35">
    <w:abstractNumId w:val="21"/>
  </w:num>
  <w:num w:numId="36">
    <w:abstractNumId w:val="26"/>
  </w:num>
  <w:num w:numId="37">
    <w:abstractNumId w:val="29"/>
  </w:num>
  <w:num w:numId="38">
    <w:abstractNumId w:val="19"/>
  </w:num>
  <w:num w:numId="39">
    <w:abstractNumId w:val="1"/>
  </w:num>
  <w:num w:numId="40">
    <w:abstractNumId w:val="14"/>
  </w:num>
  <w:num w:numId="41">
    <w:abstractNumId w:val="37"/>
  </w:num>
  <w:num w:numId="42">
    <w:abstractNumId w:val="4"/>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AA"/>
    <w:rsid w:val="000021C8"/>
    <w:rsid w:val="00014B28"/>
    <w:rsid w:val="0001579F"/>
    <w:rsid w:val="00024359"/>
    <w:rsid w:val="000415D2"/>
    <w:rsid w:val="00047EEB"/>
    <w:rsid w:val="00052CD1"/>
    <w:rsid w:val="0005306D"/>
    <w:rsid w:val="00070116"/>
    <w:rsid w:val="000713AA"/>
    <w:rsid w:val="000766C3"/>
    <w:rsid w:val="0008645C"/>
    <w:rsid w:val="0008734A"/>
    <w:rsid w:val="000B10AA"/>
    <w:rsid w:val="000C49F2"/>
    <w:rsid w:val="000D4772"/>
    <w:rsid w:val="000E247A"/>
    <w:rsid w:val="000F0AB7"/>
    <w:rsid w:val="000F3D3B"/>
    <w:rsid w:val="00103B7E"/>
    <w:rsid w:val="00112050"/>
    <w:rsid w:val="001235AA"/>
    <w:rsid w:val="001245C2"/>
    <w:rsid w:val="00127914"/>
    <w:rsid w:val="001437F8"/>
    <w:rsid w:val="001462E4"/>
    <w:rsid w:val="00146F7A"/>
    <w:rsid w:val="00152B01"/>
    <w:rsid w:val="001616BE"/>
    <w:rsid w:val="00163908"/>
    <w:rsid w:val="00171D4B"/>
    <w:rsid w:val="001930B5"/>
    <w:rsid w:val="00197C0C"/>
    <w:rsid w:val="001A40EC"/>
    <w:rsid w:val="001B23BC"/>
    <w:rsid w:val="001B3DAC"/>
    <w:rsid w:val="001B676E"/>
    <w:rsid w:val="001C5786"/>
    <w:rsid w:val="001C5993"/>
    <w:rsid w:val="001D7558"/>
    <w:rsid w:val="001E25D0"/>
    <w:rsid w:val="001F1731"/>
    <w:rsid w:val="002211B4"/>
    <w:rsid w:val="00224EDC"/>
    <w:rsid w:val="00230FC0"/>
    <w:rsid w:val="00242E6D"/>
    <w:rsid w:val="00243446"/>
    <w:rsid w:val="00264280"/>
    <w:rsid w:val="0026746E"/>
    <w:rsid w:val="0027658F"/>
    <w:rsid w:val="0028550B"/>
    <w:rsid w:val="002A7BB2"/>
    <w:rsid w:val="002B0169"/>
    <w:rsid w:val="002B0F61"/>
    <w:rsid w:val="002C0850"/>
    <w:rsid w:val="002C43AF"/>
    <w:rsid w:val="002C5D3D"/>
    <w:rsid w:val="002D3B71"/>
    <w:rsid w:val="002D48FD"/>
    <w:rsid w:val="002E559B"/>
    <w:rsid w:val="002E674A"/>
    <w:rsid w:val="002F15D1"/>
    <w:rsid w:val="0030534C"/>
    <w:rsid w:val="00307724"/>
    <w:rsid w:val="00312D5B"/>
    <w:rsid w:val="00322200"/>
    <w:rsid w:val="003324D4"/>
    <w:rsid w:val="00333285"/>
    <w:rsid w:val="00333480"/>
    <w:rsid w:val="00340DDE"/>
    <w:rsid w:val="0034271A"/>
    <w:rsid w:val="00366452"/>
    <w:rsid w:val="0038340A"/>
    <w:rsid w:val="00383B3B"/>
    <w:rsid w:val="00385126"/>
    <w:rsid w:val="00395BA5"/>
    <w:rsid w:val="00396BEA"/>
    <w:rsid w:val="003B01CD"/>
    <w:rsid w:val="003B409F"/>
    <w:rsid w:val="003B4F9C"/>
    <w:rsid w:val="003B5630"/>
    <w:rsid w:val="003C298D"/>
    <w:rsid w:val="003D57FC"/>
    <w:rsid w:val="003E3A64"/>
    <w:rsid w:val="003E4B2A"/>
    <w:rsid w:val="004025D8"/>
    <w:rsid w:val="0041618C"/>
    <w:rsid w:val="00426829"/>
    <w:rsid w:val="00465950"/>
    <w:rsid w:val="00476859"/>
    <w:rsid w:val="004828DC"/>
    <w:rsid w:val="00485EB8"/>
    <w:rsid w:val="004938EF"/>
    <w:rsid w:val="004A0FC9"/>
    <w:rsid w:val="004B64F9"/>
    <w:rsid w:val="004C6715"/>
    <w:rsid w:val="004D7CF8"/>
    <w:rsid w:val="004D7E24"/>
    <w:rsid w:val="004E0E56"/>
    <w:rsid w:val="004F38A7"/>
    <w:rsid w:val="004F3ECD"/>
    <w:rsid w:val="004F63F4"/>
    <w:rsid w:val="00502F16"/>
    <w:rsid w:val="00510743"/>
    <w:rsid w:val="00520D71"/>
    <w:rsid w:val="00520ED5"/>
    <w:rsid w:val="00525560"/>
    <w:rsid w:val="0053462A"/>
    <w:rsid w:val="00536CD1"/>
    <w:rsid w:val="005442EF"/>
    <w:rsid w:val="00563201"/>
    <w:rsid w:val="00565A29"/>
    <w:rsid w:val="0056607D"/>
    <w:rsid w:val="00591580"/>
    <w:rsid w:val="00593CD8"/>
    <w:rsid w:val="005A3A37"/>
    <w:rsid w:val="005A4A8D"/>
    <w:rsid w:val="005A5F49"/>
    <w:rsid w:val="005A6186"/>
    <w:rsid w:val="005B5BB1"/>
    <w:rsid w:val="005B5DA7"/>
    <w:rsid w:val="005C1CF5"/>
    <w:rsid w:val="005D3744"/>
    <w:rsid w:val="00604DD0"/>
    <w:rsid w:val="006061BA"/>
    <w:rsid w:val="006166DE"/>
    <w:rsid w:val="00616E09"/>
    <w:rsid w:val="00633F03"/>
    <w:rsid w:val="00644E01"/>
    <w:rsid w:val="00645D6A"/>
    <w:rsid w:val="006519DE"/>
    <w:rsid w:val="00656E10"/>
    <w:rsid w:val="00662535"/>
    <w:rsid w:val="006770CF"/>
    <w:rsid w:val="00692888"/>
    <w:rsid w:val="00697590"/>
    <w:rsid w:val="006A0FA7"/>
    <w:rsid w:val="006B1D20"/>
    <w:rsid w:val="006B68E4"/>
    <w:rsid w:val="006B6CCB"/>
    <w:rsid w:val="006E6D7E"/>
    <w:rsid w:val="006F1054"/>
    <w:rsid w:val="006F3417"/>
    <w:rsid w:val="006F40BD"/>
    <w:rsid w:val="006F66BA"/>
    <w:rsid w:val="00705B95"/>
    <w:rsid w:val="00706F39"/>
    <w:rsid w:val="00711C17"/>
    <w:rsid w:val="00716E5E"/>
    <w:rsid w:val="0071790B"/>
    <w:rsid w:val="00734445"/>
    <w:rsid w:val="00735D36"/>
    <w:rsid w:val="007425B1"/>
    <w:rsid w:val="0074361A"/>
    <w:rsid w:val="00752FFE"/>
    <w:rsid w:val="00767B04"/>
    <w:rsid w:val="00773678"/>
    <w:rsid w:val="00777DC4"/>
    <w:rsid w:val="0078592A"/>
    <w:rsid w:val="00790E2D"/>
    <w:rsid w:val="007A52E9"/>
    <w:rsid w:val="007A6707"/>
    <w:rsid w:val="007C3F75"/>
    <w:rsid w:val="007D14A8"/>
    <w:rsid w:val="007D2724"/>
    <w:rsid w:val="007D4A20"/>
    <w:rsid w:val="007D5421"/>
    <w:rsid w:val="007E03FB"/>
    <w:rsid w:val="007E2655"/>
    <w:rsid w:val="007F16EB"/>
    <w:rsid w:val="0080327F"/>
    <w:rsid w:val="00803D8A"/>
    <w:rsid w:val="00810591"/>
    <w:rsid w:val="00812C1A"/>
    <w:rsid w:val="00814A6B"/>
    <w:rsid w:val="00816DDC"/>
    <w:rsid w:val="0082305E"/>
    <w:rsid w:val="00825346"/>
    <w:rsid w:val="0082723D"/>
    <w:rsid w:val="008274BD"/>
    <w:rsid w:val="00836CB3"/>
    <w:rsid w:val="00840FE0"/>
    <w:rsid w:val="0084535B"/>
    <w:rsid w:val="008541B0"/>
    <w:rsid w:val="008556B0"/>
    <w:rsid w:val="008622DB"/>
    <w:rsid w:val="00867C8D"/>
    <w:rsid w:val="008713B6"/>
    <w:rsid w:val="00876FB9"/>
    <w:rsid w:val="00885529"/>
    <w:rsid w:val="008C65A4"/>
    <w:rsid w:val="008D054A"/>
    <w:rsid w:val="008D1C17"/>
    <w:rsid w:val="008D2766"/>
    <w:rsid w:val="008D2AFA"/>
    <w:rsid w:val="008D7B55"/>
    <w:rsid w:val="008D7EFB"/>
    <w:rsid w:val="008E5956"/>
    <w:rsid w:val="008F1849"/>
    <w:rsid w:val="008F718A"/>
    <w:rsid w:val="00903BB3"/>
    <w:rsid w:val="009119BF"/>
    <w:rsid w:val="00916992"/>
    <w:rsid w:val="0091769D"/>
    <w:rsid w:val="009218A8"/>
    <w:rsid w:val="0093298C"/>
    <w:rsid w:val="00935159"/>
    <w:rsid w:val="00945A86"/>
    <w:rsid w:val="00953D7F"/>
    <w:rsid w:val="009563D1"/>
    <w:rsid w:val="00957275"/>
    <w:rsid w:val="009615D4"/>
    <w:rsid w:val="0097452A"/>
    <w:rsid w:val="009864C9"/>
    <w:rsid w:val="009971B5"/>
    <w:rsid w:val="009C013F"/>
    <w:rsid w:val="009C6882"/>
    <w:rsid w:val="009D2980"/>
    <w:rsid w:val="009E0418"/>
    <w:rsid w:val="009E0948"/>
    <w:rsid w:val="009F431B"/>
    <w:rsid w:val="00A0104D"/>
    <w:rsid w:val="00A07EC4"/>
    <w:rsid w:val="00A31442"/>
    <w:rsid w:val="00A41E0E"/>
    <w:rsid w:val="00A54326"/>
    <w:rsid w:val="00A65E83"/>
    <w:rsid w:val="00A7626F"/>
    <w:rsid w:val="00A840CF"/>
    <w:rsid w:val="00A84FD7"/>
    <w:rsid w:val="00A9068E"/>
    <w:rsid w:val="00A91E82"/>
    <w:rsid w:val="00A9612F"/>
    <w:rsid w:val="00A97CD0"/>
    <w:rsid w:val="00AA094C"/>
    <w:rsid w:val="00AA439F"/>
    <w:rsid w:val="00AB22B6"/>
    <w:rsid w:val="00AB64E5"/>
    <w:rsid w:val="00AC18A6"/>
    <w:rsid w:val="00AC4577"/>
    <w:rsid w:val="00AD45D3"/>
    <w:rsid w:val="00AD5EB7"/>
    <w:rsid w:val="00AD7E76"/>
    <w:rsid w:val="00AE1CF4"/>
    <w:rsid w:val="00AE7776"/>
    <w:rsid w:val="00AE77EE"/>
    <w:rsid w:val="00B03A19"/>
    <w:rsid w:val="00B045D3"/>
    <w:rsid w:val="00B07A86"/>
    <w:rsid w:val="00B34431"/>
    <w:rsid w:val="00B4404F"/>
    <w:rsid w:val="00B662A7"/>
    <w:rsid w:val="00B70C2E"/>
    <w:rsid w:val="00B77C45"/>
    <w:rsid w:val="00B81706"/>
    <w:rsid w:val="00B82CF9"/>
    <w:rsid w:val="00BA5A96"/>
    <w:rsid w:val="00BC5BBD"/>
    <w:rsid w:val="00BC657C"/>
    <w:rsid w:val="00BC7A78"/>
    <w:rsid w:val="00BD3949"/>
    <w:rsid w:val="00BE5969"/>
    <w:rsid w:val="00BF1629"/>
    <w:rsid w:val="00BF47C4"/>
    <w:rsid w:val="00C07F29"/>
    <w:rsid w:val="00C105B4"/>
    <w:rsid w:val="00C12D96"/>
    <w:rsid w:val="00C20FCD"/>
    <w:rsid w:val="00C24A0F"/>
    <w:rsid w:val="00C26D82"/>
    <w:rsid w:val="00C3625F"/>
    <w:rsid w:val="00C370D2"/>
    <w:rsid w:val="00C44A33"/>
    <w:rsid w:val="00C47EDD"/>
    <w:rsid w:val="00C55463"/>
    <w:rsid w:val="00C633BC"/>
    <w:rsid w:val="00C664C8"/>
    <w:rsid w:val="00C73D0D"/>
    <w:rsid w:val="00C74AF2"/>
    <w:rsid w:val="00C76D9D"/>
    <w:rsid w:val="00C808FD"/>
    <w:rsid w:val="00C8123C"/>
    <w:rsid w:val="00C835BD"/>
    <w:rsid w:val="00C84BBE"/>
    <w:rsid w:val="00C856BC"/>
    <w:rsid w:val="00C858A6"/>
    <w:rsid w:val="00C912AC"/>
    <w:rsid w:val="00C92221"/>
    <w:rsid w:val="00C95BFE"/>
    <w:rsid w:val="00C96CA1"/>
    <w:rsid w:val="00CA39C2"/>
    <w:rsid w:val="00CB19F7"/>
    <w:rsid w:val="00CB5F40"/>
    <w:rsid w:val="00CD1605"/>
    <w:rsid w:val="00CD2A59"/>
    <w:rsid w:val="00CD3169"/>
    <w:rsid w:val="00CE3E73"/>
    <w:rsid w:val="00CE60CD"/>
    <w:rsid w:val="00CF37BA"/>
    <w:rsid w:val="00CF4CDA"/>
    <w:rsid w:val="00CF5056"/>
    <w:rsid w:val="00D14AD9"/>
    <w:rsid w:val="00D21EB2"/>
    <w:rsid w:val="00D22764"/>
    <w:rsid w:val="00D241EE"/>
    <w:rsid w:val="00D326C6"/>
    <w:rsid w:val="00D336CD"/>
    <w:rsid w:val="00D3531A"/>
    <w:rsid w:val="00D35CCD"/>
    <w:rsid w:val="00D4686D"/>
    <w:rsid w:val="00D47087"/>
    <w:rsid w:val="00D5113C"/>
    <w:rsid w:val="00D77B50"/>
    <w:rsid w:val="00D9257B"/>
    <w:rsid w:val="00DB6B3C"/>
    <w:rsid w:val="00DC3133"/>
    <w:rsid w:val="00DD2CB7"/>
    <w:rsid w:val="00DE6D67"/>
    <w:rsid w:val="00DF1657"/>
    <w:rsid w:val="00DF6E6E"/>
    <w:rsid w:val="00E026FF"/>
    <w:rsid w:val="00E106A2"/>
    <w:rsid w:val="00E163DD"/>
    <w:rsid w:val="00E208F1"/>
    <w:rsid w:val="00E23A12"/>
    <w:rsid w:val="00E31691"/>
    <w:rsid w:val="00E4341A"/>
    <w:rsid w:val="00E5020D"/>
    <w:rsid w:val="00E53E8F"/>
    <w:rsid w:val="00E64CF0"/>
    <w:rsid w:val="00E707F8"/>
    <w:rsid w:val="00E715C5"/>
    <w:rsid w:val="00E72411"/>
    <w:rsid w:val="00E802C1"/>
    <w:rsid w:val="00E87082"/>
    <w:rsid w:val="00E97B17"/>
    <w:rsid w:val="00EA41FA"/>
    <w:rsid w:val="00EA7799"/>
    <w:rsid w:val="00EC032F"/>
    <w:rsid w:val="00ED2660"/>
    <w:rsid w:val="00EF12D2"/>
    <w:rsid w:val="00F01499"/>
    <w:rsid w:val="00F045AD"/>
    <w:rsid w:val="00F11AB0"/>
    <w:rsid w:val="00F126D1"/>
    <w:rsid w:val="00F1550B"/>
    <w:rsid w:val="00F22D98"/>
    <w:rsid w:val="00F23666"/>
    <w:rsid w:val="00F24842"/>
    <w:rsid w:val="00F26780"/>
    <w:rsid w:val="00F3085E"/>
    <w:rsid w:val="00F317FA"/>
    <w:rsid w:val="00F37A64"/>
    <w:rsid w:val="00F402F6"/>
    <w:rsid w:val="00F52B6C"/>
    <w:rsid w:val="00F54B52"/>
    <w:rsid w:val="00F553C8"/>
    <w:rsid w:val="00F56C91"/>
    <w:rsid w:val="00F57CF1"/>
    <w:rsid w:val="00F62D98"/>
    <w:rsid w:val="00F71190"/>
    <w:rsid w:val="00F71FE4"/>
    <w:rsid w:val="00F72E2C"/>
    <w:rsid w:val="00F801AD"/>
    <w:rsid w:val="00F85054"/>
    <w:rsid w:val="00F97076"/>
    <w:rsid w:val="00FA339A"/>
    <w:rsid w:val="00FA58D1"/>
    <w:rsid w:val="00FB541D"/>
    <w:rsid w:val="00FC4304"/>
    <w:rsid w:val="00FD0BDA"/>
    <w:rsid w:val="00FE01F9"/>
    <w:rsid w:val="00FE08B3"/>
    <w:rsid w:val="00FE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FBEF"/>
  <w15:docId w15:val="{7685BBF9-33C5-421D-BFE5-F4244E02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3AA"/>
    <w:rPr>
      <w:rFonts w:ascii="Calibri" w:eastAsia="Calibri" w:hAnsi="Calibri" w:cs="Calibri"/>
    </w:rPr>
  </w:style>
  <w:style w:type="paragraph" w:styleId="Heading1">
    <w:name w:val="heading 1"/>
    <w:basedOn w:val="Normal"/>
    <w:next w:val="Normal"/>
    <w:link w:val="Heading1Char"/>
    <w:uiPriority w:val="99"/>
    <w:qFormat/>
    <w:rsid w:val="000713AA"/>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0713AA"/>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0713AA"/>
    <w:pPr>
      <w:keepNext/>
      <w:keepLines/>
      <w:spacing w:before="200" w:after="0"/>
      <w:outlineLvl w:val="2"/>
    </w:pPr>
    <w:rPr>
      <w:rFonts w:ascii="Cambria" w:eastAsia="Times New Roman"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13AA"/>
    <w:rPr>
      <w:rFonts w:ascii="Cambria" w:eastAsia="Times New Roman" w:hAnsi="Cambria" w:cs="Cambria"/>
      <w:b/>
      <w:bCs/>
      <w:color w:val="365F91"/>
      <w:sz w:val="28"/>
      <w:szCs w:val="28"/>
    </w:rPr>
  </w:style>
  <w:style w:type="character" w:customStyle="1" w:styleId="Heading2Char">
    <w:name w:val="Heading 2 Char"/>
    <w:basedOn w:val="DefaultParagraphFont"/>
    <w:link w:val="Heading2"/>
    <w:uiPriority w:val="99"/>
    <w:rsid w:val="000713AA"/>
    <w:rPr>
      <w:rFonts w:ascii="Cambria" w:eastAsia="Times New Roman" w:hAnsi="Cambria" w:cs="Cambria"/>
      <w:b/>
      <w:bCs/>
      <w:color w:val="4F81BD"/>
      <w:sz w:val="26"/>
      <w:szCs w:val="26"/>
    </w:rPr>
  </w:style>
  <w:style w:type="character" w:customStyle="1" w:styleId="Heading3Char">
    <w:name w:val="Heading 3 Char"/>
    <w:basedOn w:val="DefaultParagraphFont"/>
    <w:link w:val="Heading3"/>
    <w:uiPriority w:val="99"/>
    <w:rsid w:val="000713AA"/>
    <w:rPr>
      <w:rFonts w:ascii="Cambria" w:eastAsia="Times New Roman" w:hAnsi="Cambria" w:cs="Cambria"/>
      <w:b/>
      <w:bCs/>
      <w:color w:val="4F81BD"/>
    </w:rPr>
  </w:style>
  <w:style w:type="paragraph" w:styleId="ListParagraph">
    <w:name w:val="List Paragraph"/>
    <w:basedOn w:val="Normal"/>
    <w:link w:val="ListParagraphChar"/>
    <w:uiPriority w:val="34"/>
    <w:qFormat/>
    <w:rsid w:val="000713AA"/>
    <w:pPr>
      <w:ind w:left="720"/>
    </w:pPr>
  </w:style>
  <w:style w:type="paragraph" w:styleId="Footer">
    <w:name w:val="footer"/>
    <w:basedOn w:val="Normal"/>
    <w:link w:val="FooterChar"/>
    <w:uiPriority w:val="99"/>
    <w:rsid w:val="00071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3AA"/>
    <w:rPr>
      <w:rFonts w:ascii="Calibri" w:eastAsia="Calibri" w:hAnsi="Calibri" w:cs="Calibri"/>
    </w:rPr>
  </w:style>
  <w:style w:type="paragraph" w:styleId="BalloonText">
    <w:name w:val="Balloon Text"/>
    <w:basedOn w:val="Normal"/>
    <w:link w:val="BalloonTextChar"/>
    <w:uiPriority w:val="99"/>
    <w:semiHidden/>
    <w:unhideWhenUsed/>
    <w:rsid w:val="00071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3AA"/>
    <w:rPr>
      <w:rFonts w:ascii="Tahoma" w:eastAsia="Calibri" w:hAnsi="Tahoma" w:cs="Tahoma"/>
      <w:sz w:val="16"/>
      <w:szCs w:val="16"/>
    </w:rPr>
  </w:style>
  <w:style w:type="table" w:styleId="LightList-Accent6">
    <w:name w:val="Light List Accent 6"/>
    <w:basedOn w:val="TableNormal"/>
    <w:uiPriority w:val="61"/>
    <w:rsid w:val="00171D4B"/>
    <w:pPr>
      <w:spacing w:after="0" w:line="240" w:lineRule="auto"/>
    </w:pPr>
    <w:rPr>
      <w:rFonts w:eastAsiaTheme="min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x1a">
    <w:name w:val="x1a"/>
    <w:basedOn w:val="DefaultParagraphFont"/>
    <w:rsid w:val="00604DD0"/>
  </w:style>
  <w:style w:type="paragraph" w:styleId="NoSpacing">
    <w:name w:val="No Spacing"/>
    <w:uiPriority w:val="1"/>
    <w:qFormat/>
    <w:rsid w:val="008541B0"/>
    <w:pPr>
      <w:spacing w:after="0" w:line="240" w:lineRule="auto"/>
    </w:pPr>
    <w:rPr>
      <w:rFonts w:ascii="Calibri" w:eastAsia="Calibri" w:hAnsi="Calibri" w:cs="Calibri"/>
    </w:rPr>
  </w:style>
  <w:style w:type="table" w:styleId="TableGrid">
    <w:name w:val="Table Grid"/>
    <w:basedOn w:val="TableNormal"/>
    <w:uiPriority w:val="59"/>
    <w:rsid w:val="00D51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35159"/>
    <w:rPr>
      <w:color w:val="0000FF" w:themeColor="hyperlink"/>
      <w:u w:val="single"/>
    </w:rPr>
  </w:style>
  <w:style w:type="table" w:styleId="LightList">
    <w:name w:val="Light List"/>
    <w:basedOn w:val="TableNormal"/>
    <w:uiPriority w:val="61"/>
    <w:rsid w:val="003664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6645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A6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E83"/>
    <w:rPr>
      <w:rFonts w:ascii="Calibri" w:eastAsia="Calibri" w:hAnsi="Calibri" w:cs="Calibri"/>
    </w:rPr>
  </w:style>
  <w:style w:type="character" w:styleId="CommentReference">
    <w:name w:val="annotation reference"/>
    <w:basedOn w:val="DefaultParagraphFont"/>
    <w:uiPriority w:val="99"/>
    <w:semiHidden/>
    <w:unhideWhenUsed/>
    <w:rsid w:val="00734445"/>
    <w:rPr>
      <w:sz w:val="16"/>
      <w:szCs w:val="16"/>
    </w:rPr>
  </w:style>
  <w:style w:type="paragraph" w:styleId="CommentText">
    <w:name w:val="annotation text"/>
    <w:basedOn w:val="Normal"/>
    <w:link w:val="CommentTextChar"/>
    <w:uiPriority w:val="99"/>
    <w:unhideWhenUsed/>
    <w:rsid w:val="00734445"/>
    <w:pPr>
      <w:spacing w:line="240" w:lineRule="auto"/>
    </w:pPr>
    <w:rPr>
      <w:sz w:val="20"/>
      <w:szCs w:val="20"/>
    </w:rPr>
  </w:style>
  <w:style w:type="character" w:customStyle="1" w:styleId="CommentTextChar">
    <w:name w:val="Comment Text Char"/>
    <w:basedOn w:val="DefaultParagraphFont"/>
    <w:link w:val="CommentText"/>
    <w:uiPriority w:val="99"/>
    <w:rsid w:val="007344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34445"/>
    <w:rPr>
      <w:b/>
      <w:bCs/>
    </w:rPr>
  </w:style>
  <w:style w:type="character" w:customStyle="1" w:styleId="CommentSubjectChar">
    <w:name w:val="Comment Subject Char"/>
    <w:basedOn w:val="CommentTextChar"/>
    <w:link w:val="CommentSubject"/>
    <w:uiPriority w:val="99"/>
    <w:semiHidden/>
    <w:rsid w:val="00734445"/>
    <w:rPr>
      <w:rFonts w:ascii="Calibri" w:eastAsia="Calibri" w:hAnsi="Calibri" w:cs="Calibri"/>
      <w:b/>
      <w:bCs/>
      <w:sz w:val="20"/>
      <w:szCs w:val="20"/>
    </w:rPr>
  </w:style>
  <w:style w:type="paragraph" w:styleId="Caption">
    <w:name w:val="caption"/>
    <w:basedOn w:val="Normal"/>
    <w:next w:val="Normal"/>
    <w:uiPriority w:val="35"/>
    <w:unhideWhenUsed/>
    <w:qFormat/>
    <w:rsid w:val="00F402F6"/>
    <w:pPr>
      <w:spacing w:line="240" w:lineRule="auto"/>
    </w:pPr>
    <w:rPr>
      <w:i/>
      <w:iCs/>
      <w:color w:val="1F497D" w:themeColor="text2"/>
      <w:sz w:val="18"/>
      <w:szCs w:val="18"/>
    </w:rPr>
  </w:style>
  <w:style w:type="paragraph" w:styleId="NormalWeb">
    <w:name w:val="Normal (Web)"/>
    <w:basedOn w:val="Normal"/>
    <w:uiPriority w:val="99"/>
    <w:semiHidden/>
    <w:unhideWhenUsed/>
    <w:rsid w:val="00D9257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ListParagraphChar">
    <w:name w:val="List Paragraph Char"/>
    <w:link w:val="ListParagraph"/>
    <w:uiPriority w:val="34"/>
    <w:locked/>
    <w:rsid w:val="00D77B50"/>
    <w:rPr>
      <w:rFonts w:ascii="Calibri" w:eastAsia="Calibri" w:hAnsi="Calibri" w:cs="Calibri"/>
    </w:rPr>
  </w:style>
  <w:style w:type="paragraph" w:customStyle="1" w:styleId="EFAContent">
    <w:name w:val="EFAContent"/>
    <w:link w:val="EFAContentChar"/>
    <w:qFormat/>
    <w:rsid w:val="00716E5E"/>
    <w:pPr>
      <w:spacing w:before="60" w:after="120" w:line="240" w:lineRule="auto"/>
      <w:jc w:val="both"/>
    </w:pPr>
    <w:rPr>
      <w:rFonts w:ascii="Arial" w:eastAsia="Times New Roman" w:hAnsi="Arial" w:cs="Times New Roman"/>
      <w:color w:val="29282A"/>
      <w:sz w:val="20"/>
      <w:szCs w:val="20"/>
    </w:rPr>
  </w:style>
  <w:style w:type="character" w:customStyle="1" w:styleId="EFAContentChar">
    <w:name w:val="EFAContent Char"/>
    <w:basedOn w:val="DefaultParagraphFont"/>
    <w:link w:val="EFAContent"/>
    <w:rsid w:val="00716E5E"/>
    <w:rPr>
      <w:rFonts w:ascii="Arial" w:eastAsia="Times New Roman" w:hAnsi="Arial" w:cs="Times New Roman"/>
      <w:color w:val="29282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405">
      <w:bodyDiv w:val="1"/>
      <w:marLeft w:val="0"/>
      <w:marRight w:val="0"/>
      <w:marTop w:val="0"/>
      <w:marBottom w:val="0"/>
      <w:divBdr>
        <w:top w:val="none" w:sz="0" w:space="0" w:color="auto"/>
        <w:left w:val="none" w:sz="0" w:space="0" w:color="auto"/>
        <w:bottom w:val="none" w:sz="0" w:space="0" w:color="auto"/>
        <w:right w:val="none" w:sz="0" w:space="0" w:color="auto"/>
      </w:divBdr>
    </w:div>
    <w:div w:id="11537127">
      <w:bodyDiv w:val="1"/>
      <w:marLeft w:val="0"/>
      <w:marRight w:val="0"/>
      <w:marTop w:val="0"/>
      <w:marBottom w:val="0"/>
      <w:divBdr>
        <w:top w:val="none" w:sz="0" w:space="0" w:color="auto"/>
        <w:left w:val="none" w:sz="0" w:space="0" w:color="auto"/>
        <w:bottom w:val="none" w:sz="0" w:space="0" w:color="auto"/>
        <w:right w:val="none" w:sz="0" w:space="0" w:color="auto"/>
      </w:divBdr>
    </w:div>
    <w:div w:id="66343684">
      <w:bodyDiv w:val="1"/>
      <w:marLeft w:val="0"/>
      <w:marRight w:val="0"/>
      <w:marTop w:val="0"/>
      <w:marBottom w:val="0"/>
      <w:divBdr>
        <w:top w:val="none" w:sz="0" w:space="0" w:color="auto"/>
        <w:left w:val="none" w:sz="0" w:space="0" w:color="auto"/>
        <w:bottom w:val="none" w:sz="0" w:space="0" w:color="auto"/>
        <w:right w:val="none" w:sz="0" w:space="0" w:color="auto"/>
      </w:divBdr>
    </w:div>
    <w:div w:id="84693534">
      <w:bodyDiv w:val="1"/>
      <w:marLeft w:val="0"/>
      <w:marRight w:val="0"/>
      <w:marTop w:val="0"/>
      <w:marBottom w:val="0"/>
      <w:divBdr>
        <w:top w:val="none" w:sz="0" w:space="0" w:color="auto"/>
        <w:left w:val="none" w:sz="0" w:space="0" w:color="auto"/>
        <w:bottom w:val="none" w:sz="0" w:space="0" w:color="auto"/>
        <w:right w:val="none" w:sz="0" w:space="0" w:color="auto"/>
      </w:divBdr>
      <w:divsChild>
        <w:div w:id="1064138807">
          <w:marLeft w:val="0"/>
          <w:marRight w:val="0"/>
          <w:marTop w:val="0"/>
          <w:marBottom w:val="0"/>
          <w:divBdr>
            <w:top w:val="none" w:sz="0" w:space="0" w:color="auto"/>
            <w:left w:val="none" w:sz="0" w:space="0" w:color="auto"/>
            <w:bottom w:val="none" w:sz="0" w:space="0" w:color="auto"/>
            <w:right w:val="none" w:sz="0" w:space="0" w:color="auto"/>
          </w:divBdr>
        </w:div>
      </w:divsChild>
    </w:div>
    <w:div w:id="337927548">
      <w:bodyDiv w:val="1"/>
      <w:marLeft w:val="0"/>
      <w:marRight w:val="0"/>
      <w:marTop w:val="0"/>
      <w:marBottom w:val="0"/>
      <w:divBdr>
        <w:top w:val="none" w:sz="0" w:space="0" w:color="auto"/>
        <w:left w:val="none" w:sz="0" w:space="0" w:color="auto"/>
        <w:bottom w:val="none" w:sz="0" w:space="0" w:color="auto"/>
        <w:right w:val="none" w:sz="0" w:space="0" w:color="auto"/>
      </w:divBdr>
    </w:div>
    <w:div w:id="573123282">
      <w:bodyDiv w:val="1"/>
      <w:marLeft w:val="0"/>
      <w:marRight w:val="0"/>
      <w:marTop w:val="0"/>
      <w:marBottom w:val="0"/>
      <w:divBdr>
        <w:top w:val="none" w:sz="0" w:space="0" w:color="auto"/>
        <w:left w:val="none" w:sz="0" w:space="0" w:color="auto"/>
        <w:bottom w:val="none" w:sz="0" w:space="0" w:color="auto"/>
        <w:right w:val="none" w:sz="0" w:space="0" w:color="auto"/>
      </w:divBdr>
    </w:div>
    <w:div w:id="830222477">
      <w:bodyDiv w:val="1"/>
      <w:marLeft w:val="0"/>
      <w:marRight w:val="0"/>
      <w:marTop w:val="0"/>
      <w:marBottom w:val="0"/>
      <w:divBdr>
        <w:top w:val="none" w:sz="0" w:space="0" w:color="auto"/>
        <w:left w:val="none" w:sz="0" w:space="0" w:color="auto"/>
        <w:bottom w:val="none" w:sz="0" w:space="0" w:color="auto"/>
        <w:right w:val="none" w:sz="0" w:space="0" w:color="auto"/>
      </w:divBdr>
      <w:divsChild>
        <w:div w:id="355817009">
          <w:marLeft w:val="0"/>
          <w:marRight w:val="0"/>
          <w:marTop w:val="0"/>
          <w:marBottom w:val="0"/>
          <w:divBdr>
            <w:top w:val="none" w:sz="0" w:space="0" w:color="auto"/>
            <w:left w:val="none" w:sz="0" w:space="0" w:color="auto"/>
            <w:bottom w:val="none" w:sz="0" w:space="0" w:color="auto"/>
            <w:right w:val="none" w:sz="0" w:space="0" w:color="auto"/>
          </w:divBdr>
        </w:div>
      </w:divsChild>
    </w:div>
    <w:div w:id="840390930">
      <w:bodyDiv w:val="1"/>
      <w:marLeft w:val="0"/>
      <w:marRight w:val="0"/>
      <w:marTop w:val="0"/>
      <w:marBottom w:val="0"/>
      <w:divBdr>
        <w:top w:val="none" w:sz="0" w:space="0" w:color="auto"/>
        <w:left w:val="none" w:sz="0" w:space="0" w:color="auto"/>
        <w:bottom w:val="none" w:sz="0" w:space="0" w:color="auto"/>
        <w:right w:val="none" w:sz="0" w:space="0" w:color="auto"/>
      </w:divBdr>
    </w:div>
    <w:div w:id="928392782">
      <w:bodyDiv w:val="1"/>
      <w:marLeft w:val="0"/>
      <w:marRight w:val="0"/>
      <w:marTop w:val="0"/>
      <w:marBottom w:val="0"/>
      <w:divBdr>
        <w:top w:val="none" w:sz="0" w:space="0" w:color="auto"/>
        <w:left w:val="none" w:sz="0" w:space="0" w:color="auto"/>
        <w:bottom w:val="none" w:sz="0" w:space="0" w:color="auto"/>
        <w:right w:val="none" w:sz="0" w:space="0" w:color="auto"/>
      </w:divBdr>
    </w:div>
    <w:div w:id="1161845752">
      <w:bodyDiv w:val="1"/>
      <w:marLeft w:val="0"/>
      <w:marRight w:val="0"/>
      <w:marTop w:val="0"/>
      <w:marBottom w:val="0"/>
      <w:divBdr>
        <w:top w:val="none" w:sz="0" w:space="0" w:color="auto"/>
        <w:left w:val="none" w:sz="0" w:space="0" w:color="auto"/>
        <w:bottom w:val="none" w:sz="0" w:space="0" w:color="auto"/>
        <w:right w:val="none" w:sz="0" w:space="0" w:color="auto"/>
      </w:divBdr>
    </w:div>
    <w:div w:id="1195801217">
      <w:bodyDiv w:val="1"/>
      <w:marLeft w:val="0"/>
      <w:marRight w:val="0"/>
      <w:marTop w:val="0"/>
      <w:marBottom w:val="0"/>
      <w:divBdr>
        <w:top w:val="none" w:sz="0" w:space="0" w:color="auto"/>
        <w:left w:val="none" w:sz="0" w:space="0" w:color="auto"/>
        <w:bottom w:val="none" w:sz="0" w:space="0" w:color="auto"/>
        <w:right w:val="none" w:sz="0" w:space="0" w:color="auto"/>
      </w:divBdr>
    </w:div>
    <w:div w:id="1207449817">
      <w:bodyDiv w:val="1"/>
      <w:marLeft w:val="0"/>
      <w:marRight w:val="0"/>
      <w:marTop w:val="0"/>
      <w:marBottom w:val="0"/>
      <w:divBdr>
        <w:top w:val="none" w:sz="0" w:space="0" w:color="auto"/>
        <w:left w:val="none" w:sz="0" w:space="0" w:color="auto"/>
        <w:bottom w:val="none" w:sz="0" w:space="0" w:color="auto"/>
        <w:right w:val="none" w:sz="0" w:space="0" w:color="auto"/>
      </w:divBdr>
    </w:div>
    <w:div w:id="1335377579">
      <w:bodyDiv w:val="1"/>
      <w:marLeft w:val="0"/>
      <w:marRight w:val="0"/>
      <w:marTop w:val="0"/>
      <w:marBottom w:val="0"/>
      <w:divBdr>
        <w:top w:val="none" w:sz="0" w:space="0" w:color="auto"/>
        <w:left w:val="none" w:sz="0" w:space="0" w:color="auto"/>
        <w:bottom w:val="none" w:sz="0" w:space="0" w:color="auto"/>
        <w:right w:val="none" w:sz="0" w:space="0" w:color="auto"/>
      </w:divBdr>
    </w:div>
    <w:div w:id="1532887298">
      <w:bodyDiv w:val="1"/>
      <w:marLeft w:val="0"/>
      <w:marRight w:val="0"/>
      <w:marTop w:val="0"/>
      <w:marBottom w:val="0"/>
      <w:divBdr>
        <w:top w:val="none" w:sz="0" w:space="0" w:color="auto"/>
        <w:left w:val="none" w:sz="0" w:space="0" w:color="auto"/>
        <w:bottom w:val="none" w:sz="0" w:space="0" w:color="auto"/>
        <w:right w:val="none" w:sz="0" w:space="0" w:color="auto"/>
      </w:divBdr>
      <w:divsChild>
        <w:div w:id="1805662598">
          <w:marLeft w:val="0"/>
          <w:marRight w:val="0"/>
          <w:marTop w:val="0"/>
          <w:marBottom w:val="0"/>
          <w:divBdr>
            <w:top w:val="none" w:sz="0" w:space="0" w:color="auto"/>
            <w:left w:val="none" w:sz="0" w:space="0" w:color="auto"/>
            <w:bottom w:val="none" w:sz="0" w:space="0" w:color="auto"/>
            <w:right w:val="none" w:sz="0" w:space="0" w:color="auto"/>
          </w:divBdr>
        </w:div>
      </w:divsChild>
    </w:div>
    <w:div w:id="1697995889">
      <w:bodyDiv w:val="1"/>
      <w:marLeft w:val="0"/>
      <w:marRight w:val="0"/>
      <w:marTop w:val="0"/>
      <w:marBottom w:val="0"/>
      <w:divBdr>
        <w:top w:val="none" w:sz="0" w:space="0" w:color="auto"/>
        <w:left w:val="none" w:sz="0" w:space="0" w:color="auto"/>
        <w:bottom w:val="none" w:sz="0" w:space="0" w:color="auto"/>
        <w:right w:val="none" w:sz="0" w:space="0" w:color="auto"/>
      </w:divBdr>
    </w:div>
    <w:div w:id="1895576008">
      <w:bodyDiv w:val="1"/>
      <w:marLeft w:val="0"/>
      <w:marRight w:val="0"/>
      <w:marTop w:val="0"/>
      <w:marBottom w:val="0"/>
      <w:divBdr>
        <w:top w:val="none" w:sz="0" w:space="0" w:color="auto"/>
        <w:left w:val="none" w:sz="0" w:space="0" w:color="auto"/>
        <w:bottom w:val="none" w:sz="0" w:space="0" w:color="auto"/>
        <w:right w:val="none" w:sz="0" w:space="0" w:color="auto"/>
      </w:divBdr>
    </w:div>
    <w:div w:id="198681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 Id="rId27"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ipa.com.vn\vndirect\KeToanKiemSoat\Ketoan_kiemsoat\BAO%20CAO%20GUI%20TAP%20DOAN\2018\DAI%20HOI%20CO%20DONG\S&#7889;%20li&#7879;u%20n&#259;m%20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pa.com.vn\vndirect\KeToanKiemSoat\Ketoan_kiemsoat\BAO%20CAO%20GUI%20TAP%20DOAN\2019\B&#225;o%20c&#225;o%20h&#7885;p%20H&#272;QT%202018%20v&#224;%20b&#225;o%20c&#225;o%20th&#432;&#7901;ng%20ni&#234;n\Data_n&#259;m_B&#225;o%20c&#225;o%20th&#432;&#7901;ng%20ni&#234;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ipa.com.vn\vndirect\KeToanKiemSoat\Ketoan_kiemsoat\BAO%20CAO%20GUI%20TAP%20DOAN\2019\B&#225;o%20c&#225;o%20h&#7885;p%20H&#272;QT%202018%20v&#224;%20b&#225;o%20c&#225;o%20th&#432;&#7901;ng%20ni&#234;n\Data_n&#259;m_B&#225;o%20c&#225;o%20th&#432;&#7901;ng%20ni&#234;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ipa.com.vn\vndirect\KeToanKiemSoat\Ketoan_kiemsoat\BAO%20CAO%20GUI%20TAP%20DOAN\2019\B&#225;o%20c&#225;o%20h&#7885;p%20H&#272;QT%202018%20v&#224;%20b&#225;o%20c&#225;o%20th&#432;&#7901;ng%20ni&#234;n\Data_n&#259;m_B&#225;o%20c&#225;o%20th&#432;&#7901;ng%20ni&#234;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ipa.com.vn\vndirect\KeToanKiemSoat\Ketoan_kiemsoat\BAO%20CAO%20GUI%20TAP%20DOAN\2018\DAI%20HOI%20CO%20DONG\S&#7889;%20li&#7879;u%20n&#259;m%20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b="1">
                <a:latin typeface="Arial" panose="020B0604020202020204" pitchFamily="34" charset="0"/>
                <a:cs typeface="Arial" panose="020B0604020202020204" pitchFamily="34" charset="0"/>
              </a:rPr>
              <a:t>Thị phần môi giới CP, CCQ  giai đoạn</a:t>
            </a:r>
            <a:r>
              <a:rPr lang="en-US" sz="1200" b="1" baseline="0">
                <a:latin typeface="Arial" panose="020B0604020202020204" pitchFamily="34" charset="0"/>
                <a:cs typeface="Arial" panose="020B0604020202020204" pitchFamily="34" charset="0"/>
              </a:rPr>
              <a:t> </a:t>
            </a:r>
            <a:r>
              <a:rPr lang="en-US" sz="1200" b="1">
                <a:latin typeface="Arial" panose="020B0604020202020204" pitchFamily="34" charset="0"/>
                <a:cs typeface="Arial" panose="020B0604020202020204" pitchFamily="34" charset="0"/>
              </a:rPr>
              <a:t>2014-2018</a:t>
            </a:r>
          </a:p>
        </c:rich>
      </c:tx>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8.953937007874016E-2"/>
          <c:y val="2.8194444444444446E-2"/>
          <c:w val="0.86601618547681536"/>
          <c:h val="0.61498432487605714"/>
        </c:manualLayout>
      </c:layout>
      <c:lineChart>
        <c:grouping val="standard"/>
        <c:varyColors val="0"/>
        <c:ser>
          <c:idx val="0"/>
          <c:order val="0"/>
          <c:tx>
            <c:strRef>
              <c:f>'Thị phần'!$C$3</c:f>
              <c:strCache>
                <c:ptCount val="1"/>
                <c:pt idx="0">
                  <c:v>sàn Hose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8.4479221347331587E-2"/>
                  <c:y val="3.4756853310002833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0947674093929749E-2"/>
                  <c:y val="-2.8805299939917151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5.3526858465709197E-2"/>
                  <c:y val="-3.6837428453973371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'Thị phần'!$D$2:$H$2</c:f>
              <c:numCache>
                <c:formatCode>General</c:formatCode>
                <c:ptCount val="5"/>
                <c:pt idx="0">
                  <c:v>2014</c:v>
                </c:pt>
                <c:pt idx="1">
                  <c:v>2015</c:v>
                </c:pt>
                <c:pt idx="2">
                  <c:v>2016</c:v>
                </c:pt>
                <c:pt idx="3">
                  <c:v>2017</c:v>
                </c:pt>
                <c:pt idx="4">
                  <c:v>2018</c:v>
                </c:pt>
              </c:numCache>
            </c:numRef>
          </c:cat>
          <c:val>
            <c:numRef>
              <c:f>'Thị phần'!$D$3:$H$3</c:f>
              <c:numCache>
                <c:formatCode>0.0%</c:formatCode>
                <c:ptCount val="5"/>
                <c:pt idx="0">
                  <c:v>5.8000000000000003E-2</c:v>
                </c:pt>
                <c:pt idx="1">
                  <c:v>5.7000000000000002E-2</c:v>
                </c:pt>
                <c:pt idx="2">
                  <c:v>6.0999999999999999E-2</c:v>
                </c:pt>
                <c:pt idx="3">
                  <c:v>7.1999999999999995E-2</c:v>
                </c:pt>
                <c:pt idx="4">
                  <c:v>7.3099999999999998E-2</c:v>
                </c:pt>
              </c:numCache>
            </c:numRef>
          </c:val>
          <c:smooth val="0"/>
        </c:ser>
        <c:ser>
          <c:idx val="1"/>
          <c:order val="1"/>
          <c:tx>
            <c:strRef>
              <c:f>'Thị phần'!$C$4</c:f>
              <c:strCache>
                <c:ptCount val="1"/>
                <c:pt idx="0">
                  <c:v>Sàn HNX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3"/>
              <c:layout>
                <c:manualLayout>
                  <c:x val="-1.9472324179981349E-3"/>
                  <c:y val="-0.1251908421085918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'Thị phần'!$D$2:$H$2</c:f>
              <c:numCache>
                <c:formatCode>General</c:formatCode>
                <c:ptCount val="5"/>
                <c:pt idx="0">
                  <c:v>2014</c:v>
                </c:pt>
                <c:pt idx="1">
                  <c:v>2015</c:v>
                </c:pt>
                <c:pt idx="2">
                  <c:v>2016</c:v>
                </c:pt>
                <c:pt idx="3">
                  <c:v>2017</c:v>
                </c:pt>
                <c:pt idx="4">
                  <c:v>2018</c:v>
                </c:pt>
              </c:numCache>
            </c:numRef>
          </c:cat>
          <c:val>
            <c:numRef>
              <c:f>'Thị phần'!$D$4:$H$4</c:f>
              <c:numCache>
                <c:formatCode>0.0%</c:formatCode>
                <c:ptCount val="5"/>
                <c:pt idx="0">
                  <c:v>7.0000000000000007E-2</c:v>
                </c:pt>
                <c:pt idx="1">
                  <c:v>8.1000000000000003E-2</c:v>
                </c:pt>
                <c:pt idx="2">
                  <c:v>9.4E-2</c:v>
                </c:pt>
                <c:pt idx="3">
                  <c:v>8.14E-2</c:v>
                </c:pt>
                <c:pt idx="4">
                  <c:v>9.1600000000000001E-2</c:v>
                </c:pt>
              </c:numCache>
            </c:numRef>
          </c:val>
          <c:smooth val="0"/>
        </c:ser>
        <c:ser>
          <c:idx val="2"/>
          <c:order val="2"/>
          <c:tx>
            <c:strRef>
              <c:f>'Thị phần'!$C$5</c:f>
              <c:strCache>
                <c:ptCount val="1"/>
                <c:pt idx="0">
                  <c:v>Phái sinh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'Thị phần'!$D$2:$H$2</c:f>
              <c:numCache>
                <c:formatCode>General</c:formatCode>
                <c:ptCount val="5"/>
                <c:pt idx="0">
                  <c:v>2014</c:v>
                </c:pt>
                <c:pt idx="1">
                  <c:v>2015</c:v>
                </c:pt>
                <c:pt idx="2">
                  <c:v>2016</c:v>
                </c:pt>
                <c:pt idx="3">
                  <c:v>2017</c:v>
                </c:pt>
                <c:pt idx="4">
                  <c:v>2018</c:v>
                </c:pt>
              </c:numCache>
            </c:numRef>
          </c:cat>
          <c:val>
            <c:numRef>
              <c:f>'Thị phần'!$D$5:$H$5</c:f>
              <c:numCache>
                <c:formatCode>General</c:formatCode>
                <c:ptCount val="5"/>
                <c:pt idx="3" formatCode="0.0%">
                  <c:v>0.2089</c:v>
                </c:pt>
                <c:pt idx="4" formatCode="0.0%">
                  <c:v>0.2392</c:v>
                </c:pt>
              </c:numCache>
            </c:numRef>
          </c:val>
          <c:smooth val="0"/>
        </c:ser>
        <c:dLbls>
          <c:dLblPos val="t"/>
          <c:showLegendKey val="0"/>
          <c:showVal val="1"/>
          <c:showCatName val="0"/>
          <c:showSerName val="0"/>
          <c:showPercent val="0"/>
          <c:showBubbleSize val="0"/>
        </c:dLbls>
        <c:marker val="1"/>
        <c:smooth val="0"/>
        <c:axId val="478542288"/>
        <c:axId val="438331616"/>
      </c:lineChart>
      <c:catAx>
        <c:axId val="47854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331616"/>
        <c:crosses val="autoZero"/>
        <c:auto val="1"/>
        <c:lblAlgn val="ctr"/>
        <c:lblOffset val="100"/>
        <c:noMultiLvlLbl val="0"/>
      </c:catAx>
      <c:valAx>
        <c:axId val="43833161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42288"/>
        <c:crosses val="autoZero"/>
        <c:crossBetween val="between"/>
      </c:valAx>
      <c:spPr>
        <a:noFill/>
        <a:ln>
          <a:noFill/>
        </a:ln>
        <a:effectLst/>
      </c:spPr>
    </c:plotArea>
    <c:legend>
      <c:legendPos val="b"/>
      <c:layout>
        <c:manualLayout>
          <c:xMode val="edge"/>
          <c:yMode val="edge"/>
          <c:x val="0.16798367322073138"/>
          <c:y val="0.82751193751383489"/>
          <c:w val="0.56795664046819638"/>
          <c:h val="6.550577883735077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Số lượng tài khoản nhà đầu tư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Sheet1!$A$4</c:f>
              <c:strCache>
                <c:ptCount val="1"/>
                <c:pt idx="0">
                  <c:v>Năm </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Sheet1!$A$5:$A$8</c:f>
              <c:numCache>
                <c:formatCode>General</c:formatCode>
                <c:ptCount val="4"/>
                <c:pt idx="0">
                  <c:v>2015</c:v>
                </c:pt>
                <c:pt idx="1">
                  <c:v>2016</c:v>
                </c:pt>
                <c:pt idx="2">
                  <c:v>2017</c:v>
                </c:pt>
                <c:pt idx="3">
                  <c:v>2018</c:v>
                </c:pt>
              </c:numCache>
            </c:numRef>
          </c:val>
          <c:smooth val="0"/>
        </c:ser>
        <c:ser>
          <c:idx val="1"/>
          <c:order val="1"/>
          <c:tx>
            <c:strRef>
              <c:f>Sheet1!$K$4</c:f>
              <c:strCache>
                <c:ptCount val="1"/>
                <c:pt idx="0">
                  <c:v>Số lượng tài khoản</c:v>
                </c:pt>
              </c:strCache>
            </c:strRef>
          </c:tx>
          <c:spPr>
            <a:ln w="28575" cap="rnd">
              <a:solidFill>
                <a:schemeClr val="accent2"/>
              </a:solidFill>
              <a:round/>
            </a:ln>
            <a:effectLst/>
          </c:spPr>
          <c:marker>
            <c:symbol val="none"/>
          </c:marker>
          <c:dLbls>
            <c:dLbl>
              <c:idx val="0"/>
              <c:layout>
                <c:manualLayout>
                  <c:x val="-4.785671641791045E-2"/>
                  <c:y val="-8.9934278796264269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5.5689552238806013E-2"/>
                  <c:y val="-0.117606364579730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5.8077611940298507E-2"/>
                  <c:y val="-6.9180214458664818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5.0913432835820893E-2"/>
                  <c:y val="-6.2262193012798339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Sheet1!$K$5:$K$8</c:f>
              <c:numCache>
                <c:formatCode>_(* #,##0_);_(* \(#,##0\);_(* "-"??_);_(@_)</c:formatCode>
                <c:ptCount val="4"/>
                <c:pt idx="0">
                  <c:v>74594</c:v>
                </c:pt>
                <c:pt idx="1">
                  <c:v>103509</c:v>
                </c:pt>
                <c:pt idx="2">
                  <c:v>137839</c:v>
                </c:pt>
                <c:pt idx="3">
                  <c:v>189796</c:v>
                </c:pt>
              </c:numCache>
            </c:numRef>
          </c:val>
          <c:smooth val="0"/>
        </c:ser>
        <c:dLbls>
          <c:dLblPos val="ctr"/>
          <c:showLegendKey val="0"/>
          <c:showVal val="1"/>
          <c:showCatName val="0"/>
          <c:showSerName val="0"/>
          <c:showPercent val="0"/>
          <c:showBubbleSize val="0"/>
        </c:dLbls>
        <c:upDownBars>
          <c:gapWidth val="199"/>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smooth val="0"/>
        <c:axId val="466807824"/>
        <c:axId val="520989264"/>
      </c:lineChart>
      <c:catAx>
        <c:axId val="466807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989264"/>
        <c:crosses val="autoZero"/>
        <c:auto val="1"/>
        <c:lblAlgn val="ctr"/>
        <c:lblOffset val="100"/>
        <c:noMultiLvlLbl val="0"/>
      </c:catAx>
      <c:valAx>
        <c:axId val="52098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807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300">
                <a:latin typeface="Times New Roman" panose="02020603050405020304" pitchFamily="18" charset="0"/>
                <a:cs typeface="Times New Roman" panose="02020603050405020304" pitchFamily="18" charset="0"/>
              </a:rPr>
              <a:t>Tài sản quản lý của khách hàng</a:t>
            </a:r>
          </a:p>
        </c:rich>
      </c:tx>
      <c:layout/>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Sheet1!$B$20</c:f>
              <c:strCache>
                <c:ptCount val="1"/>
                <c:pt idx="0">
                  <c:v>Tài sản quản lý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5020895522388057E-2"/>
                  <c:y val="-0.1106883431338637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6.696119402985079E-2"/>
                  <c:y val="-8.9934278796264269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6.9349253731343277E-2"/>
                  <c:y val="-9.6852300242130748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6.218507462686567E-2"/>
                  <c:y val="-9.6852300242130748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Sheet1!$A$21:$A$24</c:f>
              <c:numCache>
                <c:formatCode>General</c:formatCode>
                <c:ptCount val="4"/>
                <c:pt idx="0">
                  <c:v>2015</c:v>
                </c:pt>
                <c:pt idx="1">
                  <c:v>2016</c:v>
                </c:pt>
                <c:pt idx="2">
                  <c:v>2017</c:v>
                </c:pt>
                <c:pt idx="3">
                  <c:v>2018</c:v>
                </c:pt>
              </c:numCache>
            </c:numRef>
          </c:cat>
          <c:val>
            <c:numRef>
              <c:f>Sheet1!$B$21:$B$24</c:f>
              <c:numCache>
                <c:formatCode>_(* #,##0_);_(* \(#,##0\);_(* "-"??_);_(@_)</c:formatCode>
                <c:ptCount val="4"/>
                <c:pt idx="0">
                  <c:v>21177.599999999999</c:v>
                </c:pt>
                <c:pt idx="1">
                  <c:v>20378.900000000001</c:v>
                </c:pt>
                <c:pt idx="2">
                  <c:v>34560</c:v>
                </c:pt>
                <c:pt idx="3">
                  <c:v>43241.3</c:v>
                </c:pt>
              </c:numCache>
            </c:numRef>
          </c:val>
          <c:smooth val="0"/>
        </c:ser>
        <c:dLbls>
          <c:dLblPos val="ctr"/>
          <c:showLegendKey val="0"/>
          <c:showVal val="1"/>
          <c:showCatName val="0"/>
          <c:showSerName val="0"/>
          <c:showPercent val="0"/>
          <c:showBubbleSize val="0"/>
        </c:dLbls>
        <c:upDownBars>
          <c:gapWidth val="219"/>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marker val="1"/>
        <c:smooth val="0"/>
        <c:axId val="703230296"/>
        <c:axId val="703230688"/>
      </c:lineChart>
      <c:catAx>
        <c:axId val="703230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3230688"/>
        <c:crosses val="autoZero"/>
        <c:auto val="1"/>
        <c:lblAlgn val="ctr"/>
        <c:lblOffset val="100"/>
        <c:noMultiLvlLbl val="0"/>
      </c:catAx>
      <c:valAx>
        <c:axId val="70323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Tỷ</a:t>
                </a:r>
                <a:r>
                  <a:rPr lang="en-US" baseline="0"/>
                  <a:t> đổng</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3230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Phí</a:t>
            </a:r>
            <a:r>
              <a:rPr lang="en-US" baseline="0">
                <a:latin typeface="Times New Roman" panose="02020603050405020304" pitchFamily="18" charset="0"/>
                <a:cs typeface="Times New Roman" panose="02020603050405020304" pitchFamily="18" charset="0"/>
              </a:rPr>
              <a:t> giao dịch </a:t>
            </a:r>
            <a:endParaRPr lang="en-US">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3331146106736651E-2"/>
          <c:y val="0.17171296296296298"/>
          <c:w val="0.87889107611548556"/>
          <c:h val="0.54596032638777292"/>
        </c:manualLayout>
      </c:layout>
      <c:lineChart>
        <c:grouping val="standard"/>
        <c:varyColors val="0"/>
        <c:ser>
          <c:idx val="2"/>
          <c:order val="0"/>
          <c:tx>
            <c:strRef>
              <c:f>Sheet1!$B$27</c:f>
              <c:strCache>
                <c:ptCount val="1"/>
                <c:pt idx="0">
                  <c:v>Phí giao dịch </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Sheet1!$A$28:$A$31</c:f>
              <c:numCache>
                <c:formatCode>General</c:formatCode>
                <c:ptCount val="4"/>
                <c:pt idx="0">
                  <c:v>2015</c:v>
                </c:pt>
                <c:pt idx="1">
                  <c:v>2016</c:v>
                </c:pt>
                <c:pt idx="2">
                  <c:v>2017</c:v>
                </c:pt>
                <c:pt idx="3">
                  <c:v>2018</c:v>
                </c:pt>
              </c:numCache>
            </c:numRef>
          </c:cat>
          <c:val>
            <c:numRef>
              <c:f>Sheet1!$B$28:$B$31</c:f>
              <c:numCache>
                <c:formatCode>_(* #,##0_);_(* \(#,##0\);_(* "-"??_);_(@_)</c:formatCode>
                <c:ptCount val="4"/>
                <c:pt idx="0">
                  <c:v>148.21600000000004</c:v>
                </c:pt>
                <c:pt idx="1">
                  <c:v>186.18099999999998</c:v>
                </c:pt>
                <c:pt idx="2">
                  <c:v>344.88299999999998</c:v>
                </c:pt>
                <c:pt idx="3">
                  <c:v>534.0920000000001</c:v>
                </c:pt>
              </c:numCache>
            </c:numRef>
          </c:val>
          <c:smooth val="0"/>
        </c:ser>
        <c:dLbls>
          <c:dLblPos val="t"/>
          <c:showLegendKey val="0"/>
          <c:showVal val="1"/>
          <c:showCatName val="0"/>
          <c:showSerName val="0"/>
          <c:showPercent val="0"/>
          <c:showBubbleSize val="0"/>
        </c:dLbls>
        <c:upDownBars>
          <c:gapWidth val="150"/>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smooth val="0"/>
        <c:axId val="703231472"/>
        <c:axId val="430967432"/>
      </c:lineChart>
      <c:catAx>
        <c:axId val="7032314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67432"/>
        <c:crosses val="autoZero"/>
        <c:auto val="1"/>
        <c:lblAlgn val="ctr"/>
        <c:lblOffset val="100"/>
        <c:noMultiLvlLbl val="0"/>
      </c:catAx>
      <c:valAx>
        <c:axId val="43096743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3231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b="1">
                <a:latin typeface="Arial" panose="020B0604020202020204" pitchFamily="34" charset="0"/>
                <a:cs typeface="Arial" panose="020B0604020202020204" pitchFamily="34" charset="0"/>
              </a:rPr>
              <a:t>Số</a:t>
            </a:r>
            <a:r>
              <a:rPr lang="en-US" sz="1200" b="1" baseline="0">
                <a:latin typeface="Arial" panose="020B0604020202020204" pitchFamily="34" charset="0"/>
                <a:cs typeface="Arial" panose="020B0604020202020204" pitchFamily="34" charset="0"/>
              </a:rPr>
              <a:t> lượng user truy cập qua bảng giá theo tháng năm 2018</a:t>
            </a:r>
            <a:endParaRPr lang="en-US" sz="1200" b="1">
              <a:latin typeface="Arial" panose="020B0604020202020204" pitchFamily="34" charset="0"/>
              <a:cs typeface="Arial" panose="020B0604020202020204" pitchFamily="34" charset="0"/>
            </a:endParaRPr>
          </a:p>
        </c:rich>
      </c:tx>
      <c:layout>
        <c:manualLayout>
          <c:xMode val="edge"/>
          <c:yMode val="edge"/>
          <c:x val="0.13823808728639753"/>
          <c:y val="2.2637234221936871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1207015110060671"/>
          <c:y val="0.16792300345832772"/>
          <c:w val="0.87052908761608716"/>
          <c:h val="0.62348219127001303"/>
        </c:manualLayout>
      </c:layout>
      <c:barChart>
        <c:barDir val="col"/>
        <c:grouping val="clustered"/>
        <c:varyColors val="0"/>
        <c:ser>
          <c:idx val="0"/>
          <c:order val="0"/>
          <c:tx>
            <c:strRef>
              <c:f>'Số lượng user truy cập Protrade'!$B$2</c:f>
              <c:strCache>
                <c:ptCount val="1"/>
                <c:pt idx="0">
                  <c:v>users truy cập</c:v>
                </c:pt>
              </c:strCache>
            </c:strRef>
          </c:tx>
          <c:spPr>
            <a:solidFill>
              <a:schemeClr val="accent1"/>
            </a:solidFill>
            <a:ln>
              <a:noFill/>
            </a:ln>
            <a:effectLst/>
          </c:spPr>
          <c:invertIfNegative val="0"/>
          <c:cat>
            <c:strRef>
              <c:f>'Số lượng user truy cập Protrade'!$A$3:$A$14</c:f>
              <c:strCache>
                <c:ptCount val="12"/>
                <c:pt idx="0">
                  <c:v>01/2018</c:v>
                </c:pt>
                <c:pt idx="1">
                  <c:v>02/2018</c:v>
                </c:pt>
                <c:pt idx="2">
                  <c:v>03/2018</c:v>
                </c:pt>
                <c:pt idx="3">
                  <c:v>04/2018</c:v>
                </c:pt>
                <c:pt idx="4">
                  <c:v>05/2018</c:v>
                </c:pt>
                <c:pt idx="5">
                  <c:v>06/2018</c:v>
                </c:pt>
                <c:pt idx="6">
                  <c:v>07/2018</c:v>
                </c:pt>
                <c:pt idx="7">
                  <c:v>08/2018</c:v>
                </c:pt>
                <c:pt idx="8">
                  <c:v>09/2018</c:v>
                </c:pt>
                <c:pt idx="9">
                  <c:v>10/2018</c:v>
                </c:pt>
                <c:pt idx="10">
                  <c:v>11/2018</c:v>
                </c:pt>
                <c:pt idx="11">
                  <c:v>12/2018</c:v>
                </c:pt>
              </c:strCache>
            </c:strRef>
          </c:cat>
          <c:val>
            <c:numRef>
              <c:f>'Số lượng user truy cập Protrade'!$B$3:$B$14</c:f>
              <c:numCache>
                <c:formatCode>_(* #,##0_);_(* \(#,##0\);_(* "-"??_);_(@_)</c:formatCode>
                <c:ptCount val="12"/>
                <c:pt idx="0">
                  <c:v>80309</c:v>
                </c:pt>
                <c:pt idx="1">
                  <c:v>108986</c:v>
                </c:pt>
                <c:pt idx="2">
                  <c:v>105235</c:v>
                </c:pt>
                <c:pt idx="3">
                  <c:v>105575</c:v>
                </c:pt>
                <c:pt idx="4">
                  <c:v>103087</c:v>
                </c:pt>
                <c:pt idx="5">
                  <c:v>93390</c:v>
                </c:pt>
                <c:pt idx="6">
                  <c:v>113780</c:v>
                </c:pt>
                <c:pt idx="7">
                  <c:v>110669</c:v>
                </c:pt>
                <c:pt idx="8">
                  <c:v>119923</c:v>
                </c:pt>
                <c:pt idx="9">
                  <c:v>115188</c:v>
                </c:pt>
                <c:pt idx="10">
                  <c:v>107295</c:v>
                </c:pt>
                <c:pt idx="11">
                  <c:v>106712</c:v>
                </c:pt>
              </c:numCache>
            </c:numRef>
          </c:val>
        </c:ser>
        <c:dLbls>
          <c:showLegendKey val="0"/>
          <c:showVal val="0"/>
          <c:showCatName val="0"/>
          <c:showSerName val="0"/>
          <c:showPercent val="0"/>
          <c:showBubbleSize val="0"/>
        </c:dLbls>
        <c:gapWidth val="150"/>
        <c:axId val="430968216"/>
        <c:axId val="430968608"/>
      </c:barChart>
      <c:lineChart>
        <c:grouping val="standard"/>
        <c:varyColors val="0"/>
        <c:ser>
          <c:idx val="1"/>
          <c:order val="1"/>
          <c:tx>
            <c:strRef>
              <c:f>'Số lượng user truy cập Protrade'!$C$2</c:f>
              <c:strCache>
                <c:ptCount val="1"/>
                <c:pt idx="0">
                  <c:v>Active user</c:v>
                </c:pt>
              </c:strCache>
            </c:strRef>
          </c:tx>
          <c:spPr>
            <a:ln w="28575" cap="rnd">
              <a:solidFill>
                <a:schemeClr val="accent2"/>
              </a:solidFill>
              <a:round/>
            </a:ln>
            <a:effectLst/>
          </c:spPr>
          <c:marker>
            <c:symbol val="none"/>
          </c:marker>
          <c:cat>
            <c:strRef>
              <c:f>'Số lượng user truy cập Protrade'!$A$3:$A$14</c:f>
              <c:strCache>
                <c:ptCount val="12"/>
                <c:pt idx="0">
                  <c:v>01/2018</c:v>
                </c:pt>
                <c:pt idx="1">
                  <c:v>02/2018</c:v>
                </c:pt>
                <c:pt idx="2">
                  <c:v>03/2018</c:v>
                </c:pt>
                <c:pt idx="3">
                  <c:v>04/2018</c:v>
                </c:pt>
                <c:pt idx="4">
                  <c:v>05/2018</c:v>
                </c:pt>
                <c:pt idx="5">
                  <c:v>06/2018</c:v>
                </c:pt>
                <c:pt idx="6">
                  <c:v>07/2018</c:v>
                </c:pt>
                <c:pt idx="7">
                  <c:v>08/2018</c:v>
                </c:pt>
                <c:pt idx="8">
                  <c:v>09/2018</c:v>
                </c:pt>
                <c:pt idx="9">
                  <c:v>10/2018</c:v>
                </c:pt>
                <c:pt idx="10">
                  <c:v>11/2018</c:v>
                </c:pt>
                <c:pt idx="11">
                  <c:v>12/2018</c:v>
                </c:pt>
              </c:strCache>
            </c:strRef>
          </c:cat>
          <c:val>
            <c:numRef>
              <c:f>'Số lượng user truy cập Protrade'!$C$3:$C$14</c:f>
              <c:numCache>
                <c:formatCode>_(* #,##0_);_(* \(#,##0\);_(* "-"??_);_(@_)</c:formatCode>
                <c:ptCount val="12"/>
                <c:pt idx="0">
                  <c:v>37260.161290322583</c:v>
                </c:pt>
                <c:pt idx="1">
                  <c:v>34650.607142857145</c:v>
                </c:pt>
                <c:pt idx="2">
                  <c:v>46118.129032258068</c:v>
                </c:pt>
                <c:pt idx="3">
                  <c:v>47563.066666666666</c:v>
                </c:pt>
                <c:pt idx="4">
                  <c:v>43939.161290322583</c:v>
                </c:pt>
                <c:pt idx="5">
                  <c:v>46592.166666666664</c:v>
                </c:pt>
                <c:pt idx="6">
                  <c:v>35735.93548387097</c:v>
                </c:pt>
                <c:pt idx="7">
                  <c:v>48981.225806451614</c:v>
                </c:pt>
                <c:pt idx="8">
                  <c:v>50124.73333333333</c:v>
                </c:pt>
                <c:pt idx="9">
                  <c:v>51906.193548387098</c:v>
                </c:pt>
                <c:pt idx="10">
                  <c:v>51123.866666666669</c:v>
                </c:pt>
                <c:pt idx="11">
                  <c:v>49078.774193548386</c:v>
                </c:pt>
              </c:numCache>
            </c:numRef>
          </c:val>
          <c:smooth val="0"/>
        </c:ser>
        <c:dLbls>
          <c:showLegendKey val="0"/>
          <c:showVal val="0"/>
          <c:showCatName val="0"/>
          <c:showSerName val="0"/>
          <c:showPercent val="0"/>
          <c:showBubbleSize val="0"/>
        </c:dLbls>
        <c:marker val="1"/>
        <c:smooth val="0"/>
        <c:axId val="430968216"/>
        <c:axId val="430968608"/>
      </c:lineChart>
      <c:catAx>
        <c:axId val="430968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0968608"/>
        <c:crosses val="autoZero"/>
        <c:auto val="1"/>
        <c:lblAlgn val="ctr"/>
        <c:lblOffset val="100"/>
        <c:noMultiLvlLbl val="0"/>
      </c:catAx>
      <c:valAx>
        <c:axId val="43096860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682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608DF-754A-4024-BD12-D5CAB67B2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9</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nga.tranthanh</dc:creator>
  <cp:lastModifiedBy>DNT</cp:lastModifiedBy>
  <cp:revision>39</cp:revision>
  <cp:lastPrinted>2018-04-18T10:40:00Z</cp:lastPrinted>
  <dcterms:created xsi:type="dcterms:W3CDTF">2018-04-18T11:29:00Z</dcterms:created>
  <dcterms:modified xsi:type="dcterms:W3CDTF">2019-04-10T03:44:00Z</dcterms:modified>
</cp:coreProperties>
</file>