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0D7" w:rsidRPr="00CC4242" w:rsidRDefault="00AA10D7" w:rsidP="00625A5A">
      <w:pPr>
        <w:tabs>
          <w:tab w:val="center" w:pos="7200"/>
        </w:tabs>
        <w:spacing w:before="120" w:line="264" w:lineRule="auto"/>
        <w:jc w:val="center"/>
      </w:pPr>
      <w:r w:rsidRPr="00CC4242">
        <w:t>CỘNG HÒA XÃ HỘI CHỦ NGHĨA VIỆT NAM</w:t>
      </w:r>
    </w:p>
    <w:p w:rsidR="00AA10D7" w:rsidRPr="00CC4242" w:rsidRDefault="00AA10D7" w:rsidP="00625A5A">
      <w:pPr>
        <w:spacing w:before="120" w:line="264" w:lineRule="auto"/>
        <w:jc w:val="center"/>
      </w:pPr>
      <w:r w:rsidRPr="00CC4242">
        <w:t>Độc lập - Tự do - Hạnh phúc</w:t>
      </w:r>
    </w:p>
    <w:p w:rsidR="00AA10D7" w:rsidRPr="00CC4242" w:rsidRDefault="00AA10D7" w:rsidP="00625A5A">
      <w:pPr>
        <w:spacing w:before="120" w:line="264" w:lineRule="auto"/>
        <w:jc w:val="center"/>
        <w:rPr>
          <w:b/>
        </w:rPr>
      </w:pPr>
      <w:r w:rsidRPr="00CC4242">
        <w:rPr>
          <w:b/>
        </w:rPr>
        <w:t>-----------------------------------</w:t>
      </w:r>
    </w:p>
    <w:p w:rsidR="00AA10D7" w:rsidRPr="00CC4242" w:rsidRDefault="00AA10D7" w:rsidP="00625A5A">
      <w:pPr>
        <w:spacing w:before="120" w:line="264" w:lineRule="auto"/>
        <w:jc w:val="right"/>
        <w:rPr>
          <w:i/>
        </w:rPr>
      </w:pPr>
      <w:r w:rsidRPr="00CC4242">
        <w:rPr>
          <w:i/>
        </w:rPr>
        <w:t xml:space="preserve"> </w:t>
      </w:r>
      <w:r w:rsidR="007D44FA" w:rsidRPr="00CC4242">
        <w:rPr>
          <w:i/>
        </w:rPr>
        <w:t>Hà Nội</w:t>
      </w:r>
      <w:r w:rsidRPr="00CC4242">
        <w:rPr>
          <w:i/>
        </w:rPr>
        <w:t xml:space="preserve">, ngày </w:t>
      </w:r>
      <w:r w:rsidR="002370F1" w:rsidRPr="00CC4242">
        <w:rPr>
          <w:i/>
        </w:rPr>
        <w:t xml:space="preserve">  </w:t>
      </w:r>
      <w:r w:rsidR="001222BA" w:rsidRPr="00CC4242">
        <w:rPr>
          <w:i/>
        </w:rPr>
        <w:t xml:space="preserve"> </w:t>
      </w:r>
      <w:r w:rsidR="00B4246D" w:rsidRPr="00CC4242">
        <w:rPr>
          <w:i/>
        </w:rPr>
        <w:t xml:space="preserve"> </w:t>
      </w:r>
      <w:r w:rsidRPr="00CC4242">
        <w:rPr>
          <w:i/>
        </w:rPr>
        <w:t xml:space="preserve">tháng </w:t>
      </w:r>
      <w:r w:rsidR="00050654" w:rsidRPr="00CC4242">
        <w:rPr>
          <w:i/>
        </w:rPr>
        <w:t>4</w:t>
      </w:r>
      <w:r w:rsidRPr="00CC4242">
        <w:rPr>
          <w:i/>
        </w:rPr>
        <w:t xml:space="preserve"> năm </w:t>
      </w:r>
      <w:r w:rsidR="009A5258" w:rsidRPr="00CC4242">
        <w:rPr>
          <w:i/>
        </w:rPr>
        <w:t>2019</w:t>
      </w:r>
    </w:p>
    <w:p w:rsidR="00AA10D7" w:rsidRPr="00CC4242" w:rsidRDefault="00AA10D7" w:rsidP="00625A5A">
      <w:pPr>
        <w:spacing w:before="120" w:line="264" w:lineRule="auto"/>
        <w:jc w:val="center"/>
        <w:rPr>
          <w:b/>
          <w:sz w:val="30"/>
        </w:rPr>
      </w:pPr>
      <w:r w:rsidRPr="00CC4242">
        <w:rPr>
          <w:b/>
          <w:sz w:val="30"/>
        </w:rPr>
        <w:t>QUY CHẾ</w:t>
      </w:r>
    </w:p>
    <w:p w:rsidR="004D528A" w:rsidRPr="00CC4242" w:rsidRDefault="00AA10D7" w:rsidP="00625A5A">
      <w:pPr>
        <w:spacing w:before="120" w:line="264" w:lineRule="auto"/>
        <w:jc w:val="center"/>
        <w:rPr>
          <w:b/>
        </w:rPr>
      </w:pPr>
      <w:r w:rsidRPr="00CC4242">
        <w:rPr>
          <w:b/>
        </w:rPr>
        <w:t xml:space="preserve">TỔ CHỨC HỌP </w:t>
      </w:r>
      <w:r w:rsidR="00001CA4" w:rsidRPr="00CC4242">
        <w:rPr>
          <w:b/>
        </w:rPr>
        <w:t>ĐẠI HỘI ĐỒNG</w:t>
      </w:r>
      <w:r w:rsidRPr="00CC4242">
        <w:rPr>
          <w:b/>
        </w:rPr>
        <w:t xml:space="preserve"> CỔ ĐÔNG THƯỜNG NIÊN NĂM </w:t>
      </w:r>
      <w:r w:rsidR="009A5258" w:rsidRPr="00CC4242">
        <w:rPr>
          <w:b/>
        </w:rPr>
        <w:t>2019</w:t>
      </w:r>
      <w:r w:rsidRPr="00CC4242">
        <w:rPr>
          <w:b/>
        </w:rPr>
        <w:t xml:space="preserve"> </w:t>
      </w:r>
    </w:p>
    <w:p w:rsidR="00AA10D7" w:rsidRPr="00CC4242" w:rsidRDefault="004D528A" w:rsidP="00625A5A">
      <w:pPr>
        <w:spacing w:before="120" w:line="264" w:lineRule="auto"/>
        <w:jc w:val="center"/>
        <w:rPr>
          <w:b/>
        </w:rPr>
      </w:pPr>
      <w:r w:rsidRPr="00CC4242">
        <w:rPr>
          <w:b/>
        </w:rPr>
        <w:t xml:space="preserve"> </w:t>
      </w:r>
      <w:r w:rsidR="00AA10D7" w:rsidRPr="00CC4242">
        <w:rPr>
          <w:b/>
        </w:rPr>
        <w:t>CÔNG TY C</w:t>
      </w:r>
      <w:r w:rsidR="00254BCA" w:rsidRPr="00CC4242">
        <w:rPr>
          <w:b/>
        </w:rPr>
        <w:t>Ổ PHẦN</w:t>
      </w:r>
      <w:r w:rsidR="00AA10D7" w:rsidRPr="00CC4242">
        <w:rPr>
          <w:b/>
        </w:rPr>
        <w:t xml:space="preserve"> </w:t>
      </w:r>
      <w:r w:rsidR="00FF051F" w:rsidRPr="00CC4242">
        <w:rPr>
          <w:b/>
        </w:rPr>
        <w:t>CHỨNG KHOÁN VNDIRECT</w:t>
      </w:r>
    </w:p>
    <w:p w:rsidR="00AA10D7" w:rsidRPr="00CC4242" w:rsidRDefault="00AA10D7" w:rsidP="00625A5A">
      <w:pPr>
        <w:spacing w:before="120" w:line="264" w:lineRule="auto"/>
        <w:jc w:val="both"/>
        <w:rPr>
          <w:spacing w:val="-4"/>
        </w:rPr>
      </w:pPr>
      <w:r w:rsidRPr="00CC4242">
        <w:rPr>
          <w:spacing w:val="-4"/>
        </w:rPr>
        <w:t xml:space="preserve">Căn cứ Luật Doanh nghiệp năm 2014 và Điều lệ Công ty CP </w:t>
      </w:r>
      <w:r w:rsidR="00BC2595" w:rsidRPr="00CC4242">
        <w:rPr>
          <w:spacing w:val="-4"/>
        </w:rPr>
        <w:t>Chứng khoán VNDIRECT</w:t>
      </w:r>
      <w:r w:rsidRPr="00CC4242">
        <w:rPr>
          <w:spacing w:val="-4"/>
        </w:rPr>
        <w:t xml:space="preserve">, việc tổ chức họp </w:t>
      </w:r>
      <w:r w:rsidR="00001CA4" w:rsidRPr="00CC4242">
        <w:rPr>
          <w:spacing w:val="-4"/>
        </w:rPr>
        <w:t xml:space="preserve">Đại hội </w:t>
      </w:r>
      <w:r w:rsidRPr="00CC4242">
        <w:rPr>
          <w:spacing w:val="-4"/>
        </w:rPr>
        <w:t>đồng cổ đông</w:t>
      </w:r>
      <w:r w:rsidR="00417AC6" w:rsidRPr="00CC4242">
        <w:rPr>
          <w:spacing w:val="-4"/>
        </w:rPr>
        <w:t xml:space="preserve"> thường niên</w:t>
      </w:r>
      <w:r w:rsidRPr="00CC4242">
        <w:rPr>
          <w:spacing w:val="-4"/>
        </w:rPr>
        <w:t xml:space="preserve"> năm </w:t>
      </w:r>
      <w:r w:rsidR="009A5258" w:rsidRPr="00CC4242">
        <w:rPr>
          <w:spacing w:val="-4"/>
        </w:rPr>
        <w:t>2019</w:t>
      </w:r>
      <w:r w:rsidRPr="00CC4242">
        <w:rPr>
          <w:spacing w:val="-4"/>
        </w:rPr>
        <w:t xml:space="preserve"> (“</w:t>
      </w:r>
      <w:r w:rsidR="00001CA4" w:rsidRPr="00CC4242">
        <w:rPr>
          <w:spacing w:val="-4"/>
        </w:rPr>
        <w:t>ĐHĐCĐ</w:t>
      </w:r>
      <w:r w:rsidRPr="00CC4242">
        <w:rPr>
          <w:spacing w:val="-4"/>
        </w:rPr>
        <w:t xml:space="preserve">”) của Công ty được tiến hành theo </w:t>
      </w:r>
      <w:r w:rsidR="00543C69" w:rsidRPr="00CC4242">
        <w:rPr>
          <w:spacing w:val="-4"/>
        </w:rPr>
        <w:t xml:space="preserve">Quy chế này với </w:t>
      </w:r>
      <w:r w:rsidRPr="00CC4242">
        <w:rPr>
          <w:spacing w:val="-4"/>
        </w:rPr>
        <w:t xml:space="preserve">những quy định </w:t>
      </w:r>
      <w:r w:rsidR="00543C69" w:rsidRPr="00CC4242">
        <w:rPr>
          <w:spacing w:val="-4"/>
        </w:rPr>
        <w:t xml:space="preserve">cụ thể </w:t>
      </w:r>
      <w:r w:rsidRPr="00CC4242">
        <w:rPr>
          <w:spacing w:val="-4"/>
        </w:rPr>
        <w:t>sau đây:</w:t>
      </w:r>
    </w:p>
    <w:p w:rsidR="00AA10D7" w:rsidRPr="00CC4242" w:rsidRDefault="00AA10D7" w:rsidP="00625A5A">
      <w:pPr>
        <w:spacing w:before="120" w:line="264" w:lineRule="auto"/>
        <w:jc w:val="both"/>
      </w:pPr>
      <w:r w:rsidRPr="00CC4242">
        <w:rPr>
          <w:b/>
        </w:rPr>
        <w:t>Điều 1.</w:t>
      </w:r>
      <w:r w:rsidRPr="00CC4242">
        <w:t xml:space="preserve"> </w:t>
      </w:r>
      <w:r w:rsidR="00FF051F" w:rsidRPr="00CC4242">
        <w:t>C</w:t>
      </w:r>
      <w:r w:rsidRPr="00CC4242">
        <w:t xml:space="preserve">ổ đông tham dự </w:t>
      </w:r>
      <w:r w:rsidR="00001CA4" w:rsidRPr="00CC4242">
        <w:t>ĐHĐCĐ</w:t>
      </w:r>
    </w:p>
    <w:p w:rsidR="00AA10D7" w:rsidRPr="00CC4242" w:rsidRDefault="00AA10D7" w:rsidP="00625A5A">
      <w:pPr>
        <w:numPr>
          <w:ilvl w:val="0"/>
          <w:numId w:val="1"/>
        </w:numPr>
        <w:spacing w:before="120" w:line="264" w:lineRule="auto"/>
        <w:contextualSpacing/>
        <w:jc w:val="both"/>
        <w:rPr>
          <w:spacing w:val="-4"/>
        </w:rPr>
      </w:pPr>
      <w:r w:rsidRPr="00CC4242">
        <w:rPr>
          <w:spacing w:val="-4"/>
        </w:rPr>
        <w:t xml:space="preserve">Cổ đông có thể </w:t>
      </w:r>
      <w:r w:rsidR="000F38FC" w:rsidRPr="00CC4242">
        <w:rPr>
          <w:spacing w:val="-4"/>
        </w:rPr>
        <w:t>tự mình</w:t>
      </w:r>
      <w:r w:rsidRPr="00CC4242">
        <w:rPr>
          <w:spacing w:val="-4"/>
        </w:rPr>
        <w:t xml:space="preserve"> tham dự họp hoặc ủy quyền cho một người khác tham dự </w:t>
      </w:r>
      <w:r w:rsidR="000F38FC" w:rsidRPr="00CC4242">
        <w:rPr>
          <w:spacing w:val="-4"/>
        </w:rPr>
        <w:t xml:space="preserve">họp </w:t>
      </w:r>
      <w:r w:rsidRPr="00CC4242">
        <w:rPr>
          <w:spacing w:val="-4"/>
        </w:rPr>
        <w:t xml:space="preserve">và biểu quyết tại </w:t>
      </w:r>
      <w:r w:rsidR="00001CA4" w:rsidRPr="00CC4242">
        <w:rPr>
          <w:spacing w:val="-4"/>
        </w:rPr>
        <w:t>ĐHĐCĐ</w:t>
      </w:r>
      <w:r w:rsidR="00FF051F" w:rsidRPr="00CC4242">
        <w:rPr>
          <w:spacing w:val="-4"/>
        </w:rPr>
        <w:t>.</w:t>
      </w:r>
    </w:p>
    <w:p w:rsidR="00FF051F" w:rsidRPr="00CC4242" w:rsidRDefault="00FF051F" w:rsidP="00625A5A">
      <w:pPr>
        <w:numPr>
          <w:ilvl w:val="0"/>
          <w:numId w:val="1"/>
        </w:numPr>
        <w:spacing w:before="120" w:line="264" w:lineRule="auto"/>
        <w:contextualSpacing/>
        <w:jc w:val="both"/>
        <w:rPr>
          <w:spacing w:val="-4"/>
        </w:rPr>
      </w:pPr>
      <w:r w:rsidRPr="00CC4242">
        <w:rPr>
          <w:spacing w:val="-4"/>
        </w:rPr>
        <w:t xml:space="preserve">Cổ đông ủy quyền cho người khác </w:t>
      </w:r>
      <w:r w:rsidR="00BC2595" w:rsidRPr="00CC4242">
        <w:rPr>
          <w:spacing w:val="-4"/>
        </w:rPr>
        <w:t xml:space="preserve">đại diện </w:t>
      </w:r>
      <w:r w:rsidRPr="00CC4242">
        <w:rPr>
          <w:spacing w:val="-4"/>
        </w:rPr>
        <w:t xml:space="preserve">tham dự </w:t>
      </w:r>
      <w:r w:rsidR="00BC2595" w:rsidRPr="00CC4242">
        <w:rPr>
          <w:spacing w:val="-4"/>
        </w:rPr>
        <w:t xml:space="preserve">họp </w:t>
      </w:r>
      <w:r w:rsidRPr="00CC4242">
        <w:rPr>
          <w:spacing w:val="-4"/>
        </w:rPr>
        <w:t xml:space="preserve">và biểu quyết tại </w:t>
      </w:r>
      <w:r w:rsidR="00001CA4" w:rsidRPr="00CC4242">
        <w:rPr>
          <w:spacing w:val="-4"/>
        </w:rPr>
        <w:t>ĐHĐCĐ</w:t>
      </w:r>
      <w:r w:rsidRPr="00CC4242">
        <w:rPr>
          <w:spacing w:val="-4"/>
        </w:rPr>
        <w:t xml:space="preserve"> </w:t>
      </w:r>
      <w:r w:rsidR="00BC2595" w:rsidRPr="00CC4242">
        <w:rPr>
          <w:spacing w:val="-4"/>
        </w:rPr>
        <w:t xml:space="preserve">thực hiện </w:t>
      </w:r>
      <w:r w:rsidRPr="00CC4242">
        <w:rPr>
          <w:spacing w:val="-4"/>
        </w:rPr>
        <w:t xml:space="preserve">theo mẫu văn bản ủy quyền của Công ty. Người đại diện tới dự </w:t>
      </w:r>
      <w:r w:rsidR="00001CA4" w:rsidRPr="00CC4242">
        <w:rPr>
          <w:spacing w:val="-4"/>
        </w:rPr>
        <w:t>ĐHĐCĐ</w:t>
      </w:r>
      <w:r w:rsidRPr="00CC4242">
        <w:rPr>
          <w:spacing w:val="-4"/>
        </w:rPr>
        <w:t xml:space="preserve"> phải xuất trình Giấy ủy quyền theo quy định. Trường hợp Cổ đông ủy quyền cho </w:t>
      </w:r>
      <w:r w:rsidR="00142989" w:rsidRPr="00CC4242">
        <w:rPr>
          <w:spacing w:val="-4"/>
        </w:rPr>
        <w:t>Chủ tịch</w:t>
      </w:r>
      <w:r w:rsidRPr="00CC4242">
        <w:rPr>
          <w:spacing w:val="-4"/>
        </w:rPr>
        <w:t xml:space="preserve"> Hội đồng quản trị tham dự và biểu quyết tại </w:t>
      </w:r>
      <w:r w:rsidR="00001CA4" w:rsidRPr="00CC4242">
        <w:rPr>
          <w:spacing w:val="-4"/>
        </w:rPr>
        <w:t>ĐHĐCĐ</w:t>
      </w:r>
      <w:r w:rsidRPr="00CC4242">
        <w:rPr>
          <w:spacing w:val="-4"/>
        </w:rPr>
        <w:t xml:space="preserve"> thì việc ủy quyền có thể được thực hiện bằng một trong các hình thức sau:</w:t>
      </w:r>
    </w:p>
    <w:p w:rsidR="00FF051F" w:rsidRPr="00CC4242" w:rsidRDefault="00FF051F" w:rsidP="00625A5A">
      <w:pPr>
        <w:spacing w:before="120" w:line="264" w:lineRule="auto"/>
        <w:ind w:left="360"/>
        <w:contextualSpacing/>
        <w:jc w:val="both"/>
        <w:rPr>
          <w:spacing w:val="-4"/>
        </w:rPr>
      </w:pPr>
      <w:r w:rsidRPr="00CC4242">
        <w:rPr>
          <w:spacing w:val="-4"/>
        </w:rPr>
        <w:t xml:space="preserve">- </w:t>
      </w:r>
      <w:r w:rsidRPr="00CC4242">
        <w:rPr>
          <w:spacing w:val="-4"/>
        </w:rPr>
        <w:tab/>
        <w:t>Gửi văn bản ủy quyền trực tiếp hoặc qua thư tới Công ty theo địa chỉ: số 01 Nguyễn Thượng Hiền, Nguyễn Du, Hai Bà Trưng, Hà Nội;</w:t>
      </w:r>
    </w:p>
    <w:p w:rsidR="00FF051F" w:rsidRPr="00CC4242" w:rsidRDefault="00FF051F" w:rsidP="00625A5A">
      <w:pPr>
        <w:spacing w:before="120" w:line="264" w:lineRule="auto"/>
        <w:ind w:left="360"/>
        <w:contextualSpacing/>
        <w:jc w:val="both"/>
        <w:rPr>
          <w:spacing w:val="-4"/>
        </w:rPr>
      </w:pPr>
      <w:r w:rsidRPr="00CC4242">
        <w:rPr>
          <w:spacing w:val="-4"/>
        </w:rPr>
        <w:t>-</w:t>
      </w:r>
      <w:r w:rsidRPr="00CC4242">
        <w:rPr>
          <w:spacing w:val="-4"/>
        </w:rPr>
        <w:tab/>
        <w:t>Gửi văn bản ủy quyền qua fax tới số 0</w:t>
      </w:r>
      <w:r w:rsidR="00050654" w:rsidRPr="00CC4242">
        <w:rPr>
          <w:spacing w:val="-4"/>
        </w:rPr>
        <w:t>2</w:t>
      </w:r>
      <w:r w:rsidRPr="00CC4242">
        <w:rPr>
          <w:spacing w:val="-4"/>
        </w:rPr>
        <w:t>4.39410500 hoặc 0</w:t>
      </w:r>
      <w:r w:rsidR="00050654" w:rsidRPr="00CC4242">
        <w:rPr>
          <w:spacing w:val="-4"/>
        </w:rPr>
        <w:t>2</w:t>
      </w:r>
      <w:r w:rsidRPr="00CC4242">
        <w:rPr>
          <w:spacing w:val="-4"/>
        </w:rPr>
        <w:t>4.39724600;</w:t>
      </w:r>
    </w:p>
    <w:p w:rsidR="00FF051F" w:rsidRPr="00CC4242" w:rsidRDefault="00FF051F" w:rsidP="00625A5A">
      <w:pPr>
        <w:spacing w:before="120" w:line="264" w:lineRule="auto"/>
        <w:ind w:left="360"/>
        <w:contextualSpacing/>
        <w:jc w:val="both"/>
        <w:rPr>
          <w:spacing w:val="-4"/>
        </w:rPr>
      </w:pPr>
      <w:r w:rsidRPr="00CC4242">
        <w:rPr>
          <w:spacing w:val="-4"/>
        </w:rPr>
        <w:t xml:space="preserve">- </w:t>
      </w:r>
      <w:r w:rsidRPr="00CC4242">
        <w:rPr>
          <w:spacing w:val="-4"/>
        </w:rPr>
        <w:tab/>
        <w:t xml:space="preserve">Gửi văn bản ủy quyền qua e-mail tới địa chỉ: </w:t>
      </w:r>
      <w:hyperlink r:id="rId7" w:history="1">
        <w:r w:rsidRPr="00CC4242">
          <w:rPr>
            <w:spacing w:val="-4"/>
          </w:rPr>
          <w:t>cbtt@vndirect.com.vn</w:t>
        </w:r>
      </w:hyperlink>
      <w:r w:rsidRPr="00CC4242">
        <w:rPr>
          <w:spacing w:val="-4"/>
        </w:rPr>
        <w:t xml:space="preserve">; </w:t>
      </w:r>
    </w:p>
    <w:p w:rsidR="00FF051F" w:rsidRPr="00CC4242" w:rsidRDefault="00FF051F" w:rsidP="00625A5A">
      <w:pPr>
        <w:spacing w:before="120" w:line="264" w:lineRule="auto"/>
        <w:ind w:left="360"/>
        <w:contextualSpacing/>
        <w:jc w:val="both"/>
        <w:rPr>
          <w:spacing w:val="-4"/>
        </w:rPr>
      </w:pPr>
      <w:r w:rsidRPr="00CC4242">
        <w:rPr>
          <w:spacing w:val="-4"/>
        </w:rPr>
        <w:t xml:space="preserve">- </w:t>
      </w:r>
      <w:r w:rsidRPr="00CC4242">
        <w:rPr>
          <w:spacing w:val="-4"/>
        </w:rPr>
        <w:tab/>
        <w:t>Gọi điện thoại đến tổng đài 1900545409 (cuộc gọi được ghi âm).</w:t>
      </w:r>
    </w:p>
    <w:p w:rsidR="000F38FC" w:rsidRPr="00CC4242" w:rsidRDefault="000F38FC" w:rsidP="00625A5A">
      <w:pPr>
        <w:numPr>
          <w:ilvl w:val="0"/>
          <w:numId w:val="1"/>
        </w:numPr>
        <w:spacing w:before="120" w:line="264" w:lineRule="auto"/>
        <w:contextualSpacing/>
        <w:jc w:val="both"/>
        <w:rPr>
          <w:spacing w:val="-4"/>
        </w:rPr>
      </w:pPr>
      <w:r w:rsidRPr="00CC4242">
        <w:t>Cổ đông, người đại diện được ủy quyền hợp lệ của cổ đông (sau đây gọi chung là Cổ đ</w:t>
      </w:r>
      <w:r w:rsidR="00BC2595" w:rsidRPr="00CC4242">
        <w:t>ô</w:t>
      </w:r>
      <w:r w:rsidRPr="00CC4242">
        <w:t>ng) có quyền tham dự, thảo luận và biểu quyết các vấn đ</w:t>
      </w:r>
      <w:r w:rsidR="00FF051F" w:rsidRPr="00CC4242">
        <w:t xml:space="preserve">ề </w:t>
      </w:r>
      <w:r w:rsidR="00BC2595" w:rsidRPr="00CC4242">
        <w:t>trong chương trình họp</w:t>
      </w:r>
      <w:r w:rsidR="00FF051F" w:rsidRPr="00CC4242">
        <w:t xml:space="preserve"> </w:t>
      </w:r>
      <w:r w:rsidR="00001CA4" w:rsidRPr="00CC4242">
        <w:t>ĐHĐCĐ</w:t>
      </w:r>
      <w:r w:rsidR="00FF051F" w:rsidRPr="00CC4242">
        <w:t>.</w:t>
      </w:r>
    </w:p>
    <w:p w:rsidR="00AA10D7" w:rsidRPr="00CC4242" w:rsidRDefault="00AA10D7" w:rsidP="00625A5A">
      <w:pPr>
        <w:numPr>
          <w:ilvl w:val="0"/>
          <w:numId w:val="1"/>
        </w:numPr>
        <w:spacing w:before="120" w:line="264" w:lineRule="auto"/>
        <w:contextualSpacing/>
        <w:jc w:val="both"/>
        <w:rPr>
          <w:spacing w:val="-4"/>
        </w:rPr>
      </w:pPr>
      <w:r w:rsidRPr="00CC4242">
        <w:t xml:space="preserve">Khi tiến hành đăng ký dự họp, </w:t>
      </w:r>
      <w:r w:rsidR="000F38FC" w:rsidRPr="00CC4242">
        <w:t>Cổ đông</w:t>
      </w:r>
      <w:r w:rsidRPr="00CC4242">
        <w:t xml:space="preserve"> sẽ được phát các </w:t>
      </w:r>
      <w:r w:rsidR="0090389B" w:rsidRPr="00CC4242">
        <w:t>Thẻ biểu quyết, P</w:t>
      </w:r>
      <w:r w:rsidRPr="00CC4242">
        <w:t>hiếu biểu quyết trên đó có ghi số đăng ký, tên của Cổ đông, mã số cổ đông và số phiếu biểu quyết của Cổ đông đó.</w:t>
      </w:r>
    </w:p>
    <w:p w:rsidR="00AA10D7" w:rsidRPr="00CC4242" w:rsidRDefault="000F38FC" w:rsidP="00625A5A">
      <w:pPr>
        <w:numPr>
          <w:ilvl w:val="0"/>
          <w:numId w:val="1"/>
        </w:numPr>
        <w:spacing w:before="120" w:line="264" w:lineRule="auto"/>
        <w:contextualSpacing/>
        <w:jc w:val="both"/>
      </w:pPr>
      <w:r w:rsidRPr="00CC4242">
        <w:t>Cổ đông</w:t>
      </w:r>
      <w:r w:rsidR="00AA10D7" w:rsidRPr="00CC4242">
        <w:t xml:space="preserve"> đến dự </w:t>
      </w:r>
      <w:r w:rsidR="00001CA4" w:rsidRPr="00CC4242">
        <w:t>ĐHĐCĐ</w:t>
      </w:r>
      <w:r w:rsidR="00AA10D7" w:rsidRPr="00CC4242">
        <w:t xml:space="preserve"> sau khi cuộc họp khai mạc phải thực hiện các thủ tục đăng ký tham dự </w:t>
      </w:r>
      <w:r w:rsidR="00001CA4" w:rsidRPr="00CC4242">
        <w:t>ĐHĐCĐ</w:t>
      </w:r>
      <w:r w:rsidR="00BC2595" w:rsidRPr="00CC4242">
        <w:t xml:space="preserve"> với Ban tổ chức và </w:t>
      </w:r>
      <w:r w:rsidR="00AA10D7" w:rsidRPr="00CC4242">
        <w:t>có quyền tham gia và biểu quyết ngay sau khi đăng ký</w:t>
      </w:r>
      <w:r w:rsidR="00FF051F" w:rsidRPr="00CC4242">
        <w:t>. Trường hợp này</w:t>
      </w:r>
      <w:r w:rsidR="00AA10D7" w:rsidRPr="00CC4242">
        <w:t xml:space="preserve"> Chủ tọa không có trách nhiệm dừng </w:t>
      </w:r>
      <w:r w:rsidR="00001CA4" w:rsidRPr="00CC4242">
        <w:t>ĐHĐCĐ</w:t>
      </w:r>
      <w:r w:rsidR="00AA10D7" w:rsidRPr="00CC4242">
        <w:t xml:space="preserve"> để cho </w:t>
      </w:r>
      <w:r w:rsidRPr="00CC4242">
        <w:t>Cổ đông</w:t>
      </w:r>
      <w:r w:rsidR="00AA10D7" w:rsidRPr="00CC4242">
        <w:t xml:space="preserve"> đăng ký và hiệu lực của các nội dung đã được biểu quyết trước đó không thay đổi và không bị ảnh hưởng.</w:t>
      </w:r>
    </w:p>
    <w:p w:rsidR="00AA10D7" w:rsidRPr="00CC4242" w:rsidRDefault="00BC2595" w:rsidP="00625A5A">
      <w:pPr>
        <w:numPr>
          <w:ilvl w:val="0"/>
          <w:numId w:val="1"/>
        </w:numPr>
        <w:spacing w:before="120" w:line="264" w:lineRule="auto"/>
        <w:contextualSpacing/>
        <w:jc w:val="both"/>
      </w:pPr>
      <w:r w:rsidRPr="00CC4242">
        <w:t>Cổ đông phải n</w:t>
      </w:r>
      <w:r w:rsidR="00AA10D7" w:rsidRPr="00CC4242">
        <w:t xml:space="preserve">ghiêm túc chấp hành </w:t>
      </w:r>
      <w:r w:rsidRPr="00CC4242">
        <w:t xml:space="preserve">quy chế và </w:t>
      </w:r>
      <w:r w:rsidR="00AA10D7" w:rsidRPr="00CC4242">
        <w:t xml:space="preserve">nội quy tại cuộc họp </w:t>
      </w:r>
      <w:r w:rsidR="000B532C" w:rsidRPr="00CC4242">
        <w:t>ĐHĐCĐ</w:t>
      </w:r>
      <w:r w:rsidR="00AA10D7" w:rsidRPr="00CC4242">
        <w:t xml:space="preserve">, tôn trọng kết quả làm việc của </w:t>
      </w:r>
      <w:r w:rsidR="00001CA4" w:rsidRPr="00CC4242">
        <w:t>ĐHĐCĐ</w:t>
      </w:r>
      <w:r w:rsidR="00AA10D7" w:rsidRPr="00CC4242">
        <w:t xml:space="preserve"> và sự điều hành của </w:t>
      </w:r>
      <w:r w:rsidR="00FF051F" w:rsidRPr="00CC4242">
        <w:t>Chủ tọa</w:t>
      </w:r>
      <w:r w:rsidR="00AA10D7" w:rsidRPr="00CC4242">
        <w:t xml:space="preserve"> </w:t>
      </w:r>
      <w:r w:rsidR="00001CA4" w:rsidRPr="00CC4242">
        <w:t>ĐHĐCĐ</w:t>
      </w:r>
      <w:r w:rsidR="00AA10D7" w:rsidRPr="00CC4242">
        <w:t>.</w:t>
      </w:r>
    </w:p>
    <w:p w:rsidR="00AA10D7" w:rsidRPr="00CC4242" w:rsidRDefault="00AA10D7" w:rsidP="00625A5A">
      <w:pPr>
        <w:spacing w:before="120" w:line="264" w:lineRule="auto"/>
        <w:jc w:val="both"/>
      </w:pPr>
      <w:r w:rsidRPr="00CC4242">
        <w:rPr>
          <w:b/>
        </w:rPr>
        <w:t xml:space="preserve">Điều 2. </w:t>
      </w:r>
      <w:r w:rsidRPr="00CC4242">
        <w:t xml:space="preserve">Quyền và nghĩa vụ của Ban tổ chức </w:t>
      </w:r>
      <w:r w:rsidR="00001CA4" w:rsidRPr="00CC4242">
        <w:t>ĐHĐCĐ</w:t>
      </w:r>
    </w:p>
    <w:p w:rsidR="00AA10D7" w:rsidRPr="00CC4242" w:rsidRDefault="00AA10D7" w:rsidP="00625A5A">
      <w:pPr>
        <w:numPr>
          <w:ilvl w:val="0"/>
          <w:numId w:val="2"/>
        </w:numPr>
        <w:spacing w:before="120" w:line="264" w:lineRule="auto"/>
        <w:contextualSpacing/>
        <w:jc w:val="both"/>
      </w:pPr>
      <w:r w:rsidRPr="00CC4242">
        <w:t xml:space="preserve">Ban tổ chức </w:t>
      </w:r>
      <w:r w:rsidR="00001CA4" w:rsidRPr="00CC4242">
        <w:t>ĐHĐCĐ</w:t>
      </w:r>
      <w:r w:rsidRPr="00CC4242">
        <w:t xml:space="preserve"> do </w:t>
      </w:r>
      <w:r w:rsidR="00C1264D" w:rsidRPr="00CC4242">
        <w:t xml:space="preserve">Chủ tịch </w:t>
      </w:r>
      <w:r w:rsidRPr="00CC4242">
        <w:t xml:space="preserve">HĐQT Công ty quyết định. Ban tổ chức </w:t>
      </w:r>
      <w:r w:rsidR="00001CA4" w:rsidRPr="00CC4242">
        <w:t>ĐHĐCĐ</w:t>
      </w:r>
      <w:r w:rsidRPr="00CC4242">
        <w:t xml:space="preserve"> có trách nhiệm </w:t>
      </w:r>
      <w:r w:rsidR="00050654" w:rsidRPr="00CC4242">
        <w:t xml:space="preserve">chuẩn bị, </w:t>
      </w:r>
      <w:r w:rsidRPr="00CC4242">
        <w:t xml:space="preserve">triệu tập, đón tiếp, bố trí chỗ ngồi, phát tài liệu, thẻ biểu quyết cho </w:t>
      </w:r>
      <w:r w:rsidR="00FF051F" w:rsidRPr="00CC4242">
        <w:t>các</w:t>
      </w:r>
      <w:r w:rsidRPr="00CC4242">
        <w:t xml:space="preserve"> </w:t>
      </w:r>
      <w:r w:rsidR="000F38FC" w:rsidRPr="00CC4242">
        <w:t>Cổ đông</w:t>
      </w:r>
      <w:r w:rsidRPr="00CC4242">
        <w:t xml:space="preserve"> </w:t>
      </w:r>
      <w:r w:rsidR="00BC2595" w:rsidRPr="00CC4242">
        <w:t>đã đăng ký</w:t>
      </w:r>
      <w:r w:rsidRPr="00CC4242">
        <w:t xml:space="preserve"> tham dự </w:t>
      </w:r>
      <w:r w:rsidR="00001CA4" w:rsidRPr="00CC4242">
        <w:t>ĐHĐCĐ</w:t>
      </w:r>
      <w:r w:rsidRPr="00CC4242">
        <w:t xml:space="preserve">. </w:t>
      </w:r>
    </w:p>
    <w:p w:rsidR="00AA10D7" w:rsidRPr="00CC4242" w:rsidRDefault="00AA10D7" w:rsidP="00625A5A">
      <w:pPr>
        <w:numPr>
          <w:ilvl w:val="0"/>
          <w:numId w:val="2"/>
        </w:numPr>
        <w:spacing w:before="120" w:line="264" w:lineRule="auto"/>
        <w:contextualSpacing/>
        <w:jc w:val="both"/>
      </w:pPr>
      <w:r w:rsidRPr="00CC4242">
        <w:t xml:space="preserve">Ban tổ chức </w:t>
      </w:r>
      <w:r w:rsidR="00BC2595" w:rsidRPr="00CC4242">
        <w:t xml:space="preserve">ĐHĐCĐ </w:t>
      </w:r>
      <w:r w:rsidRPr="00CC4242">
        <w:t xml:space="preserve">tiếp nhận giấy tờ </w:t>
      </w:r>
      <w:r w:rsidR="00BC2595" w:rsidRPr="00CC4242">
        <w:t xml:space="preserve">của </w:t>
      </w:r>
      <w:r w:rsidRPr="00CC4242">
        <w:t xml:space="preserve">những người đến tham dự </w:t>
      </w:r>
      <w:r w:rsidR="00001CA4" w:rsidRPr="00CC4242">
        <w:t>ĐHĐCĐ</w:t>
      </w:r>
      <w:r w:rsidRPr="00CC4242">
        <w:t xml:space="preserve"> xuất trình, kiểm tra và báo cáo trước </w:t>
      </w:r>
      <w:r w:rsidR="00001CA4" w:rsidRPr="00CC4242">
        <w:t>ĐHĐCĐ</w:t>
      </w:r>
      <w:r w:rsidRPr="00CC4242">
        <w:t xml:space="preserve"> về kết quả </w:t>
      </w:r>
      <w:r w:rsidR="00BC2595" w:rsidRPr="00CC4242">
        <w:t>đăng ký</w:t>
      </w:r>
      <w:r w:rsidRPr="00CC4242">
        <w:t xml:space="preserve"> các cổ đông dự </w:t>
      </w:r>
      <w:r w:rsidR="00001CA4" w:rsidRPr="00CC4242">
        <w:t>ĐHĐCĐ</w:t>
      </w:r>
      <w:r w:rsidRPr="00CC4242">
        <w:t xml:space="preserve">. Trường hợp người đến dự họp không có đầy đủ tư cách tham dự </w:t>
      </w:r>
      <w:r w:rsidR="00001CA4" w:rsidRPr="00CC4242">
        <w:t>ĐHĐCĐ</w:t>
      </w:r>
      <w:r w:rsidRPr="00CC4242">
        <w:t xml:space="preserve"> thì Ban tổ chức có quyền từ chối </w:t>
      </w:r>
      <w:r w:rsidR="00FF051F" w:rsidRPr="00CC4242">
        <w:t>việc đăng ký dự họp</w:t>
      </w:r>
      <w:r w:rsidR="00BC2595" w:rsidRPr="00CC4242">
        <w:t xml:space="preserve"> của cổ đông đó</w:t>
      </w:r>
      <w:r w:rsidRPr="00CC4242">
        <w:t>.</w:t>
      </w:r>
    </w:p>
    <w:p w:rsidR="00B90003" w:rsidRPr="00CC4242" w:rsidRDefault="00B90003" w:rsidP="00625A5A">
      <w:pPr>
        <w:numPr>
          <w:ilvl w:val="0"/>
          <w:numId w:val="2"/>
        </w:numPr>
        <w:spacing w:before="120" w:line="264" w:lineRule="auto"/>
        <w:contextualSpacing/>
        <w:jc w:val="both"/>
      </w:pPr>
      <w:r w:rsidRPr="00CC4242">
        <w:lastRenderedPageBreak/>
        <w:t>Các quyền khác quy định tại Quy chế này</w:t>
      </w:r>
      <w:r w:rsidR="00C1264D" w:rsidRPr="00CC4242">
        <w:t>, Điều lệ và Quy chế quản trị nội bộ của Công ty</w:t>
      </w:r>
      <w:r w:rsidRPr="00CC4242">
        <w:t>.</w:t>
      </w:r>
    </w:p>
    <w:p w:rsidR="00AA10D7" w:rsidRPr="00CC4242" w:rsidRDefault="00AA10D7" w:rsidP="00625A5A">
      <w:pPr>
        <w:spacing w:before="120" w:line="264" w:lineRule="auto"/>
        <w:jc w:val="both"/>
        <w:rPr>
          <w:b/>
        </w:rPr>
      </w:pPr>
      <w:r w:rsidRPr="00CC4242">
        <w:rPr>
          <w:b/>
        </w:rPr>
        <w:t xml:space="preserve">Điều </w:t>
      </w:r>
      <w:r w:rsidR="00FF051F" w:rsidRPr="00CC4242">
        <w:rPr>
          <w:b/>
        </w:rPr>
        <w:t>3</w:t>
      </w:r>
      <w:r w:rsidRPr="00CC4242">
        <w:rPr>
          <w:b/>
        </w:rPr>
        <w:t xml:space="preserve">. </w:t>
      </w:r>
      <w:r w:rsidRPr="00CC4242">
        <w:t xml:space="preserve">Quyền và nghĩa vụ của Chủ toạ và Thư ký </w:t>
      </w:r>
      <w:r w:rsidR="00001CA4" w:rsidRPr="00CC4242">
        <w:t>ĐHĐCĐ</w:t>
      </w:r>
    </w:p>
    <w:p w:rsidR="00AA10D7" w:rsidRPr="00CC4242" w:rsidRDefault="00AA10D7" w:rsidP="00625A5A">
      <w:pPr>
        <w:numPr>
          <w:ilvl w:val="0"/>
          <w:numId w:val="4"/>
        </w:numPr>
        <w:spacing w:before="120" w:line="264" w:lineRule="auto"/>
        <w:contextualSpacing/>
        <w:jc w:val="both"/>
      </w:pPr>
      <w:r w:rsidRPr="00CC4242">
        <w:t xml:space="preserve">Chủ toạ </w:t>
      </w:r>
      <w:r w:rsidR="00001CA4" w:rsidRPr="00CC4242">
        <w:t>ĐHĐCĐ</w:t>
      </w:r>
      <w:r w:rsidRPr="00CC4242">
        <w:t xml:space="preserve"> là Chủ tịch HĐQT, Thư ký </w:t>
      </w:r>
      <w:r w:rsidR="00001CA4" w:rsidRPr="00CC4242">
        <w:t>ĐHĐCĐ</w:t>
      </w:r>
      <w:r w:rsidRPr="00CC4242">
        <w:t xml:space="preserve"> do Chủ toạ đề cử và được </w:t>
      </w:r>
      <w:r w:rsidR="00001CA4" w:rsidRPr="00CC4242">
        <w:t>ĐHĐCĐ</w:t>
      </w:r>
      <w:r w:rsidRPr="00CC4242">
        <w:t xml:space="preserve"> biểu quyết thông qua. Thư ký </w:t>
      </w:r>
      <w:r w:rsidR="00001CA4" w:rsidRPr="00CC4242">
        <w:t>ĐHĐCĐ</w:t>
      </w:r>
      <w:r w:rsidRPr="00CC4242">
        <w:t xml:space="preserve"> thực hiện các công việc trợ giúp theo yêu cầu của chủ toạ, phản ánh trung thực, chính xác nội dung </w:t>
      </w:r>
      <w:r w:rsidR="00001CA4" w:rsidRPr="00CC4242">
        <w:t>ĐHĐCĐ</w:t>
      </w:r>
      <w:r w:rsidRPr="00CC4242">
        <w:t xml:space="preserve"> trong Biên bản và Nghị quyết </w:t>
      </w:r>
      <w:r w:rsidR="00001CA4" w:rsidRPr="00CC4242">
        <w:t>ĐHĐCĐ</w:t>
      </w:r>
    </w:p>
    <w:p w:rsidR="00AA10D7" w:rsidRPr="00CC4242" w:rsidRDefault="00FF051F" w:rsidP="00625A5A">
      <w:pPr>
        <w:numPr>
          <w:ilvl w:val="0"/>
          <w:numId w:val="4"/>
        </w:numPr>
        <w:spacing w:before="120" w:line="264" w:lineRule="auto"/>
        <w:contextualSpacing/>
        <w:jc w:val="both"/>
      </w:pPr>
      <w:r w:rsidRPr="00CC4242">
        <w:t xml:space="preserve">Chủ tọa có quyền thực hiện các biện pháp cần thiết và hợp lý để điều khiển cuộc họp một cách có trật tự, đúng theo chương trình đã được thông qua và phản ánh được mong muốn của đa số </w:t>
      </w:r>
      <w:r w:rsidR="00BC2595" w:rsidRPr="00CC4242">
        <w:t>cổ đông</w:t>
      </w:r>
      <w:r w:rsidRPr="00CC4242">
        <w:t xml:space="preserve"> dự họp.</w:t>
      </w:r>
      <w:r w:rsidR="00AA10D7" w:rsidRPr="00CC4242">
        <w:t xml:space="preserve"> </w:t>
      </w:r>
    </w:p>
    <w:p w:rsidR="00FF051F" w:rsidRPr="00CC4242" w:rsidRDefault="00FF051F" w:rsidP="00625A5A">
      <w:pPr>
        <w:spacing w:before="120" w:line="264" w:lineRule="auto"/>
        <w:jc w:val="both"/>
      </w:pPr>
      <w:r w:rsidRPr="00CC4242">
        <w:rPr>
          <w:b/>
        </w:rPr>
        <w:t xml:space="preserve">Điều 4. </w:t>
      </w:r>
      <w:r w:rsidRPr="00CC4242">
        <w:t>Quyền và nghĩa vụ của Ban kiểm phiếu</w:t>
      </w:r>
    </w:p>
    <w:p w:rsidR="00FF051F" w:rsidRPr="00CC4242" w:rsidRDefault="00FF051F" w:rsidP="00625A5A">
      <w:pPr>
        <w:numPr>
          <w:ilvl w:val="0"/>
          <w:numId w:val="3"/>
        </w:numPr>
        <w:spacing w:before="120" w:line="264" w:lineRule="auto"/>
        <w:contextualSpacing/>
        <w:jc w:val="both"/>
      </w:pPr>
      <w:r w:rsidRPr="00CC4242">
        <w:t xml:space="preserve">Ban </w:t>
      </w:r>
      <w:r w:rsidR="00F051B5" w:rsidRPr="00CC4242">
        <w:t>k</w:t>
      </w:r>
      <w:r w:rsidRPr="00CC4242">
        <w:t xml:space="preserve">iểm phiếu do Chủ tọa đề cử và được </w:t>
      </w:r>
      <w:r w:rsidR="00001CA4" w:rsidRPr="00CC4242">
        <w:t>ĐHĐCĐ</w:t>
      </w:r>
      <w:r w:rsidRPr="00CC4242">
        <w:t xml:space="preserve"> biểu quyết thông qua. Thành viên Ban kiểm phiếu không phải là người có tên trong danh sách đề cử hay ứng cử vào HĐQT, BKS.</w:t>
      </w:r>
    </w:p>
    <w:p w:rsidR="00FF051F" w:rsidRPr="00CC4242" w:rsidRDefault="00FF051F" w:rsidP="00625A5A">
      <w:pPr>
        <w:numPr>
          <w:ilvl w:val="0"/>
          <w:numId w:val="3"/>
        </w:numPr>
        <w:spacing w:before="120" w:line="264" w:lineRule="auto"/>
        <w:contextualSpacing/>
        <w:jc w:val="both"/>
      </w:pPr>
      <w:r w:rsidRPr="00CC4242">
        <w:t xml:space="preserve">Ban kiểm phiếu có quyền và nhiệm vụ: </w:t>
      </w:r>
      <w:r w:rsidR="00F051B5" w:rsidRPr="00CC4242">
        <w:t xml:space="preserve">(i) </w:t>
      </w:r>
      <w:r w:rsidR="0090389B" w:rsidRPr="00CC4242">
        <w:t>phát Thẻ biểu quyết, P</w:t>
      </w:r>
      <w:r w:rsidRPr="00CC4242">
        <w:t xml:space="preserve">hiếu </w:t>
      </w:r>
      <w:r w:rsidR="005B38CF" w:rsidRPr="00CC4242">
        <w:t xml:space="preserve">biểu </w:t>
      </w:r>
      <w:r w:rsidR="00F051B5" w:rsidRPr="00CC4242">
        <w:t>quyết</w:t>
      </w:r>
      <w:r w:rsidRPr="00CC4242">
        <w:t xml:space="preserve">, </w:t>
      </w:r>
      <w:r w:rsidR="00F051B5" w:rsidRPr="00CC4242">
        <w:t xml:space="preserve">(ii) </w:t>
      </w:r>
      <w:r w:rsidR="00BC2595" w:rsidRPr="00CC4242">
        <w:t xml:space="preserve">kiểm tra, </w:t>
      </w:r>
      <w:r w:rsidR="00F051B5" w:rsidRPr="00CC4242">
        <w:t xml:space="preserve">hướng dẫn và </w:t>
      </w:r>
      <w:r w:rsidRPr="00CC4242">
        <w:t>giám sát việc bỏ phiếu của các cổ đông</w:t>
      </w:r>
      <w:r w:rsidR="00F051B5" w:rsidRPr="00CC4242">
        <w:t>, (iii)</w:t>
      </w:r>
      <w:r w:rsidRPr="00CC4242">
        <w:t xml:space="preserve"> tổ chức </w:t>
      </w:r>
      <w:r w:rsidR="00F051B5" w:rsidRPr="00CC4242">
        <w:t xml:space="preserve">thực hiện </w:t>
      </w:r>
      <w:r w:rsidRPr="00CC4242">
        <w:t xml:space="preserve">kiểm phiếu </w:t>
      </w:r>
      <w:r w:rsidR="00F051B5" w:rsidRPr="00CC4242">
        <w:t>t</w:t>
      </w:r>
      <w:r w:rsidRPr="00CC4242">
        <w:t xml:space="preserve">heo </w:t>
      </w:r>
      <w:r w:rsidR="00F051B5" w:rsidRPr="00CC4242">
        <w:t>quy định</w:t>
      </w:r>
      <w:r w:rsidRPr="00CC4242">
        <w:t xml:space="preserve">, </w:t>
      </w:r>
      <w:r w:rsidR="00F051B5" w:rsidRPr="00CC4242">
        <w:t xml:space="preserve">(iv) </w:t>
      </w:r>
      <w:r w:rsidRPr="00CC4242">
        <w:t xml:space="preserve">lập Biên bản kiểm phiếu và công bố </w:t>
      </w:r>
      <w:r w:rsidR="00F051B5" w:rsidRPr="00CC4242">
        <w:t xml:space="preserve">kết quả kiểm phiếu </w:t>
      </w:r>
      <w:r w:rsidRPr="00CC4242">
        <w:t xml:space="preserve">trước </w:t>
      </w:r>
      <w:r w:rsidR="00001CA4" w:rsidRPr="00CC4242">
        <w:t>ĐHĐCĐ</w:t>
      </w:r>
      <w:r w:rsidRPr="00CC4242">
        <w:t>.</w:t>
      </w:r>
    </w:p>
    <w:p w:rsidR="00FF051F" w:rsidRPr="00CC4242" w:rsidRDefault="00FF051F" w:rsidP="00625A5A">
      <w:pPr>
        <w:numPr>
          <w:ilvl w:val="0"/>
          <w:numId w:val="3"/>
        </w:numPr>
        <w:spacing w:before="120" w:line="264" w:lineRule="auto"/>
        <w:contextualSpacing/>
        <w:jc w:val="both"/>
      </w:pPr>
      <w:r w:rsidRPr="00CC4242">
        <w:t>Mọi công việc kiểm tra, lập Biên bản và công bố kết quả kiểm phiếu phải được Ban kiểm phiếu tiến hành một cách trung thực, chính xác và phải chịu trách nhiệm về kết quả đó.</w:t>
      </w:r>
    </w:p>
    <w:p w:rsidR="00AA10D7" w:rsidRPr="00CC4242" w:rsidRDefault="00AA10D7" w:rsidP="00625A5A">
      <w:pPr>
        <w:spacing w:before="120" w:line="264" w:lineRule="auto"/>
        <w:jc w:val="both"/>
      </w:pPr>
      <w:r w:rsidRPr="00CC4242">
        <w:rPr>
          <w:b/>
        </w:rPr>
        <w:t>Điều 5.</w:t>
      </w:r>
      <w:r w:rsidRPr="00CC4242">
        <w:t xml:space="preserve"> Cách thức tiến hành </w:t>
      </w:r>
      <w:r w:rsidR="00001CA4" w:rsidRPr="00CC4242">
        <w:t>ĐHĐCĐ</w:t>
      </w:r>
    </w:p>
    <w:p w:rsidR="00AA10D7" w:rsidRPr="00CC4242" w:rsidRDefault="00AA10D7" w:rsidP="00625A5A">
      <w:pPr>
        <w:numPr>
          <w:ilvl w:val="0"/>
          <w:numId w:val="5"/>
        </w:numPr>
        <w:spacing w:before="120" w:line="264" w:lineRule="auto"/>
        <w:contextualSpacing/>
        <w:jc w:val="both"/>
      </w:pPr>
      <w:r w:rsidRPr="00CC4242">
        <w:t xml:space="preserve">Cuộc họp </w:t>
      </w:r>
      <w:r w:rsidR="00001CA4" w:rsidRPr="00CC4242">
        <w:t>ĐHĐCĐ</w:t>
      </w:r>
      <w:r w:rsidRPr="00CC4242">
        <w:t xml:space="preserve"> năm </w:t>
      </w:r>
      <w:r w:rsidR="009A5258" w:rsidRPr="00CC4242">
        <w:t>2019</w:t>
      </w:r>
      <w:r w:rsidRPr="00CC4242">
        <w:t xml:space="preserve"> được tiến hành khi có số cổ</w:t>
      </w:r>
      <w:r w:rsidR="00254BCA" w:rsidRPr="00CC4242">
        <w:t xml:space="preserve"> đông dự họp đại diện ít nhất 51</w:t>
      </w:r>
      <w:r w:rsidRPr="00CC4242">
        <w:t>% tổng số cổ phần có quyền biểu quyết</w:t>
      </w:r>
      <w:r w:rsidR="00BC2595" w:rsidRPr="00CC4242">
        <w:t xml:space="preserve"> của Công ty</w:t>
      </w:r>
      <w:r w:rsidRPr="00CC4242">
        <w:t>.</w:t>
      </w:r>
    </w:p>
    <w:p w:rsidR="00AA10D7" w:rsidRPr="00CC4242" w:rsidRDefault="00BC2595" w:rsidP="00625A5A">
      <w:pPr>
        <w:numPr>
          <w:ilvl w:val="0"/>
          <w:numId w:val="5"/>
        </w:numPr>
        <w:spacing w:before="120" w:line="264" w:lineRule="auto"/>
        <w:contextualSpacing/>
        <w:jc w:val="both"/>
      </w:pPr>
      <w:r w:rsidRPr="00CC4242">
        <w:t xml:space="preserve">Cuộc họp </w:t>
      </w:r>
      <w:r w:rsidR="00001CA4" w:rsidRPr="00CC4242">
        <w:t>ĐHĐCĐ</w:t>
      </w:r>
      <w:r w:rsidR="00AA10D7" w:rsidRPr="00CC4242">
        <w:t xml:space="preserve"> sẽ lần lượt </w:t>
      </w:r>
      <w:r w:rsidR="005B38CF" w:rsidRPr="00CC4242">
        <w:t>được tiến hành theo nội dung chư</w:t>
      </w:r>
      <w:r w:rsidR="00AA10D7" w:rsidRPr="00CC4242">
        <w:t xml:space="preserve">ơng trình của </w:t>
      </w:r>
      <w:r w:rsidR="00001CA4" w:rsidRPr="00CC4242">
        <w:t>ĐHĐCĐ</w:t>
      </w:r>
      <w:r w:rsidR="00AA10D7" w:rsidRPr="00CC4242">
        <w:t>.</w:t>
      </w:r>
    </w:p>
    <w:p w:rsidR="00AA10D7" w:rsidRPr="00CC4242" w:rsidRDefault="00AA10D7" w:rsidP="00625A5A">
      <w:pPr>
        <w:numPr>
          <w:ilvl w:val="0"/>
          <w:numId w:val="5"/>
        </w:numPr>
        <w:spacing w:before="120" w:line="264" w:lineRule="auto"/>
        <w:contextualSpacing/>
        <w:jc w:val="both"/>
      </w:pPr>
      <w:r w:rsidRPr="00CC4242">
        <w:t>Việc thảo luận sẽ được thực hiện sau khi tất cả các báo cáo và tờ trình</w:t>
      </w:r>
      <w:r w:rsidR="00F051B5" w:rsidRPr="00CC4242">
        <w:t xml:space="preserve"> đã </w:t>
      </w:r>
      <w:r w:rsidRPr="00CC4242">
        <w:t xml:space="preserve">được </w:t>
      </w:r>
      <w:r w:rsidR="00F051B5" w:rsidRPr="00CC4242">
        <w:t>trình bày</w:t>
      </w:r>
      <w:r w:rsidRPr="00CC4242">
        <w:t xml:space="preserve"> tại </w:t>
      </w:r>
      <w:r w:rsidR="00001CA4" w:rsidRPr="00CC4242">
        <w:t>ĐHĐCĐ</w:t>
      </w:r>
      <w:r w:rsidR="00625A5A" w:rsidRPr="00CC4242">
        <w:t>.</w:t>
      </w:r>
    </w:p>
    <w:p w:rsidR="00AA10D7" w:rsidRPr="00CC4242" w:rsidRDefault="00AA10D7" w:rsidP="00625A5A">
      <w:pPr>
        <w:numPr>
          <w:ilvl w:val="0"/>
          <w:numId w:val="5"/>
        </w:numPr>
        <w:spacing w:before="120" w:line="264" w:lineRule="auto"/>
        <w:contextualSpacing/>
        <w:jc w:val="both"/>
      </w:pPr>
      <w:r w:rsidRPr="00CC4242">
        <w:t xml:space="preserve">Việc biểu quyết thông qua </w:t>
      </w:r>
      <w:r w:rsidR="00BC2595" w:rsidRPr="00CC4242">
        <w:t>các vấn đề</w:t>
      </w:r>
      <w:r w:rsidRPr="00CC4242">
        <w:t xml:space="preserve"> trong </w:t>
      </w:r>
      <w:r w:rsidR="00001CA4" w:rsidRPr="00CC4242">
        <w:t>ĐHĐCĐ</w:t>
      </w:r>
      <w:r w:rsidRPr="00CC4242">
        <w:t xml:space="preserve"> được thực hiện theo </w:t>
      </w:r>
      <w:r w:rsidR="00625A5A" w:rsidRPr="00CC4242">
        <w:t>Điều lệ công ty và Quy chế này.</w:t>
      </w:r>
    </w:p>
    <w:p w:rsidR="00AA10D7" w:rsidRPr="00CC4242" w:rsidRDefault="00AA10D7" w:rsidP="00625A5A">
      <w:pPr>
        <w:spacing w:before="120" w:line="264" w:lineRule="auto"/>
        <w:jc w:val="both"/>
      </w:pPr>
      <w:r w:rsidRPr="00CC4242">
        <w:rPr>
          <w:b/>
        </w:rPr>
        <w:t>Điều 6</w:t>
      </w:r>
      <w:r w:rsidRPr="00CC4242">
        <w:t xml:space="preserve">. </w:t>
      </w:r>
      <w:bookmarkStart w:id="0" w:name="_Ref130265826"/>
      <w:r w:rsidRPr="00CC4242">
        <w:t>Nguyên tắc biểu quyết</w:t>
      </w:r>
    </w:p>
    <w:p w:rsidR="00AA10D7" w:rsidRPr="00CC4242" w:rsidRDefault="000B532C" w:rsidP="00625A5A">
      <w:pPr>
        <w:numPr>
          <w:ilvl w:val="0"/>
          <w:numId w:val="6"/>
        </w:numPr>
        <w:spacing w:before="120" w:line="264" w:lineRule="auto"/>
        <w:contextualSpacing/>
        <w:jc w:val="both"/>
      </w:pPr>
      <w:r w:rsidRPr="00CC4242">
        <w:t>ĐHĐCĐ</w:t>
      </w:r>
      <w:r w:rsidR="00AA10D7" w:rsidRPr="00CC4242">
        <w:t xml:space="preserve"> biểu quyết theo từng vấn đề trong nội dung chương trình </w:t>
      </w:r>
      <w:r w:rsidR="00001CA4" w:rsidRPr="00CC4242">
        <w:t>ĐHĐCĐ</w:t>
      </w:r>
      <w:r w:rsidR="00AA10D7" w:rsidRPr="00CC4242">
        <w:t xml:space="preserve">. </w:t>
      </w:r>
    </w:p>
    <w:p w:rsidR="00AA10D7" w:rsidRPr="00CC4242" w:rsidRDefault="00257505" w:rsidP="00625A5A">
      <w:pPr>
        <w:numPr>
          <w:ilvl w:val="0"/>
          <w:numId w:val="6"/>
        </w:numPr>
        <w:spacing w:before="120" w:line="264" w:lineRule="auto"/>
        <w:contextualSpacing/>
        <w:jc w:val="both"/>
      </w:pPr>
      <w:r w:rsidRPr="00CC4242">
        <w:t xml:space="preserve">Biểu quyết trực tiếp và công khai: </w:t>
      </w:r>
      <w:r w:rsidR="00001CA4" w:rsidRPr="00CC4242">
        <w:t>Các</w:t>
      </w:r>
      <w:r w:rsidR="00AA10D7" w:rsidRPr="00CC4242">
        <w:t xml:space="preserve"> vấn đề </w:t>
      </w:r>
      <w:r w:rsidRPr="00CC4242">
        <w:t xml:space="preserve">có thể thực hiện </w:t>
      </w:r>
      <w:r w:rsidR="00AA10D7" w:rsidRPr="00CC4242">
        <w:t xml:space="preserve">biểu quyết trực tiếp </w:t>
      </w:r>
      <w:r w:rsidRPr="00CC4242">
        <w:t xml:space="preserve">công khai </w:t>
      </w:r>
      <w:r w:rsidR="00AA10D7" w:rsidRPr="00CC4242">
        <w:t xml:space="preserve">tại </w:t>
      </w:r>
      <w:r w:rsidR="00001CA4" w:rsidRPr="00CC4242">
        <w:t>ĐHĐCĐ</w:t>
      </w:r>
      <w:r w:rsidR="00AA10D7" w:rsidRPr="00CC4242">
        <w:t xml:space="preserve"> thì </w:t>
      </w:r>
      <w:r w:rsidR="002C73EC" w:rsidRPr="00CC4242">
        <w:t xml:space="preserve">Chủ tọa hoặc Trưởng </w:t>
      </w:r>
      <w:r w:rsidR="00AA10D7" w:rsidRPr="00CC4242">
        <w:t xml:space="preserve">Ban tổ chức </w:t>
      </w:r>
      <w:r w:rsidR="002C73EC" w:rsidRPr="00CC4242">
        <w:t xml:space="preserve">ĐHĐCĐ </w:t>
      </w:r>
      <w:r w:rsidR="00AA10D7" w:rsidRPr="00CC4242">
        <w:t xml:space="preserve">sẽ xin biểu quyết trực tiếp </w:t>
      </w:r>
      <w:r w:rsidR="00001CA4" w:rsidRPr="00CC4242">
        <w:t xml:space="preserve">bằng cách </w:t>
      </w:r>
      <w:r w:rsidR="00FE00A3" w:rsidRPr="00CC4242">
        <w:t xml:space="preserve">cổ đông </w:t>
      </w:r>
      <w:r w:rsidR="0090389B" w:rsidRPr="00CC4242">
        <w:t>giơ T</w:t>
      </w:r>
      <w:r w:rsidR="00001CA4" w:rsidRPr="00CC4242">
        <w:t>hẻ biểu quyết công khai</w:t>
      </w:r>
      <w:r w:rsidR="00AA10D7" w:rsidRPr="00CC4242">
        <w:t xml:space="preserve">. </w:t>
      </w:r>
    </w:p>
    <w:p w:rsidR="00257505" w:rsidRPr="00CC4242" w:rsidRDefault="00001CA4" w:rsidP="00625A5A">
      <w:pPr>
        <w:numPr>
          <w:ilvl w:val="0"/>
          <w:numId w:val="6"/>
        </w:numPr>
        <w:spacing w:before="120" w:line="264" w:lineRule="auto"/>
        <w:contextualSpacing/>
        <w:jc w:val="both"/>
      </w:pPr>
      <w:r w:rsidRPr="00CC4242">
        <w:t>B</w:t>
      </w:r>
      <w:r w:rsidR="00AA10D7" w:rsidRPr="00CC4242">
        <w:t>iểu q</w:t>
      </w:r>
      <w:r w:rsidR="00257505" w:rsidRPr="00CC4242">
        <w:t xml:space="preserve">uyết bằng bỏ phiếu kín: Các vấn đề cần bỏ phiếu kín thì Ban tổ chức </w:t>
      </w:r>
      <w:r w:rsidR="002C73EC" w:rsidRPr="00CC4242">
        <w:t xml:space="preserve">ĐHĐCĐ </w:t>
      </w:r>
      <w:r w:rsidR="00050654" w:rsidRPr="00CC4242">
        <w:t>sẽ phát P</w:t>
      </w:r>
      <w:r w:rsidR="00257505" w:rsidRPr="00CC4242">
        <w:t xml:space="preserve">hiếu biểu quyết cho các </w:t>
      </w:r>
      <w:r w:rsidR="000F38FC" w:rsidRPr="00CC4242">
        <w:t>Cổ đông</w:t>
      </w:r>
      <w:r w:rsidR="00257505" w:rsidRPr="00CC4242">
        <w:t xml:space="preserve"> và sẽ được tiến hành bằng cách bỏ phiếu vào hòm phiếu.</w:t>
      </w:r>
    </w:p>
    <w:p w:rsidR="00AA10D7" w:rsidRPr="00CC4242" w:rsidRDefault="00AA10D7" w:rsidP="00625A5A">
      <w:pPr>
        <w:numPr>
          <w:ilvl w:val="0"/>
          <w:numId w:val="6"/>
        </w:numPr>
        <w:spacing w:before="120" w:line="264" w:lineRule="auto"/>
        <w:contextualSpacing/>
        <w:jc w:val="both"/>
      </w:pPr>
      <w:r w:rsidRPr="00CC4242">
        <w:t xml:space="preserve">Chỉ có phiếu </w:t>
      </w:r>
      <w:r w:rsidR="008755C4" w:rsidRPr="00CC4242">
        <w:t xml:space="preserve">biểu quyết </w:t>
      </w:r>
      <w:r w:rsidRPr="00CC4242">
        <w:t xml:space="preserve">hợp lệ mới có giá trị để tính tỷ lệ biểu quyết. Phiếu </w:t>
      </w:r>
      <w:r w:rsidR="008755C4" w:rsidRPr="00CC4242">
        <w:t xml:space="preserve">biểu quyết được </w:t>
      </w:r>
      <w:r w:rsidRPr="00CC4242">
        <w:t xml:space="preserve">coi là hợp lệ khi đáp ứng được các tiêu chuẩn sau: </w:t>
      </w:r>
    </w:p>
    <w:p w:rsidR="00AA10D7" w:rsidRPr="00CC4242" w:rsidRDefault="00AA10D7" w:rsidP="00625A5A">
      <w:pPr>
        <w:numPr>
          <w:ilvl w:val="0"/>
          <w:numId w:val="10"/>
        </w:numPr>
        <w:spacing w:before="120" w:line="264" w:lineRule="auto"/>
        <w:ind w:left="426" w:hanging="142"/>
        <w:contextualSpacing/>
        <w:jc w:val="both"/>
      </w:pPr>
      <w:r w:rsidRPr="00CC4242">
        <w:t>Là phiếu do Ban tổ ch</w:t>
      </w:r>
      <w:r w:rsidR="00001CA4" w:rsidRPr="00CC4242">
        <w:t>ức ĐHĐCĐ phát cho các cổ đông</w:t>
      </w:r>
      <w:r w:rsidRPr="00CC4242">
        <w:t xml:space="preserve">, không bị rách, tẩy, xóa, sửa chữa các </w:t>
      </w:r>
      <w:r w:rsidR="002C73EC" w:rsidRPr="00CC4242">
        <w:t>nội dung</w:t>
      </w:r>
      <w:r w:rsidRPr="00CC4242">
        <w:t xml:space="preserve"> trong </w:t>
      </w:r>
      <w:r w:rsidR="00001CA4" w:rsidRPr="00CC4242">
        <w:t>phiếu</w:t>
      </w:r>
      <w:r w:rsidRPr="00CC4242">
        <w:t>.</w:t>
      </w:r>
    </w:p>
    <w:p w:rsidR="00AA10D7" w:rsidRPr="00CC4242" w:rsidRDefault="00AA10D7" w:rsidP="00625A5A">
      <w:pPr>
        <w:numPr>
          <w:ilvl w:val="0"/>
          <w:numId w:val="10"/>
        </w:numPr>
        <w:spacing w:before="120" w:line="264" w:lineRule="auto"/>
        <w:ind w:left="426" w:hanging="142"/>
        <w:contextualSpacing/>
        <w:jc w:val="both"/>
      </w:pPr>
      <w:r w:rsidRPr="00CC4242">
        <w:t>Được cổ đông điền thông ti</w:t>
      </w:r>
      <w:r w:rsidR="008755C4" w:rsidRPr="00CC4242">
        <w:t>n biểu quyết theo đúng quy định</w:t>
      </w:r>
      <w:r w:rsidRPr="00CC4242">
        <w:t xml:space="preserve">. Cổ đông không được điền vào </w:t>
      </w:r>
      <w:r w:rsidR="002C73EC" w:rsidRPr="00CC4242">
        <w:t>nhiều</w:t>
      </w:r>
      <w:r w:rsidRPr="00CC4242">
        <w:t xml:space="preserve"> ô trong cùng một nội dung biểu quyết hoặc bỏ trống không điền ô nào.</w:t>
      </w:r>
    </w:p>
    <w:p w:rsidR="00AA10D7" w:rsidRPr="00CC4242" w:rsidRDefault="00AA10D7" w:rsidP="00625A5A">
      <w:pPr>
        <w:numPr>
          <w:ilvl w:val="0"/>
          <w:numId w:val="10"/>
        </w:numPr>
        <w:spacing w:before="120" w:line="264" w:lineRule="auto"/>
        <w:ind w:left="426" w:hanging="142"/>
        <w:contextualSpacing/>
        <w:jc w:val="both"/>
      </w:pPr>
      <w:r w:rsidRPr="00CC4242">
        <w:t xml:space="preserve">Được cổ đông bỏ </w:t>
      </w:r>
      <w:r w:rsidR="00001CA4" w:rsidRPr="00CC4242">
        <w:t>phiếu đúng nơi và đúng thời gian quy định</w:t>
      </w:r>
      <w:r w:rsidRPr="00CC4242">
        <w:t>.</w:t>
      </w:r>
    </w:p>
    <w:p w:rsidR="00AA10D7" w:rsidRPr="00CC4242" w:rsidRDefault="00AA10D7" w:rsidP="00625A5A">
      <w:pPr>
        <w:numPr>
          <w:ilvl w:val="0"/>
          <w:numId w:val="6"/>
        </w:numPr>
        <w:spacing w:before="120" w:line="264" w:lineRule="auto"/>
        <w:contextualSpacing/>
        <w:jc w:val="both"/>
      </w:pPr>
      <w:r w:rsidRPr="00CC4242">
        <w:t>Ban kiểm ph</w:t>
      </w:r>
      <w:r w:rsidR="008755C4" w:rsidRPr="00CC4242">
        <w:t xml:space="preserve">iếu tập hợp số phiếu biểu quyết, </w:t>
      </w:r>
      <w:r w:rsidR="00001CA4" w:rsidRPr="00CC4242">
        <w:t xml:space="preserve">kiểm phiếu, </w:t>
      </w:r>
      <w:r w:rsidR="002C73EC" w:rsidRPr="00CC4242">
        <w:t>thống kê</w:t>
      </w:r>
      <w:r w:rsidR="008755C4" w:rsidRPr="00CC4242">
        <w:t xml:space="preserve"> kết quả biểu quyết và </w:t>
      </w:r>
      <w:r w:rsidRPr="00CC4242">
        <w:t xml:space="preserve">ghi vào Biên bản </w:t>
      </w:r>
      <w:r w:rsidR="008755C4" w:rsidRPr="00CC4242">
        <w:t>kiểm phiếu</w:t>
      </w:r>
      <w:r w:rsidRPr="00CC4242">
        <w:t>.</w:t>
      </w:r>
      <w:r w:rsidR="00CD61B8" w:rsidRPr="00CC4242">
        <w:t xml:space="preserve"> </w:t>
      </w:r>
    </w:p>
    <w:p w:rsidR="003666C4" w:rsidRPr="00CC4242" w:rsidRDefault="003666C4" w:rsidP="00625A5A">
      <w:pPr>
        <w:numPr>
          <w:ilvl w:val="0"/>
          <w:numId w:val="6"/>
        </w:numPr>
        <w:spacing w:before="120" w:line="264" w:lineRule="auto"/>
        <w:contextualSpacing/>
        <w:jc w:val="both"/>
      </w:pPr>
      <w:r w:rsidRPr="00CC4242">
        <w:rPr>
          <w:iCs/>
          <w:lang w:val="nl-NL"/>
        </w:rPr>
        <w:t>Các nghị quyết của ĐHĐCĐ được thông qua khi có từ 51% trở lên tổng số phiếu biểu quyết của tất cả các Cổ đông dự họp tán thành, trừ các trường hợp sau đây:</w:t>
      </w:r>
    </w:p>
    <w:p w:rsidR="003666C4" w:rsidRPr="00CC4242" w:rsidRDefault="003666C4" w:rsidP="003666C4">
      <w:pPr>
        <w:spacing w:before="120" w:line="264" w:lineRule="auto"/>
        <w:ind w:left="360"/>
        <w:contextualSpacing/>
        <w:jc w:val="both"/>
        <w:rPr>
          <w:iCs/>
          <w:lang w:val="nl-NL"/>
        </w:rPr>
      </w:pPr>
      <w:r w:rsidRPr="00CC4242">
        <w:rPr>
          <w:iCs/>
          <w:lang w:val="nl-NL"/>
        </w:rPr>
        <w:lastRenderedPageBreak/>
        <w:t>-Các nghị quyết của ĐHĐCĐ liên quan đến các nội dung sau đây được thông qua nếu được số cổ đông đại diện ít nhất 65% tổng số phiếu biểu quyết của tất cả các cổ đông dự họp biểu quyết tán thành: việc sửa đổi và bổ sung Điều lệ; loại cổ phiếu và tổng số cổ phần của từng loại; thay đổi ngành nghề và lĩnh vực kinh doanh; thay đổi cơ cấu tổ chức của Công ty; Dự án đầu tư hoặc bán tài sản Công ty có giá trị bằng hoặc lớn hơn 35%  tổng giá trị tài sản  được ghi trong báo cáo tài chính gần nhất của Công ty; tổ chức lại, giải thể Công ty.</w:t>
      </w:r>
    </w:p>
    <w:p w:rsidR="003666C4" w:rsidRPr="00CC4242" w:rsidRDefault="003666C4" w:rsidP="003666C4">
      <w:pPr>
        <w:spacing w:before="120" w:line="264" w:lineRule="auto"/>
        <w:ind w:left="360"/>
        <w:contextualSpacing/>
        <w:jc w:val="both"/>
        <w:rPr>
          <w:iCs/>
          <w:lang w:val="nl-NL"/>
        </w:rPr>
      </w:pPr>
      <w:r w:rsidRPr="00CC4242">
        <w:rPr>
          <w:iCs/>
          <w:lang w:val="nl-NL"/>
        </w:rPr>
        <w:t xml:space="preserve">- Việc biểu quyết bầu bổ sung thành viên HĐQT được thực hiện theo </w:t>
      </w:r>
      <w:r w:rsidR="0066384E" w:rsidRPr="00CC4242">
        <w:rPr>
          <w:iCs/>
          <w:lang w:val="nl-NL"/>
        </w:rPr>
        <w:t>quy định</w:t>
      </w:r>
      <w:r w:rsidRPr="00CC4242">
        <w:rPr>
          <w:iCs/>
          <w:lang w:val="nl-NL"/>
        </w:rPr>
        <w:t xml:space="preserve"> </w:t>
      </w:r>
      <w:r w:rsidR="00983757" w:rsidRPr="00CC4242">
        <w:rPr>
          <w:iCs/>
          <w:lang w:val="nl-NL"/>
        </w:rPr>
        <w:t xml:space="preserve">nêu tại Khoản </w:t>
      </w:r>
      <w:r w:rsidR="0066384E" w:rsidRPr="00CC4242">
        <w:rPr>
          <w:iCs/>
          <w:lang w:val="nl-NL"/>
        </w:rPr>
        <w:t>2</w:t>
      </w:r>
      <w:r w:rsidR="00983757" w:rsidRPr="00CC4242">
        <w:rPr>
          <w:iCs/>
          <w:lang w:val="nl-NL"/>
        </w:rPr>
        <w:t xml:space="preserve"> Điều 7 Quy chế này</w:t>
      </w:r>
      <w:r w:rsidRPr="00CC4242">
        <w:rPr>
          <w:iCs/>
          <w:lang w:val="nl-NL"/>
        </w:rPr>
        <w:t>.</w:t>
      </w:r>
    </w:p>
    <w:bookmarkEnd w:id="0"/>
    <w:p w:rsidR="00CD61B8" w:rsidRPr="00CC4242" w:rsidRDefault="00CD61B8" w:rsidP="00CD61B8">
      <w:pPr>
        <w:spacing w:before="120" w:line="264" w:lineRule="auto"/>
        <w:jc w:val="both"/>
        <w:rPr>
          <w:bCs/>
        </w:rPr>
      </w:pPr>
      <w:r w:rsidRPr="00CC4242">
        <w:rPr>
          <w:b/>
        </w:rPr>
        <w:t>Điều 7</w:t>
      </w:r>
      <w:r w:rsidRPr="00CC4242">
        <w:t>.</w:t>
      </w:r>
      <w:r w:rsidRPr="00CC4242">
        <w:rPr>
          <w:b/>
        </w:rPr>
        <w:t xml:space="preserve"> </w:t>
      </w:r>
      <w:r w:rsidRPr="00CC4242">
        <w:t>Bãi nhiệm</w:t>
      </w:r>
      <w:r w:rsidR="00042DE1" w:rsidRPr="00CC4242">
        <w:t>/miễn nhiệm</w:t>
      </w:r>
      <w:r w:rsidRPr="00CC4242">
        <w:t xml:space="preserve"> và bầu bổ sung </w:t>
      </w:r>
      <w:r w:rsidRPr="00CC4242">
        <w:rPr>
          <w:bCs/>
        </w:rPr>
        <w:t>thành viên HĐQT</w:t>
      </w:r>
    </w:p>
    <w:p w:rsidR="00CD61B8" w:rsidRPr="00CC4242" w:rsidRDefault="00CD61B8" w:rsidP="00CD61B8">
      <w:pPr>
        <w:numPr>
          <w:ilvl w:val="0"/>
          <w:numId w:val="9"/>
        </w:numPr>
        <w:tabs>
          <w:tab w:val="left" w:pos="426"/>
        </w:tabs>
        <w:spacing w:before="120" w:line="264" w:lineRule="auto"/>
        <w:ind w:left="360"/>
        <w:contextualSpacing/>
        <w:jc w:val="both"/>
      </w:pPr>
      <w:bookmarkStart w:id="1" w:name="_Hlk481570796"/>
      <w:r w:rsidRPr="00CC4242">
        <w:t>Bãi nhiệm</w:t>
      </w:r>
      <w:r w:rsidR="00042DE1" w:rsidRPr="00CC4242">
        <w:t>/miễn nhiệm</w:t>
      </w:r>
      <w:r w:rsidRPr="00CC4242">
        <w:t xml:space="preserve"> thành viên HĐQT</w:t>
      </w:r>
    </w:p>
    <w:p w:rsidR="00CD61B8" w:rsidRPr="00CC4242" w:rsidRDefault="00CD61B8" w:rsidP="00CD61B8">
      <w:pPr>
        <w:tabs>
          <w:tab w:val="left" w:pos="426"/>
        </w:tabs>
        <w:spacing w:before="120" w:line="264" w:lineRule="auto"/>
        <w:ind w:left="360"/>
        <w:contextualSpacing/>
        <w:jc w:val="both"/>
      </w:pPr>
      <w:r w:rsidRPr="00CC4242">
        <w:t>ĐHĐCĐ sẽ thực hiện bỏ phiếu bãi nhiệm</w:t>
      </w:r>
      <w:r w:rsidR="00042DE1" w:rsidRPr="00CC4242">
        <w:t>/miễn nhiệm</w:t>
      </w:r>
      <w:r w:rsidRPr="00CC4242">
        <w:t xml:space="preserve"> một </w:t>
      </w:r>
      <w:r w:rsidR="00351C73" w:rsidRPr="00CC4242">
        <w:t>thành viên HĐQT</w:t>
      </w:r>
      <w:r w:rsidRPr="00CC4242">
        <w:t>.</w:t>
      </w:r>
    </w:p>
    <w:p w:rsidR="00CD61B8" w:rsidRPr="00CC4242" w:rsidRDefault="00CD61B8" w:rsidP="00CD61B8">
      <w:pPr>
        <w:tabs>
          <w:tab w:val="left" w:pos="426"/>
        </w:tabs>
        <w:spacing w:before="120" w:line="264" w:lineRule="auto"/>
        <w:ind w:left="360"/>
        <w:contextualSpacing/>
        <w:jc w:val="both"/>
      </w:pPr>
      <w:r w:rsidRPr="00CC4242">
        <w:t xml:space="preserve">Thành viên </w:t>
      </w:r>
      <w:r w:rsidR="00351C73" w:rsidRPr="00CC4242">
        <w:t xml:space="preserve">HĐQT </w:t>
      </w:r>
      <w:r w:rsidR="00042DE1" w:rsidRPr="00CC4242">
        <w:t xml:space="preserve">bị bãi nhiệm/miễn nhiệm khi </w:t>
      </w:r>
      <w:r w:rsidR="00351C73" w:rsidRPr="00CC4242">
        <w:t>có t</w:t>
      </w:r>
      <w:bookmarkStart w:id="2" w:name="_GoBack"/>
      <w:bookmarkEnd w:id="2"/>
      <w:r w:rsidR="00351C73" w:rsidRPr="00CC4242">
        <w:t>ừ 51%</w:t>
      </w:r>
      <w:r w:rsidR="00351C73" w:rsidRPr="00CC4242">
        <w:rPr>
          <w:iCs/>
          <w:lang w:val="nl-NL"/>
        </w:rPr>
        <w:t xml:space="preserve"> trở lên tổng số phiếu biểu quyết của tất cả các Cổ đông dự họp</w:t>
      </w:r>
      <w:r w:rsidR="00351C73" w:rsidRPr="00CC4242">
        <w:t xml:space="preserve"> tán thành việc bãi nhiệm</w:t>
      </w:r>
      <w:r w:rsidR="00042DE1" w:rsidRPr="00CC4242">
        <w:t>/miễn</w:t>
      </w:r>
      <w:r w:rsidR="00351C73" w:rsidRPr="00CC4242">
        <w:t xml:space="preserve"> </w:t>
      </w:r>
      <w:r w:rsidR="00042DE1" w:rsidRPr="00CC4242">
        <w:t>nhiệm thành viên đó</w:t>
      </w:r>
      <w:r w:rsidR="003666C4" w:rsidRPr="00CC4242">
        <w:t>.</w:t>
      </w:r>
    </w:p>
    <w:p w:rsidR="003666C4" w:rsidRPr="00CC4242" w:rsidRDefault="003666C4" w:rsidP="00CD61B8">
      <w:pPr>
        <w:numPr>
          <w:ilvl w:val="0"/>
          <w:numId w:val="9"/>
        </w:numPr>
        <w:tabs>
          <w:tab w:val="left" w:pos="426"/>
        </w:tabs>
        <w:spacing w:before="120" w:line="264" w:lineRule="auto"/>
        <w:ind w:left="360"/>
        <w:contextualSpacing/>
        <w:jc w:val="both"/>
      </w:pPr>
      <w:r w:rsidRPr="00CC4242">
        <w:t>Bầu bổ sung thành viên HĐQT</w:t>
      </w:r>
    </w:p>
    <w:p w:rsidR="003666C4" w:rsidRPr="00CC4242" w:rsidRDefault="00351C73" w:rsidP="003666C4">
      <w:pPr>
        <w:tabs>
          <w:tab w:val="left" w:pos="426"/>
        </w:tabs>
        <w:spacing w:before="120" w:line="264" w:lineRule="auto"/>
        <w:ind w:left="360"/>
        <w:contextualSpacing/>
        <w:jc w:val="both"/>
        <w:rPr>
          <w:bCs/>
        </w:rPr>
      </w:pPr>
      <w:r w:rsidRPr="00CC4242">
        <w:t>a).ĐHĐCĐ sẽ thực hiện bầu bổ sung thành viên HĐQT để thay thế cho thành viên HĐQT bị bãi nhiệm</w:t>
      </w:r>
      <w:r w:rsidR="00042DE1" w:rsidRPr="00CC4242">
        <w:t>/miễn nhiệm</w:t>
      </w:r>
      <w:r w:rsidRPr="00CC4242">
        <w:t xml:space="preserve"> </w:t>
      </w:r>
      <w:r w:rsidR="0066384E" w:rsidRPr="00CC4242">
        <w:t>nêu tại Khoản 1 Điều này</w:t>
      </w:r>
      <w:r w:rsidRPr="00CC4242">
        <w:t>.</w:t>
      </w:r>
    </w:p>
    <w:p w:rsidR="00CD61B8" w:rsidRPr="00CC4242" w:rsidRDefault="00351C73" w:rsidP="00351C73">
      <w:pPr>
        <w:tabs>
          <w:tab w:val="left" w:pos="426"/>
        </w:tabs>
        <w:spacing w:before="120" w:line="264" w:lineRule="auto"/>
        <w:ind w:left="360"/>
        <w:contextualSpacing/>
        <w:jc w:val="both"/>
      </w:pPr>
      <w:r w:rsidRPr="00CC4242">
        <w:t>b).</w:t>
      </w:r>
      <w:r w:rsidR="00983757" w:rsidRPr="00CC4242">
        <w:t>Quyền đề cử, ứng cử làm thành viên HĐQT và t</w:t>
      </w:r>
      <w:r w:rsidR="00CD61B8" w:rsidRPr="00CC4242">
        <w:t>iêu chuẩn</w:t>
      </w:r>
      <w:r w:rsidR="00983757" w:rsidRPr="00CC4242">
        <w:t xml:space="preserve"> ứng viên để bầu bổ sung</w:t>
      </w:r>
      <w:r w:rsidR="00CD61B8" w:rsidRPr="00CC4242">
        <w:t xml:space="preserve"> làm thành viên HĐQT</w:t>
      </w:r>
      <w:r w:rsidR="00983757" w:rsidRPr="00CC4242">
        <w:t xml:space="preserve"> được thực hiện theo quy định của </w:t>
      </w:r>
      <w:r w:rsidR="00CD61B8" w:rsidRPr="00CC4242">
        <w:t xml:space="preserve">Luật doanh nghiệp và Điều lệ Công ty. Trước khi tiến hành bỏ phiếu bầu </w:t>
      </w:r>
      <w:r w:rsidR="00983757" w:rsidRPr="00CC4242">
        <w:t>bổ sung thành viên HĐQT</w:t>
      </w:r>
      <w:r w:rsidR="00E462A6" w:rsidRPr="00CC4242">
        <w:t>,</w:t>
      </w:r>
      <w:r w:rsidR="00CD61B8" w:rsidRPr="00CC4242">
        <w:t xml:space="preserve"> Ban tổ chức ĐHĐCĐ sẽ công bố công khai danh sách các ứng viên được đề cử/ứng cử đủ điều kiện (hoặc không đủ điều kiện) bầu </w:t>
      </w:r>
      <w:r w:rsidR="00983757" w:rsidRPr="00CC4242">
        <w:t xml:space="preserve">bổ sung </w:t>
      </w:r>
      <w:r w:rsidR="00CD61B8" w:rsidRPr="00CC4242">
        <w:t>vào HĐQT.</w:t>
      </w:r>
    </w:p>
    <w:p w:rsidR="00CD61B8" w:rsidRPr="00CC4242" w:rsidRDefault="00CD61B8" w:rsidP="00983757">
      <w:pPr>
        <w:tabs>
          <w:tab w:val="left" w:pos="426"/>
        </w:tabs>
        <w:spacing w:before="120" w:line="264" w:lineRule="auto"/>
        <w:ind w:left="360"/>
        <w:contextualSpacing/>
        <w:jc w:val="both"/>
      </w:pPr>
      <w:r w:rsidRPr="00CC4242">
        <w:t xml:space="preserve">Hồ sơ ứng cử, đề cử ứng viên bầu </w:t>
      </w:r>
      <w:r w:rsidR="00983757" w:rsidRPr="00CC4242">
        <w:t xml:space="preserve">bổ sung </w:t>
      </w:r>
      <w:r w:rsidRPr="00CC4242">
        <w:t>làm thành viên HĐQT</w:t>
      </w:r>
      <w:r w:rsidR="00983757" w:rsidRPr="00CC4242">
        <w:t xml:space="preserve"> </w:t>
      </w:r>
      <w:r w:rsidRPr="00CC4242">
        <w:t>gồm:</w:t>
      </w:r>
      <w:r w:rsidR="00983757" w:rsidRPr="00CC4242">
        <w:t xml:space="preserve"> văn bản </w:t>
      </w:r>
      <w:r w:rsidRPr="00CC4242">
        <w:t xml:space="preserve">ứng cử hoặc đề cử ứng viên để bầu </w:t>
      </w:r>
      <w:r w:rsidR="00983757" w:rsidRPr="00CC4242">
        <w:t xml:space="preserve">bổ sung </w:t>
      </w:r>
      <w:r w:rsidRPr="00CC4242">
        <w:t>vào HĐQT;</w:t>
      </w:r>
      <w:r w:rsidR="00983757" w:rsidRPr="00CC4242">
        <w:t xml:space="preserve"> b</w:t>
      </w:r>
      <w:r w:rsidRPr="00CC4242">
        <w:t>ản thông tin cá nhân/sơ yếu lý lịch do ứng viên khai theo mẫu quy định;</w:t>
      </w:r>
      <w:r w:rsidR="00983757" w:rsidRPr="00CC4242">
        <w:t xml:space="preserve"> b</w:t>
      </w:r>
      <w:r w:rsidRPr="00CC4242">
        <w:t>ản sao có công chứng/chứng thực Giấy CMND/CCCD hoặc Hộ chiếu còn hiệu lực; Các bằng cấp và tài liệu chứng minh ứng viên đáp ứng đủ các điều kiện làm thành viên HĐQT;</w:t>
      </w:r>
      <w:r w:rsidR="00983757" w:rsidRPr="00CC4242">
        <w:t xml:space="preserve"> và </w:t>
      </w:r>
      <w:r w:rsidRPr="00CC4242">
        <w:t xml:space="preserve">Văn bản lập nhóm cổ đông (nếu ứng viên được nhóm cổ đông đề cử). Hồ sơ ứng cử, đề cử ứng viên bầu </w:t>
      </w:r>
      <w:r w:rsidR="00983757" w:rsidRPr="00CC4242">
        <w:t xml:space="preserve">bổ sung </w:t>
      </w:r>
      <w:r w:rsidRPr="00CC4242">
        <w:t xml:space="preserve">làm thành viên HĐQT phải được gửi đến Ban tổ chức ĐHĐCĐ trước ngày họp ĐHĐCĐ ít nhất 02 ngày. Các hồ sơ ứng cử, đề cử gửi </w:t>
      </w:r>
      <w:r w:rsidR="000C4BF7" w:rsidRPr="00CC4242">
        <w:t xml:space="preserve">đến </w:t>
      </w:r>
      <w:r w:rsidRPr="00CC4242">
        <w:t>sau thời hạn nêu trên đều được coi là không hợp lệ.</w:t>
      </w:r>
    </w:p>
    <w:p w:rsidR="00CD61B8" w:rsidRPr="00CC4242" w:rsidRDefault="00351C73" w:rsidP="00351C73">
      <w:pPr>
        <w:tabs>
          <w:tab w:val="left" w:pos="426"/>
        </w:tabs>
        <w:spacing w:before="120" w:line="264" w:lineRule="auto"/>
        <w:ind w:left="360"/>
        <w:contextualSpacing/>
        <w:jc w:val="both"/>
      </w:pPr>
      <w:r w:rsidRPr="00CC4242">
        <w:t>c).</w:t>
      </w:r>
      <w:r w:rsidR="00CD61B8" w:rsidRPr="00CC4242">
        <w:t>Phiếu bầu và nguyên tắc ghi phiếu bầu:</w:t>
      </w:r>
    </w:p>
    <w:p w:rsidR="00CD61B8" w:rsidRPr="00CC4242" w:rsidRDefault="00CD61B8" w:rsidP="00CD61B8">
      <w:pPr>
        <w:numPr>
          <w:ilvl w:val="0"/>
          <w:numId w:val="10"/>
        </w:numPr>
        <w:spacing w:before="120" w:line="264" w:lineRule="auto"/>
        <w:ind w:left="360"/>
        <w:contextualSpacing/>
        <w:jc w:val="both"/>
      </w:pPr>
      <w:r w:rsidRPr="00CC4242">
        <w:t xml:space="preserve">Phiếu bầu được in thống nhất theo mẫu của Công ty; </w:t>
      </w:r>
    </w:p>
    <w:p w:rsidR="00CD61B8" w:rsidRPr="00CC4242" w:rsidRDefault="00CD61B8" w:rsidP="00CD61B8">
      <w:pPr>
        <w:numPr>
          <w:ilvl w:val="0"/>
          <w:numId w:val="10"/>
        </w:numPr>
        <w:spacing w:before="120" w:line="264" w:lineRule="auto"/>
        <w:ind w:left="360"/>
        <w:contextualSpacing/>
        <w:jc w:val="both"/>
      </w:pPr>
      <w:r w:rsidRPr="00CC4242">
        <w:t xml:space="preserve">Cổ đông được nhận Phiếu bầu khi đăng ký dự họp ĐHĐCĐ; </w:t>
      </w:r>
    </w:p>
    <w:p w:rsidR="00CD61B8" w:rsidRPr="00CC4242" w:rsidRDefault="00CD61B8" w:rsidP="00CD61B8">
      <w:pPr>
        <w:numPr>
          <w:ilvl w:val="0"/>
          <w:numId w:val="10"/>
        </w:numPr>
        <w:spacing w:before="120" w:line="264" w:lineRule="auto"/>
        <w:ind w:left="360"/>
        <w:contextualSpacing/>
        <w:jc w:val="both"/>
      </w:pPr>
      <w:r w:rsidRPr="00CC4242">
        <w:t>Cổ đông phải lựa chọn/ghi số phiếu bầu cho ứng viên vào ô tương ứng của ứng viên đó trên phiếu bầu.</w:t>
      </w:r>
    </w:p>
    <w:p w:rsidR="00CD61B8" w:rsidRPr="00CC4242" w:rsidRDefault="00CD61B8" w:rsidP="00CD61B8">
      <w:pPr>
        <w:numPr>
          <w:ilvl w:val="0"/>
          <w:numId w:val="10"/>
        </w:numPr>
        <w:spacing w:before="120" w:line="264" w:lineRule="auto"/>
        <w:ind w:left="360"/>
        <w:contextualSpacing/>
        <w:jc w:val="both"/>
      </w:pPr>
      <w:r w:rsidRPr="00CC4242">
        <w:t>Phiếu bầu không hợp lệ là các phiếu bầu thuộc các trường hợp sau đây: (i) Phiếu bầu không theo mẫu quy định của Công ty</w:t>
      </w:r>
      <w:r w:rsidR="0066384E" w:rsidRPr="00CC4242">
        <w:t xml:space="preserve"> hoặc</w:t>
      </w:r>
      <w:r w:rsidRPr="00CC4242">
        <w:t xml:space="preserve"> không có dấu treo của Công ty; (ii) Phiếu bầu bị gạch xoá, sửa chữa hoặc ghi không rõ nội dung bầu; (iii) Phiếu bầu ghi tên ứng viên không đúng/không thuộc danh sách ứng viên đã được </w:t>
      </w:r>
      <w:r w:rsidR="0066384E" w:rsidRPr="00CC4242">
        <w:t xml:space="preserve">Ban tổ chức </w:t>
      </w:r>
      <w:r w:rsidRPr="00CC4242">
        <w:t>ĐHĐCĐ công bố khi tiến hành bỏ phiếu; (iv) Phiếu bầu có tổng số phiếu bầu cho các ứng viên của cổ đông vượt quá tổng số phiếu bầu</w:t>
      </w:r>
      <w:r w:rsidR="00117FDC" w:rsidRPr="00CC4242">
        <w:t xml:space="preserve"> được quyền</w:t>
      </w:r>
      <w:r w:rsidRPr="00CC4242">
        <w:t xml:space="preserve"> của cổ đông</w:t>
      </w:r>
      <w:r w:rsidR="008677E0" w:rsidRPr="00CC4242">
        <w:t xml:space="preserve"> đó</w:t>
      </w:r>
      <w:r w:rsidRPr="00CC4242">
        <w:t xml:space="preserve">. </w:t>
      </w:r>
    </w:p>
    <w:p w:rsidR="00CD61B8" w:rsidRPr="00CC4242" w:rsidRDefault="00351C73" w:rsidP="00351C73">
      <w:pPr>
        <w:tabs>
          <w:tab w:val="left" w:pos="426"/>
        </w:tabs>
        <w:spacing w:before="120" w:line="264" w:lineRule="auto"/>
        <w:ind w:left="360"/>
        <w:contextualSpacing/>
        <w:jc w:val="both"/>
      </w:pPr>
      <w:r w:rsidRPr="00CC4242">
        <w:t xml:space="preserve">d). </w:t>
      </w:r>
      <w:r w:rsidR="00CD61B8" w:rsidRPr="00CC4242">
        <w:t xml:space="preserve">Việc bầu </w:t>
      </w:r>
      <w:r w:rsidR="00983757" w:rsidRPr="00CC4242">
        <w:t xml:space="preserve">bổ sung </w:t>
      </w:r>
      <w:r w:rsidR="00CD61B8" w:rsidRPr="00CC4242">
        <w:t xml:space="preserve">thành viên HĐQT được thực hiện bằng cách bỏ phiếu kín và theo phương thức bầu dồn phiếu. Mỗi cổ đông có tổng số phiếu bầu tương ứng với tổng số cổ phần có quyền biểu quyết nhân với số thành viên được bầu </w:t>
      </w:r>
      <w:r w:rsidR="0066384E" w:rsidRPr="00CC4242">
        <w:t xml:space="preserve">bổ sung vào </w:t>
      </w:r>
      <w:r w:rsidR="00CD61B8" w:rsidRPr="00CC4242">
        <w:t>HĐQT</w:t>
      </w:r>
      <w:r w:rsidRPr="00CC4242">
        <w:t xml:space="preserve">. </w:t>
      </w:r>
      <w:r w:rsidR="00CD61B8" w:rsidRPr="00CC4242">
        <w:t xml:space="preserve">Cổ đông có quyền dồn hết hoặc một phần tổng số phiếu bầu của mình cho một hoặc một số ứng viên. Số phiếu bầu cho mỗi ứng viên không bắt buộc phải bằng nhau. Cổ đông có thể chỉ sử dụng một phần trong tổng số phiếu bầu của mình, số phiếu bầu còn lại có thể không bầu </w:t>
      </w:r>
      <w:r w:rsidR="00CD61B8" w:rsidRPr="00CC4242">
        <w:lastRenderedPageBreak/>
        <w:t xml:space="preserve">cho bất kỳ ứng viên nào khác. Tổng số phiếu bầu cho ứng viên của một cổ đông không được vượt quá tổng số phiếu bầu </w:t>
      </w:r>
      <w:r w:rsidR="00117FDC" w:rsidRPr="00CC4242">
        <w:t xml:space="preserve">được quyền </w:t>
      </w:r>
      <w:r w:rsidR="00CD61B8" w:rsidRPr="00CC4242">
        <w:t>của cổ đông đó.</w:t>
      </w:r>
    </w:p>
    <w:p w:rsidR="00CD61B8" w:rsidRPr="00CC4242" w:rsidRDefault="00351C73" w:rsidP="00351C73">
      <w:pPr>
        <w:spacing w:before="120" w:line="264" w:lineRule="auto"/>
        <w:ind w:left="360"/>
        <w:contextualSpacing/>
        <w:jc w:val="both"/>
      </w:pPr>
      <w:r w:rsidRPr="00CC4242">
        <w:t>e).</w:t>
      </w:r>
      <w:r w:rsidR="00983757" w:rsidRPr="00CC4242">
        <w:t xml:space="preserve">Người được bầu bổ sung làm </w:t>
      </w:r>
      <w:r w:rsidR="00CD61B8" w:rsidRPr="00CC4242">
        <w:t xml:space="preserve">thành viên HĐQT </w:t>
      </w:r>
      <w:r w:rsidR="00B67B6B" w:rsidRPr="00CC4242">
        <w:t>là người có</w:t>
      </w:r>
      <w:r w:rsidR="00CD61B8" w:rsidRPr="00CC4242">
        <w:t xml:space="preserve"> tổng số phiếu bầu cao nhất</w:t>
      </w:r>
      <w:r w:rsidR="00983757" w:rsidRPr="00CC4242">
        <w:t xml:space="preserve">. </w:t>
      </w:r>
      <w:r w:rsidR="00CD61B8" w:rsidRPr="00CC4242">
        <w:t xml:space="preserve">Trường hợp có từ 02 ứng viên trở lên đạt cùng số phiếu bầu </w:t>
      </w:r>
      <w:r w:rsidR="00983757" w:rsidRPr="00CC4242">
        <w:t xml:space="preserve">cao </w:t>
      </w:r>
      <w:r w:rsidR="00B67B6B" w:rsidRPr="00CC4242">
        <w:t xml:space="preserve">nhất </w:t>
      </w:r>
      <w:r w:rsidR="00CD61B8" w:rsidRPr="00CC4242">
        <w:t>như nhau thì sẽ tiến hành bầu lại trong số các ứng viên có số phiếu bầu ngang nhau đó.</w:t>
      </w:r>
    </w:p>
    <w:bookmarkEnd w:id="1"/>
    <w:p w:rsidR="00AA10D7" w:rsidRPr="00CC4242" w:rsidRDefault="00B4246D" w:rsidP="00625A5A">
      <w:pPr>
        <w:spacing w:before="120" w:line="264" w:lineRule="auto"/>
        <w:jc w:val="both"/>
      </w:pPr>
      <w:r w:rsidRPr="00CC4242">
        <w:rPr>
          <w:b/>
        </w:rPr>
        <w:t xml:space="preserve">Điều </w:t>
      </w:r>
      <w:r w:rsidR="00CD61B8" w:rsidRPr="00CC4242">
        <w:rPr>
          <w:b/>
        </w:rPr>
        <w:t>8</w:t>
      </w:r>
      <w:r w:rsidRPr="00CC4242">
        <w:t xml:space="preserve">. </w:t>
      </w:r>
      <w:r w:rsidR="00050654" w:rsidRPr="00CC4242">
        <w:t>P</w:t>
      </w:r>
      <w:r w:rsidR="00AA10D7" w:rsidRPr="00CC4242">
        <w:t xml:space="preserve">hát biểu tại </w:t>
      </w:r>
      <w:r w:rsidR="00001CA4" w:rsidRPr="00CC4242">
        <w:t>ĐHĐCĐ</w:t>
      </w:r>
    </w:p>
    <w:p w:rsidR="00AA10D7" w:rsidRPr="00CC4242" w:rsidRDefault="000B532C" w:rsidP="00625A5A">
      <w:pPr>
        <w:numPr>
          <w:ilvl w:val="0"/>
          <w:numId w:val="7"/>
        </w:numPr>
        <w:spacing w:before="120" w:line="264" w:lineRule="auto"/>
        <w:contextualSpacing/>
        <w:jc w:val="both"/>
      </w:pPr>
      <w:r w:rsidRPr="00CC4242">
        <w:t>Việc phát biểu</w:t>
      </w:r>
      <w:r w:rsidR="00AA10D7" w:rsidRPr="00CC4242">
        <w:t xml:space="preserve"> tại </w:t>
      </w:r>
      <w:r w:rsidR="00001CA4" w:rsidRPr="00CC4242">
        <w:t>ĐHĐCĐ</w:t>
      </w:r>
      <w:r w:rsidR="00AA10D7" w:rsidRPr="00CC4242">
        <w:t xml:space="preserve"> phải thực hiện theo nguyên tắc sau:</w:t>
      </w:r>
    </w:p>
    <w:p w:rsidR="00AA10D7" w:rsidRPr="00CC4242" w:rsidRDefault="00AA10D7" w:rsidP="00625A5A">
      <w:pPr>
        <w:numPr>
          <w:ilvl w:val="0"/>
          <w:numId w:val="10"/>
        </w:numPr>
        <w:spacing w:before="120" w:line="264" w:lineRule="auto"/>
        <w:ind w:left="426" w:hanging="142"/>
        <w:contextualSpacing/>
        <w:jc w:val="both"/>
      </w:pPr>
      <w:r w:rsidRPr="00CC4242">
        <w:t>C</w:t>
      </w:r>
      <w:r w:rsidR="000B532C" w:rsidRPr="00CC4242">
        <w:t>ổ đông c</w:t>
      </w:r>
      <w:r w:rsidRPr="00CC4242">
        <w:t>hỉ được tham gia</w:t>
      </w:r>
      <w:r w:rsidR="002873CB" w:rsidRPr="00CC4242">
        <w:t xml:space="preserve"> phát biểu,</w:t>
      </w:r>
      <w:r w:rsidRPr="00CC4242">
        <w:t xml:space="preserve"> đóng góp ý kiến trong phần </w:t>
      </w:r>
      <w:r w:rsidR="008755C4" w:rsidRPr="00CC4242">
        <w:t>t</w:t>
      </w:r>
      <w:r w:rsidRPr="00CC4242">
        <w:t xml:space="preserve">hảo luận của </w:t>
      </w:r>
      <w:r w:rsidR="00001CA4" w:rsidRPr="00CC4242">
        <w:t>ĐHĐCĐ</w:t>
      </w:r>
      <w:r w:rsidRPr="00CC4242">
        <w:t>.</w:t>
      </w:r>
    </w:p>
    <w:p w:rsidR="00AA10D7" w:rsidRPr="00CC4242" w:rsidRDefault="002873CB" w:rsidP="00625A5A">
      <w:pPr>
        <w:numPr>
          <w:ilvl w:val="0"/>
          <w:numId w:val="10"/>
        </w:numPr>
        <w:spacing w:before="120" w:line="264" w:lineRule="auto"/>
        <w:ind w:left="426" w:hanging="142"/>
        <w:contextualSpacing/>
        <w:jc w:val="both"/>
      </w:pPr>
      <w:r w:rsidRPr="00CC4242">
        <w:t>Cổ đông p</w:t>
      </w:r>
      <w:r w:rsidR="00AA10D7" w:rsidRPr="00CC4242">
        <w:t>hải xin ý kiến của Chủ tọa và chỉ được phát biểu sau khi được Chủ tọa cho phép. Trong cùng một thời điểm chỉ có một cổ đông được quyền phát biểu.</w:t>
      </w:r>
    </w:p>
    <w:p w:rsidR="00AA10D7" w:rsidRPr="00CC4242" w:rsidRDefault="00AA10D7" w:rsidP="00625A5A">
      <w:pPr>
        <w:numPr>
          <w:ilvl w:val="0"/>
          <w:numId w:val="10"/>
        </w:numPr>
        <w:spacing w:before="120" w:line="264" w:lineRule="auto"/>
        <w:ind w:left="426" w:hanging="142"/>
        <w:contextualSpacing/>
        <w:jc w:val="both"/>
      </w:pPr>
      <w:r w:rsidRPr="00CC4242">
        <w:t>Trường hợp nhiều cổ đông có ý kiến cùng lúc thì Chủ tọa sẽ mời tuần tự từng cổ đông trình bày ý kiến của mình.</w:t>
      </w:r>
    </w:p>
    <w:p w:rsidR="00AA10D7" w:rsidRPr="00CC4242" w:rsidRDefault="00AA10D7" w:rsidP="00625A5A">
      <w:pPr>
        <w:numPr>
          <w:ilvl w:val="0"/>
          <w:numId w:val="10"/>
        </w:numPr>
        <w:spacing w:before="120" w:line="264" w:lineRule="auto"/>
        <w:ind w:left="426" w:hanging="142"/>
        <w:contextualSpacing/>
        <w:jc w:val="both"/>
      </w:pPr>
      <w:r w:rsidRPr="00CC4242">
        <w:t xml:space="preserve">Chủ tọa có quyền </w:t>
      </w:r>
      <w:r w:rsidR="0066384E" w:rsidRPr="00CC4242">
        <w:t xml:space="preserve">từ chối hoặc </w:t>
      </w:r>
      <w:r w:rsidRPr="00CC4242">
        <w:t>cắt ngang phần trình bày ý kiến của các cổ đông nếu thấy cần thiết.</w:t>
      </w:r>
    </w:p>
    <w:p w:rsidR="00AA10D7" w:rsidRPr="00CC4242" w:rsidRDefault="00AA10D7" w:rsidP="00625A5A">
      <w:pPr>
        <w:numPr>
          <w:ilvl w:val="0"/>
          <w:numId w:val="10"/>
        </w:numPr>
        <w:spacing w:before="120" w:line="264" w:lineRule="auto"/>
        <w:ind w:left="426" w:hanging="142"/>
        <w:contextualSpacing/>
        <w:jc w:val="both"/>
      </w:pPr>
      <w:r w:rsidRPr="00CC4242">
        <w:t>Các ý kiến đóng góp hoặc chất vấn sẽ được tập hợp cùng lúc và được giải đáp tuần tự sau.</w:t>
      </w:r>
    </w:p>
    <w:p w:rsidR="00AA10D7" w:rsidRPr="00CC4242" w:rsidRDefault="00AA10D7" w:rsidP="00625A5A">
      <w:pPr>
        <w:numPr>
          <w:ilvl w:val="0"/>
          <w:numId w:val="7"/>
        </w:numPr>
        <w:spacing w:before="120" w:line="264" w:lineRule="auto"/>
        <w:contextualSpacing/>
        <w:jc w:val="both"/>
      </w:pPr>
      <w:r w:rsidRPr="00CC4242">
        <w:t>Các đề xuất của cổ đông phải đảm bảo các điều kiện sau:</w:t>
      </w:r>
    </w:p>
    <w:p w:rsidR="00AA10D7" w:rsidRPr="00CC4242" w:rsidRDefault="00AA10D7" w:rsidP="00625A5A">
      <w:pPr>
        <w:numPr>
          <w:ilvl w:val="0"/>
          <w:numId w:val="10"/>
        </w:numPr>
        <w:spacing w:before="120" w:line="264" w:lineRule="auto"/>
        <w:ind w:left="426" w:hanging="142"/>
        <w:contextualSpacing/>
        <w:jc w:val="both"/>
      </w:pPr>
      <w:r w:rsidRPr="00CC4242">
        <w:t>Ngắn gọn và rõ ràng.</w:t>
      </w:r>
    </w:p>
    <w:p w:rsidR="00AA10D7" w:rsidRPr="00CC4242" w:rsidRDefault="00AA10D7" w:rsidP="00625A5A">
      <w:pPr>
        <w:numPr>
          <w:ilvl w:val="0"/>
          <w:numId w:val="10"/>
        </w:numPr>
        <w:spacing w:before="120" w:line="264" w:lineRule="auto"/>
        <w:ind w:left="426" w:hanging="142"/>
        <w:contextualSpacing/>
        <w:jc w:val="both"/>
      </w:pPr>
      <w:r w:rsidRPr="00CC4242">
        <w:t>Không trình bày lại những vấn đề đã được đề cập trước</w:t>
      </w:r>
      <w:r w:rsidR="000B532C" w:rsidRPr="00CC4242">
        <w:t xml:space="preserve"> đó</w:t>
      </w:r>
      <w:r w:rsidRPr="00CC4242">
        <w:t>.</w:t>
      </w:r>
    </w:p>
    <w:p w:rsidR="00AA10D7" w:rsidRPr="00CC4242" w:rsidRDefault="00AA10D7" w:rsidP="00625A5A">
      <w:pPr>
        <w:numPr>
          <w:ilvl w:val="0"/>
          <w:numId w:val="10"/>
        </w:numPr>
        <w:spacing w:before="120" w:line="264" w:lineRule="auto"/>
        <w:ind w:left="426" w:hanging="142"/>
        <w:contextualSpacing/>
        <w:jc w:val="both"/>
      </w:pPr>
      <w:r w:rsidRPr="00CC4242">
        <w:t xml:space="preserve">Không đề xuất các vấn đề </w:t>
      </w:r>
      <w:r w:rsidR="000B532C" w:rsidRPr="00CC4242">
        <w:t xml:space="preserve">không </w:t>
      </w:r>
      <w:r w:rsidRPr="00CC4242">
        <w:t xml:space="preserve">thuộc </w:t>
      </w:r>
      <w:r w:rsidR="000B532C" w:rsidRPr="00CC4242">
        <w:t xml:space="preserve">thẩm </w:t>
      </w:r>
      <w:r w:rsidRPr="00CC4242">
        <w:t xml:space="preserve">quyền </w:t>
      </w:r>
      <w:r w:rsidR="000B532C" w:rsidRPr="00CC4242">
        <w:t>của ĐHĐCĐ</w:t>
      </w:r>
      <w:r w:rsidRPr="00CC4242">
        <w:t>.</w:t>
      </w:r>
    </w:p>
    <w:p w:rsidR="00AA10D7" w:rsidRPr="00CC4242" w:rsidRDefault="00AA10D7" w:rsidP="00625A5A">
      <w:pPr>
        <w:numPr>
          <w:ilvl w:val="0"/>
          <w:numId w:val="10"/>
        </w:numPr>
        <w:spacing w:before="120" w:line="264" w:lineRule="auto"/>
        <w:ind w:left="426" w:hanging="142"/>
        <w:contextualSpacing/>
        <w:jc w:val="both"/>
      </w:pPr>
      <w:r w:rsidRPr="00CC4242">
        <w:t xml:space="preserve">Nội dung đề xuất không được vi phạm pháp luật, </w:t>
      </w:r>
      <w:r w:rsidR="000B532C" w:rsidRPr="00CC4242">
        <w:t>mang tính</w:t>
      </w:r>
      <w:r w:rsidRPr="00CC4242">
        <w:t xml:space="preserve"> cá nhân hoặc vượt quá quyền hạn của </w:t>
      </w:r>
      <w:r w:rsidR="000B532C" w:rsidRPr="00CC4242">
        <w:t>ĐHĐCĐ</w:t>
      </w:r>
      <w:r w:rsidRPr="00CC4242">
        <w:t>.</w:t>
      </w:r>
    </w:p>
    <w:p w:rsidR="00AA10D7" w:rsidRPr="00CC4242" w:rsidRDefault="00AA10D7" w:rsidP="00625A5A">
      <w:pPr>
        <w:spacing w:before="120" w:line="264" w:lineRule="auto"/>
        <w:jc w:val="both"/>
        <w:rPr>
          <w:lang w:val="nl-NL"/>
        </w:rPr>
      </w:pPr>
      <w:r w:rsidRPr="00CC4242">
        <w:rPr>
          <w:b/>
          <w:lang w:val="nl-NL"/>
        </w:rPr>
        <w:t xml:space="preserve">Điều </w:t>
      </w:r>
      <w:r w:rsidR="00CD61B8" w:rsidRPr="00CC4242">
        <w:rPr>
          <w:b/>
          <w:lang w:val="nl-NL"/>
        </w:rPr>
        <w:t>9</w:t>
      </w:r>
      <w:r w:rsidRPr="00CC4242">
        <w:rPr>
          <w:lang w:val="nl-NL"/>
        </w:rPr>
        <w:t xml:space="preserve">. Biên bản cuộc họp </w:t>
      </w:r>
      <w:r w:rsidR="00001CA4" w:rsidRPr="00CC4242">
        <w:rPr>
          <w:lang w:val="nl-NL"/>
        </w:rPr>
        <w:t>ĐHĐCĐ</w:t>
      </w:r>
    </w:p>
    <w:p w:rsidR="00AA10D7" w:rsidRPr="00CC4242" w:rsidRDefault="00AA10D7" w:rsidP="00625A5A">
      <w:pPr>
        <w:spacing w:before="120" w:line="264" w:lineRule="auto"/>
        <w:jc w:val="both"/>
      </w:pPr>
      <w:r w:rsidRPr="00CC4242">
        <w:t xml:space="preserve">Các nội dung </w:t>
      </w:r>
      <w:r w:rsidR="002873CB" w:rsidRPr="00CC4242">
        <w:t xml:space="preserve">chủ yếu </w:t>
      </w:r>
      <w:r w:rsidRPr="00CC4242">
        <w:t xml:space="preserve">tại cuộc họp </w:t>
      </w:r>
      <w:r w:rsidR="000B532C" w:rsidRPr="00CC4242">
        <w:t>ĐHĐCĐ</w:t>
      </w:r>
      <w:r w:rsidRPr="00CC4242">
        <w:t xml:space="preserve"> phải được Thư ký </w:t>
      </w:r>
      <w:r w:rsidR="00001CA4" w:rsidRPr="00CC4242">
        <w:t>ĐHĐCĐ</w:t>
      </w:r>
      <w:r w:rsidRPr="00CC4242">
        <w:t xml:space="preserve"> ghi vào biên bản của </w:t>
      </w:r>
      <w:r w:rsidR="00001CA4" w:rsidRPr="00CC4242">
        <w:t>ĐHĐCĐ</w:t>
      </w:r>
      <w:r w:rsidRPr="00CC4242">
        <w:t xml:space="preserve">. Biên bản được đọc </w:t>
      </w:r>
      <w:r w:rsidR="00050654" w:rsidRPr="00CC4242">
        <w:t xml:space="preserve">để ĐHĐCĐ </w:t>
      </w:r>
      <w:r w:rsidRPr="00CC4242">
        <w:t>thông qua trước khi bế mạc cuộc họp và được lưu giữ tại Công ty.</w:t>
      </w:r>
    </w:p>
    <w:p w:rsidR="00AA10D7" w:rsidRPr="00CC4242" w:rsidRDefault="00AA10D7" w:rsidP="00625A5A">
      <w:pPr>
        <w:autoSpaceDE w:val="0"/>
        <w:autoSpaceDN w:val="0"/>
        <w:adjustRightInd w:val="0"/>
        <w:spacing w:before="120" w:line="264" w:lineRule="auto"/>
        <w:jc w:val="both"/>
      </w:pPr>
      <w:r w:rsidRPr="00CC4242">
        <w:t xml:space="preserve">Quy chế tổ chức </w:t>
      </w:r>
      <w:r w:rsidR="00001CA4" w:rsidRPr="00CC4242">
        <w:t>ĐHĐCĐ</w:t>
      </w:r>
      <w:r w:rsidRPr="00CC4242">
        <w:t xml:space="preserve"> </w:t>
      </w:r>
      <w:r w:rsidR="00625A5A" w:rsidRPr="00CC4242">
        <w:t xml:space="preserve">năm </w:t>
      </w:r>
      <w:r w:rsidR="009A5258" w:rsidRPr="00CC4242">
        <w:t>2019</w:t>
      </w:r>
      <w:r w:rsidRPr="00CC4242">
        <w:t xml:space="preserve"> của Công ty CP </w:t>
      </w:r>
      <w:r w:rsidR="000B532C" w:rsidRPr="00CC4242">
        <w:t>Chứng khoán VNDIRECT</w:t>
      </w:r>
      <w:r w:rsidRPr="00CC4242">
        <w:t xml:space="preserve"> </w:t>
      </w:r>
      <w:r w:rsidR="00625A5A" w:rsidRPr="00CC4242">
        <w:t xml:space="preserve">sau </w:t>
      </w:r>
      <w:r w:rsidRPr="00CC4242">
        <w:t xml:space="preserve">khi được </w:t>
      </w:r>
      <w:r w:rsidR="000B532C" w:rsidRPr="00CC4242">
        <w:t>ĐHĐCĐ</w:t>
      </w:r>
      <w:r w:rsidRPr="00CC4242">
        <w:t xml:space="preserve"> </w:t>
      </w:r>
      <w:r w:rsidR="00EB53C8" w:rsidRPr="00CC4242">
        <w:t xml:space="preserve">phê chuẩn thông qua thì sẽ có giá trị áp dụng đối với tất cả các hoạt động liên quan đến việc tổ chức họp ĐHĐCĐ năm </w:t>
      </w:r>
      <w:r w:rsidR="009A5258" w:rsidRPr="00CC4242">
        <w:t>2019</w:t>
      </w:r>
      <w:r w:rsidR="00EB53C8" w:rsidRPr="00CC4242">
        <w:t xml:space="preserve">, </w:t>
      </w:r>
      <w:r w:rsidR="00AE6351" w:rsidRPr="00CC4242">
        <w:t>gồm cả</w:t>
      </w:r>
      <w:r w:rsidR="00EB53C8" w:rsidRPr="00CC4242">
        <w:t xml:space="preserve"> các hoạt động đã thực hiện trước khi </w:t>
      </w:r>
      <w:r w:rsidR="00E7760B" w:rsidRPr="00CC4242">
        <w:t xml:space="preserve">ĐHĐCĐ </w:t>
      </w:r>
      <w:r w:rsidR="00EB53C8" w:rsidRPr="00CC4242">
        <w:t>thông qua Quy chế này</w:t>
      </w:r>
      <w:r w:rsidRPr="00CC4242">
        <w:t>.</w:t>
      </w:r>
    </w:p>
    <w:tbl>
      <w:tblPr>
        <w:tblW w:w="0" w:type="auto"/>
        <w:jc w:val="center"/>
        <w:tblLook w:val="01E0"/>
      </w:tblPr>
      <w:tblGrid>
        <w:gridCol w:w="2000"/>
        <w:gridCol w:w="3393"/>
        <w:gridCol w:w="4008"/>
      </w:tblGrid>
      <w:tr w:rsidR="00050654" w:rsidRPr="00CC4242" w:rsidTr="00050654">
        <w:trPr>
          <w:trHeight w:val="2036"/>
          <w:jc w:val="center"/>
        </w:trPr>
        <w:tc>
          <w:tcPr>
            <w:tcW w:w="2000" w:type="dxa"/>
          </w:tcPr>
          <w:p w:rsidR="00050654" w:rsidRPr="00CC4242" w:rsidRDefault="00050654" w:rsidP="00625A5A">
            <w:pPr>
              <w:autoSpaceDE w:val="0"/>
              <w:autoSpaceDN w:val="0"/>
              <w:adjustRightInd w:val="0"/>
              <w:spacing w:before="120" w:line="264" w:lineRule="auto"/>
              <w:jc w:val="both"/>
              <w:rPr>
                <w:color w:val="000000"/>
              </w:rPr>
            </w:pPr>
          </w:p>
        </w:tc>
        <w:tc>
          <w:tcPr>
            <w:tcW w:w="3393" w:type="dxa"/>
          </w:tcPr>
          <w:p w:rsidR="00050654" w:rsidRPr="00CC4242" w:rsidRDefault="00050654" w:rsidP="00FD1B7C">
            <w:pPr>
              <w:autoSpaceDE w:val="0"/>
              <w:autoSpaceDN w:val="0"/>
              <w:adjustRightInd w:val="0"/>
              <w:spacing w:line="264" w:lineRule="auto"/>
              <w:jc w:val="center"/>
              <w:rPr>
                <w:color w:val="000000"/>
              </w:rPr>
            </w:pPr>
          </w:p>
        </w:tc>
        <w:tc>
          <w:tcPr>
            <w:tcW w:w="4008" w:type="dxa"/>
          </w:tcPr>
          <w:p w:rsidR="00050654" w:rsidRPr="00CC4242" w:rsidRDefault="00050654" w:rsidP="00FD1B7C">
            <w:pPr>
              <w:autoSpaceDE w:val="0"/>
              <w:autoSpaceDN w:val="0"/>
              <w:adjustRightInd w:val="0"/>
              <w:spacing w:line="264" w:lineRule="auto"/>
              <w:jc w:val="center"/>
              <w:rPr>
                <w:color w:val="000000"/>
              </w:rPr>
            </w:pPr>
            <w:r w:rsidRPr="00CC4242">
              <w:rPr>
                <w:color w:val="000000"/>
              </w:rPr>
              <w:t>TM. BAN TỔ CHỨC ĐHĐCĐ</w:t>
            </w:r>
          </w:p>
          <w:p w:rsidR="00050654" w:rsidRPr="00CC4242" w:rsidRDefault="00050654" w:rsidP="00FD1B7C">
            <w:pPr>
              <w:autoSpaceDE w:val="0"/>
              <w:autoSpaceDN w:val="0"/>
              <w:adjustRightInd w:val="0"/>
              <w:spacing w:line="264" w:lineRule="auto"/>
              <w:jc w:val="center"/>
              <w:rPr>
                <w:color w:val="000000"/>
              </w:rPr>
            </w:pPr>
            <w:r w:rsidRPr="00CC4242">
              <w:rPr>
                <w:color w:val="000000"/>
              </w:rPr>
              <w:t>CHỦ TỊCH HĐQT</w:t>
            </w:r>
          </w:p>
          <w:p w:rsidR="00050654" w:rsidRPr="00CC4242" w:rsidRDefault="00050654" w:rsidP="00FD1B7C">
            <w:pPr>
              <w:autoSpaceDE w:val="0"/>
              <w:autoSpaceDN w:val="0"/>
              <w:adjustRightInd w:val="0"/>
              <w:spacing w:line="264" w:lineRule="auto"/>
              <w:jc w:val="center"/>
              <w:rPr>
                <w:noProof/>
              </w:rPr>
            </w:pPr>
          </w:p>
          <w:p w:rsidR="00142989" w:rsidRPr="00CC4242" w:rsidRDefault="00280BC0" w:rsidP="00FD1B7C">
            <w:pPr>
              <w:autoSpaceDE w:val="0"/>
              <w:autoSpaceDN w:val="0"/>
              <w:adjustRightInd w:val="0"/>
              <w:spacing w:line="264" w:lineRule="auto"/>
              <w:jc w:val="center"/>
              <w:rPr>
                <w:i/>
                <w:color w:val="000000"/>
              </w:rPr>
            </w:pPr>
            <w:r w:rsidRPr="00CC4242">
              <w:rPr>
                <w:i/>
                <w:color w:val="000000"/>
              </w:rPr>
              <w:t>(Đã ký)</w:t>
            </w:r>
          </w:p>
          <w:p w:rsidR="00CA6CEE" w:rsidRPr="00CC4242" w:rsidRDefault="00CA6CEE" w:rsidP="00FD1B7C">
            <w:pPr>
              <w:autoSpaceDE w:val="0"/>
              <w:autoSpaceDN w:val="0"/>
              <w:adjustRightInd w:val="0"/>
              <w:spacing w:line="264" w:lineRule="auto"/>
              <w:jc w:val="center"/>
              <w:rPr>
                <w:color w:val="000000"/>
              </w:rPr>
            </w:pPr>
          </w:p>
          <w:p w:rsidR="00050654" w:rsidRPr="00CC4242" w:rsidRDefault="00050654" w:rsidP="00FD1B7C">
            <w:pPr>
              <w:autoSpaceDE w:val="0"/>
              <w:autoSpaceDN w:val="0"/>
              <w:adjustRightInd w:val="0"/>
              <w:spacing w:line="264" w:lineRule="auto"/>
              <w:jc w:val="center"/>
              <w:rPr>
                <w:color w:val="000000"/>
              </w:rPr>
            </w:pPr>
            <w:r w:rsidRPr="00CC4242">
              <w:rPr>
                <w:color w:val="000000"/>
              </w:rPr>
              <w:t>PHẠM MINH HƯƠNG</w:t>
            </w:r>
          </w:p>
        </w:tc>
      </w:tr>
    </w:tbl>
    <w:p w:rsidR="000C4BF7" w:rsidRPr="00CC4242" w:rsidRDefault="000C4BF7" w:rsidP="00625A5A">
      <w:pPr>
        <w:spacing w:before="120" w:line="264" w:lineRule="auto"/>
      </w:pPr>
    </w:p>
    <w:p w:rsidR="000C4BF7" w:rsidRPr="00CC4242" w:rsidRDefault="000C4BF7" w:rsidP="000C4BF7">
      <w:pPr>
        <w:rPr>
          <w:i/>
          <w:sz w:val="22"/>
          <w:szCs w:val="22"/>
        </w:rPr>
      </w:pPr>
    </w:p>
    <w:p w:rsidR="000C4BF7" w:rsidRPr="00CC4242" w:rsidRDefault="000C4BF7" w:rsidP="000C4BF7">
      <w:pPr>
        <w:rPr>
          <w:i/>
          <w:sz w:val="22"/>
          <w:szCs w:val="22"/>
        </w:rPr>
      </w:pPr>
    </w:p>
    <w:p w:rsidR="00C1264D" w:rsidRPr="00CC4242" w:rsidRDefault="00C1264D" w:rsidP="000C4BF7">
      <w:pPr>
        <w:rPr>
          <w:i/>
          <w:sz w:val="22"/>
          <w:szCs w:val="22"/>
        </w:rPr>
      </w:pPr>
    </w:p>
    <w:p w:rsidR="00C1264D" w:rsidRPr="00CC4242" w:rsidRDefault="00C1264D" w:rsidP="000C4BF7">
      <w:pPr>
        <w:rPr>
          <w:i/>
          <w:sz w:val="22"/>
          <w:szCs w:val="22"/>
        </w:rPr>
      </w:pPr>
    </w:p>
    <w:p w:rsidR="00866A49" w:rsidRPr="00CC4242" w:rsidRDefault="00866A49" w:rsidP="000C4BF7">
      <w:pPr>
        <w:rPr>
          <w:i/>
          <w:sz w:val="22"/>
          <w:szCs w:val="22"/>
        </w:rPr>
      </w:pPr>
    </w:p>
    <w:p w:rsidR="00866A49" w:rsidRPr="00CC4242" w:rsidRDefault="00866A49" w:rsidP="000C4BF7">
      <w:pPr>
        <w:rPr>
          <w:i/>
          <w:sz w:val="22"/>
          <w:szCs w:val="22"/>
        </w:rPr>
      </w:pPr>
    </w:p>
    <w:p w:rsidR="00956DE3" w:rsidRDefault="000C4BF7" w:rsidP="000C4BF7">
      <w:r w:rsidRPr="00CC4242">
        <w:rPr>
          <w:i/>
          <w:sz w:val="22"/>
          <w:szCs w:val="22"/>
        </w:rPr>
        <w:t>Ghi chú: Tài liệu này có thể được sửa đổi/bổ sung và trình ĐHĐCĐ xem xét quyết định tại Đại hội</w:t>
      </w:r>
      <w:r w:rsidR="005E2317" w:rsidRPr="00CC4242">
        <w:rPr>
          <w:noProof/>
        </w:rPr>
        <w:pict>
          <v:shapetype id="_x0000_t202" coordsize="21600,21600" o:spt="202" path="m,l,21600r21600,l21600,xe">
            <v:stroke joinstyle="miter"/>
            <v:path gradientshapeok="t" o:connecttype="rect"/>
          </v:shapetype>
          <v:shape id="Text Box 10" o:spid="_x0000_s1026" type="#_x0000_t202" style="position:absolute;margin-left:73.7pt;margin-top:763.95pt;width:507.4pt;height:32.2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" strokeweight=".5pt">
            <v:stroke dashstyle="1 1" endcap="round"/>
            <v:textbox style="mso-fit-shape-to-text:t">
              <w:txbxContent>
                <w:p w:rsidR="008677E0" w:rsidRPr="00EA63E1" w:rsidRDefault="008677E0" w:rsidP="000C4BF7">
                  <w:pPr>
                    <w:rPr>
                      <w:i/>
                      <w:sz w:val="22"/>
                      <w:szCs w:val="22"/>
                    </w:rPr>
                  </w:pPr>
                  <w:r w:rsidRPr="00EA63E1">
                    <w:rPr>
                      <w:i/>
                      <w:sz w:val="22"/>
                      <w:szCs w:val="22"/>
                    </w:rPr>
                    <w:t>Ghi chú: Tài liệu này có thể được sửa đổi/bổ sung và trình ĐHĐCĐ xem xét quyết định tại Đại hội</w:t>
                  </w:r>
                </w:p>
              </w:txbxContent>
            </v:textbox>
          </v:shape>
        </w:pict>
      </w:r>
      <w:r w:rsidRPr="00CC4242">
        <w:rPr>
          <w:i/>
          <w:sz w:val="22"/>
          <w:szCs w:val="22"/>
        </w:rPr>
        <w:t>.</w:t>
      </w:r>
    </w:p>
    <w:sectPr w:rsidR="00956DE3" w:rsidSect="002A0850">
      <w:footerReference w:type="default" r:id="rId8"/>
      <w:pgSz w:w="11907" w:h="16840" w:code="9"/>
      <w:pgMar w:top="1134" w:right="1134" w:bottom="1134" w:left="158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77E0" w:rsidRDefault="008677E0" w:rsidP="00DC450A">
      <w:r>
        <w:separator/>
      </w:r>
    </w:p>
  </w:endnote>
  <w:endnote w:type="continuationSeparator" w:id="0">
    <w:p w:rsidR="008677E0" w:rsidRDefault="008677E0" w:rsidP="00DC45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568996"/>
      <w:docPartObj>
        <w:docPartGallery w:val="Page Numbers (Bottom of Page)"/>
        <w:docPartUnique/>
      </w:docPartObj>
    </w:sdtPr>
    <w:sdtEndPr>
      <w:rPr>
        <w:noProof/>
      </w:rPr>
    </w:sdtEndPr>
    <w:sdtContent>
      <w:p w:rsidR="008677E0" w:rsidRDefault="005E2317">
        <w:pPr>
          <w:pStyle w:val="Footer"/>
          <w:jc w:val="right"/>
        </w:pPr>
        <w:r>
          <w:fldChar w:fldCharType="begin"/>
        </w:r>
        <w:r w:rsidR="00866A49">
          <w:instrText xml:space="preserve"> PAGE   \* MERGEFORMAT </w:instrText>
        </w:r>
        <w:r>
          <w:fldChar w:fldCharType="separate"/>
        </w:r>
        <w:r w:rsidR="00CC4242">
          <w:rPr>
            <w:noProof/>
          </w:rPr>
          <w:t>4</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77E0" w:rsidRDefault="008677E0" w:rsidP="00DC450A">
      <w:r>
        <w:separator/>
      </w:r>
    </w:p>
  </w:footnote>
  <w:footnote w:type="continuationSeparator" w:id="0">
    <w:p w:rsidR="008677E0" w:rsidRDefault="008677E0" w:rsidP="00DC45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C5667"/>
    <w:multiLevelType w:val="hybridMultilevel"/>
    <w:tmpl w:val="F4A64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92008"/>
    <w:multiLevelType w:val="hybridMultilevel"/>
    <w:tmpl w:val="F71EE840"/>
    <w:lvl w:ilvl="0" w:tplc="0409000F">
      <w:start w:val="1"/>
      <w:numFmt w:val="decimal"/>
      <w:lvlText w:val="%1."/>
      <w:lvlJc w:val="left"/>
      <w:pPr>
        <w:ind w:left="1309" w:hanging="360"/>
      </w:pPr>
    </w:lvl>
    <w:lvl w:ilvl="1" w:tplc="04090019" w:tentative="1">
      <w:start w:val="1"/>
      <w:numFmt w:val="lowerLetter"/>
      <w:lvlText w:val="%2."/>
      <w:lvlJc w:val="left"/>
      <w:pPr>
        <w:ind w:left="2029" w:hanging="360"/>
      </w:pPr>
    </w:lvl>
    <w:lvl w:ilvl="2" w:tplc="0409001B" w:tentative="1">
      <w:start w:val="1"/>
      <w:numFmt w:val="lowerRoman"/>
      <w:lvlText w:val="%3."/>
      <w:lvlJc w:val="right"/>
      <w:pPr>
        <w:ind w:left="2749" w:hanging="180"/>
      </w:pPr>
    </w:lvl>
    <w:lvl w:ilvl="3" w:tplc="0409000F" w:tentative="1">
      <w:start w:val="1"/>
      <w:numFmt w:val="decimal"/>
      <w:lvlText w:val="%4."/>
      <w:lvlJc w:val="left"/>
      <w:pPr>
        <w:ind w:left="3469" w:hanging="360"/>
      </w:pPr>
    </w:lvl>
    <w:lvl w:ilvl="4" w:tplc="04090019" w:tentative="1">
      <w:start w:val="1"/>
      <w:numFmt w:val="lowerLetter"/>
      <w:lvlText w:val="%5."/>
      <w:lvlJc w:val="left"/>
      <w:pPr>
        <w:ind w:left="4189" w:hanging="360"/>
      </w:pPr>
    </w:lvl>
    <w:lvl w:ilvl="5" w:tplc="0409001B" w:tentative="1">
      <w:start w:val="1"/>
      <w:numFmt w:val="lowerRoman"/>
      <w:lvlText w:val="%6."/>
      <w:lvlJc w:val="right"/>
      <w:pPr>
        <w:ind w:left="4909" w:hanging="180"/>
      </w:pPr>
    </w:lvl>
    <w:lvl w:ilvl="6" w:tplc="0409000F" w:tentative="1">
      <w:start w:val="1"/>
      <w:numFmt w:val="decimal"/>
      <w:lvlText w:val="%7."/>
      <w:lvlJc w:val="left"/>
      <w:pPr>
        <w:ind w:left="5629" w:hanging="360"/>
      </w:pPr>
    </w:lvl>
    <w:lvl w:ilvl="7" w:tplc="04090019" w:tentative="1">
      <w:start w:val="1"/>
      <w:numFmt w:val="lowerLetter"/>
      <w:lvlText w:val="%8."/>
      <w:lvlJc w:val="left"/>
      <w:pPr>
        <w:ind w:left="6349" w:hanging="360"/>
      </w:pPr>
    </w:lvl>
    <w:lvl w:ilvl="8" w:tplc="0409001B" w:tentative="1">
      <w:start w:val="1"/>
      <w:numFmt w:val="lowerRoman"/>
      <w:lvlText w:val="%9."/>
      <w:lvlJc w:val="right"/>
      <w:pPr>
        <w:ind w:left="7069" w:hanging="180"/>
      </w:pPr>
    </w:lvl>
  </w:abstractNum>
  <w:abstractNum w:abstractNumId="2">
    <w:nsid w:val="0C1418DC"/>
    <w:multiLevelType w:val="hybridMultilevel"/>
    <w:tmpl w:val="A8925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3E95315"/>
    <w:multiLevelType w:val="multilevel"/>
    <w:tmpl w:val="44C8291E"/>
    <w:lvl w:ilvl="0">
      <w:start w:val="1"/>
      <w:numFmt w:val="bullet"/>
      <w:lvlText w:val="-"/>
      <w:lvlJc w:val="left"/>
      <w:pPr>
        <w:ind w:left="-261" w:hanging="360"/>
      </w:pPr>
      <w:rPr>
        <w:rFonts w:ascii="Times New Roman" w:eastAsia="Times New Roman" w:hAnsi="Times New Roman" w:cs="Times New Roman" w:hint="default"/>
      </w:rPr>
    </w:lvl>
    <w:lvl w:ilvl="1">
      <w:start w:val="1"/>
      <w:numFmt w:val="bullet"/>
      <w:lvlText w:val=""/>
      <w:lvlJc w:val="left"/>
      <w:pPr>
        <w:ind w:left="171" w:hanging="432"/>
      </w:pPr>
      <w:rPr>
        <w:rFonts w:ascii="Symbol" w:hAnsi="Symbol" w:hint="default"/>
        <w:b/>
        <w:i w:val="0"/>
      </w:rPr>
    </w:lvl>
    <w:lvl w:ilvl="2">
      <w:start w:val="1"/>
      <w:numFmt w:val="decimal"/>
      <w:lvlText w:val="%1.%2.%3."/>
      <w:lvlJc w:val="left"/>
      <w:pPr>
        <w:ind w:left="603" w:hanging="504"/>
      </w:pPr>
      <w:rPr>
        <w:rFonts w:hint="default"/>
      </w:rPr>
    </w:lvl>
    <w:lvl w:ilvl="3">
      <w:start w:val="1"/>
      <w:numFmt w:val="decimal"/>
      <w:lvlText w:val="%1.%2.%3.%4."/>
      <w:lvlJc w:val="left"/>
      <w:pPr>
        <w:ind w:left="1107" w:hanging="648"/>
      </w:pPr>
      <w:rPr>
        <w:rFonts w:hint="default"/>
      </w:rPr>
    </w:lvl>
    <w:lvl w:ilvl="4">
      <w:start w:val="1"/>
      <w:numFmt w:val="decimal"/>
      <w:lvlText w:val="%1.%2.%3.%4.%5."/>
      <w:lvlJc w:val="left"/>
      <w:pPr>
        <w:ind w:left="1611" w:hanging="792"/>
      </w:pPr>
      <w:rPr>
        <w:rFonts w:hint="default"/>
      </w:rPr>
    </w:lvl>
    <w:lvl w:ilvl="5">
      <w:start w:val="1"/>
      <w:numFmt w:val="decimal"/>
      <w:lvlText w:val="%1.%2.%3.%4.%5.%6."/>
      <w:lvlJc w:val="left"/>
      <w:pPr>
        <w:ind w:left="2115" w:hanging="936"/>
      </w:pPr>
      <w:rPr>
        <w:rFonts w:hint="default"/>
      </w:rPr>
    </w:lvl>
    <w:lvl w:ilvl="6">
      <w:start w:val="1"/>
      <w:numFmt w:val="decimal"/>
      <w:lvlText w:val="%1.%2.%3.%4.%5.%6.%7."/>
      <w:lvlJc w:val="left"/>
      <w:pPr>
        <w:ind w:left="2619" w:hanging="1080"/>
      </w:pPr>
      <w:rPr>
        <w:rFonts w:hint="default"/>
      </w:rPr>
    </w:lvl>
    <w:lvl w:ilvl="7">
      <w:start w:val="1"/>
      <w:numFmt w:val="decimal"/>
      <w:lvlText w:val="%1.%2.%3.%4.%5.%6.%7.%8."/>
      <w:lvlJc w:val="left"/>
      <w:pPr>
        <w:ind w:left="3123" w:hanging="1224"/>
      </w:pPr>
      <w:rPr>
        <w:rFonts w:hint="default"/>
      </w:rPr>
    </w:lvl>
    <w:lvl w:ilvl="8">
      <w:start w:val="1"/>
      <w:numFmt w:val="decimal"/>
      <w:lvlText w:val="%1.%2.%3.%4.%5.%6.%7.%8.%9."/>
      <w:lvlJc w:val="left"/>
      <w:pPr>
        <w:ind w:left="3699" w:hanging="1440"/>
      </w:pPr>
      <w:rPr>
        <w:rFonts w:hint="default"/>
      </w:rPr>
    </w:lvl>
  </w:abstractNum>
  <w:abstractNum w:abstractNumId="4">
    <w:nsid w:val="35E8342B"/>
    <w:multiLevelType w:val="hybridMultilevel"/>
    <w:tmpl w:val="A8925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16917B3"/>
    <w:multiLevelType w:val="multilevel"/>
    <w:tmpl w:val="BF8878C0"/>
    <w:lvl w:ilvl="0">
      <w:start w:val="1"/>
      <w:numFmt w:val="decimal"/>
      <w:lvlText w:val="%1."/>
      <w:lvlJc w:val="left"/>
      <w:pPr>
        <w:ind w:left="-261" w:hanging="360"/>
      </w:pPr>
      <w:rPr>
        <w:rFonts w:hint="default"/>
      </w:rPr>
    </w:lvl>
    <w:lvl w:ilvl="1">
      <w:start w:val="1"/>
      <w:numFmt w:val="bullet"/>
      <w:lvlText w:val=""/>
      <w:lvlJc w:val="left"/>
      <w:pPr>
        <w:ind w:left="171" w:hanging="432"/>
      </w:pPr>
      <w:rPr>
        <w:rFonts w:ascii="Symbol" w:hAnsi="Symbol" w:hint="default"/>
        <w:b/>
        <w:i w:val="0"/>
      </w:rPr>
    </w:lvl>
    <w:lvl w:ilvl="2">
      <w:start w:val="1"/>
      <w:numFmt w:val="decimal"/>
      <w:lvlText w:val="%1.%2.%3."/>
      <w:lvlJc w:val="left"/>
      <w:pPr>
        <w:ind w:left="603" w:hanging="504"/>
      </w:pPr>
      <w:rPr>
        <w:rFonts w:hint="default"/>
      </w:rPr>
    </w:lvl>
    <w:lvl w:ilvl="3">
      <w:start w:val="1"/>
      <w:numFmt w:val="decimal"/>
      <w:lvlText w:val="%1.%2.%3.%4."/>
      <w:lvlJc w:val="left"/>
      <w:pPr>
        <w:ind w:left="1107" w:hanging="648"/>
      </w:pPr>
      <w:rPr>
        <w:rFonts w:hint="default"/>
      </w:rPr>
    </w:lvl>
    <w:lvl w:ilvl="4">
      <w:start w:val="1"/>
      <w:numFmt w:val="decimal"/>
      <w:lvlText w:val="%1.%2.%3.%4.%5."/>
      <w:lvlJc w:val="left"/>
      <w:pPr>
        <w:ind w:left="1611" w:hanging="792"/>
      </w:pPr>
      <w:rPr>
        <w:rFonts w:hint="default"/>
      </w:rPr>
    </w:lvl>
    <w:lvl w:ilvl="5">
      <w:start w:val="1"/>
      <w:numFmt w:val="decimal"/>
      <w:lvlText w:val="%1.%2.%3.%4.%5.%6."/>
      <w:lvlJc w:val="left"/>
      <w:pPr>
        <w:ind w:left="2115" w:hanging="936"/>
      </w:pPr>
      <w:rPr>
        <w:rFonts w:hint="default"/>
      </w:rPr>
    </w:lvl>
    <w:lvl w:ilvl="6">
      <w:start w:val="1"/>
      <w:numFmt w:val="decimal"/>
      <w:lvlText w:val="%1.%2.%3.%4.%5.%6.%7."/>
      <w:lvlJc w:val="left"/>
      <w:pPr>
        <w:ind w:left="2619" w:hanging="1080"/>
      </w:pPr>
      <w:rPr>
        <w:rFonts w:hint="default"/>
      </w:rPr>
    </w:lvl>
    <w:lvl w:ilvl="7">
      <w:start w:val="1"/>
      <w:numFmt w:val="decimal"/>
      <w:lvlText w:val="%1.%2.%3.%4.%5.%6.%7.%8."/>
      <w:lvlJc w:val="left"/>
      <w:pPr>
        <w:ind w:left="3123" w:hanging="1224"/>
      </w:pPr>
      <w:rPr>
        <w:rFonts w:hint="default"/>
      </w:rPr>
    </w:lvl>
    <w:lvl w:ilvl="8">
      <w:start w:val="1"/>
      <w:numFmt w:val="decimal"/>
      <w:lvlText w:val="%1.%2.%3.%4.%5.%6.%7.%8.%9."/>
      <w:lvlJc w:val="left"/>
      <w:pPr>
        <w:ind w:left="3699" w:hanging="1440"/>
      </w:pPr>
      <w:rPr>
        <w:rFonts w:hint="default"/>
      </w:rPr>
    </w:lvl>
  </w:abstractNum>
  <w:abstractNum w:abstractNumId="6">
    <w:nsid w:val="42AD38D9"/>
    <w:multiLevelType w:val="hybridMultilevel"/>
    <w:tmpl w:val="3CC852CC"/>
    <w:lvl w:ilvl="0" w:tplc="0409000F">
      <w:start w:val="1"/>
      <w:numFmt w:val="decimal"/>
      <w:lvlText w:val="%1."/>
      <w:lvlJc w:val="left"/>
      <w:pPr>
        <w:ind w:left="360" w:hanging="360"/>
      </w:pPr>
    </w:lvl>
    <w:lvl w:ilvl="1" w:tplc="F4307848">
      <w:start w:val="5"/>
      <w:numFmt w:val="bullet"/>
      <w:lvlText w:val="-"/>
      <w:lvlJc w:val="left"/>
      <w:pPr>
        <w:ind w:left="1080" w:hanging="360"/>
      </w:pPr>
      <w:rPr>
        <w:rFonts w:ascii="Times New Roman" w:eastAsia="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6CD11D3"/>
    <w:multiLevelType w:val="hybridMultilevel"/>
    <w:tmpl w:val="A8925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72552BD"/>
    <w:multiLevelType w:val="multilevel"/>
    <w:tmpl w:val="D21C2C7C"/>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b/>
        <w:i w:val="0"/>
      </w:rPr>
    </w:lvl>
    <w:lvl w:ilvl="2">
      <w:start w:val="1"/>
      <w:numFmt w:val="bullet"/>
      <w:lvlText w:val="-"/>
      <w:lvlJc w:val="left"/>
      <w:pPr>
        <w:tabs>
          <w:tab w:val="num" w:pos="1080"/>
        </w:tabs>
        <w:ind w:left="1080" w:hanging="360"/>
      </w:pPr>
      <w:rPr>
        <w:rFonts w:ascii="Times New Roman" w:hAnsi="Times New Roman" w:cs="Times New Roman" w:hint="default"/>
      </w:rPr>
    </w:lvl>
    <w:lvl w:ilvl="3">
      <w:numFmt w:val="bullet"/>
      <w:lvlText w:val="+"/>
      <w:lvlJc w:val="left"/>
      <w:pPr>
        <w:tabs>
          <w:tab w:val="num" w:pos="1440"/>
        </w:tabs>
        <w:ind w:left="1440" w:hanging="360"/>
      </w:pPr>
      <w:rPr>
        <w:rFonts w:ascii="Times New Roman" w:eastAsia="Times New Roman"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B76682A"/>
    <w:multiLevelType w:val="hybridMultilevel"/>
    <w:tmpl w:val="A8925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7ED14DE"/>
    <w:multiLevelType w:val="hybridMultilevel"/>
    <w:tmpl w:val="A8925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F4F4213"/>
    <w:multiLevelType w:val="hybridMultilevel"/>
    <w:tmpl w:val="3CC852CC"/>
    <w:lvl w:ilvl="0" w:tplc="0409000F">
      <w:start w:val="1"/>
      <w:numFmt w:val="decimal"/>
      <w:lvlText w:val="%1."/>
      <w:lvlJc w:val="left"/>
      <w:pPr>
        <w:ind w:left="360" w:hanging="360"/>
      </w:pPr>
    </w:lvl>
    <w:lvl w:ilvl="1" w:tplc="F4307848">
      <w:start w:val="5"/>
      <w:numFmt w:val="bullet"/>
      <w:lvlText w:val="-"/>
      <w:lvlJc w:val="left"/>
      <w:pPr>
        <w:ind w:left="1080" w:hanging="360"/>
      </w:pPr>
      <w:rPr>
        <w:rFonts w:ascii="Times New Roman" w:eastAsia="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4"/>
  </w:num>
  <w:num w:numId="3">
    <w:abstractNumId w:val="2"/>
  </w:num>
  <w:num w:numId="4">
    <w:abstractNumId w:val="7"/>
  </w:num>
  <w:num w:numId="5">
    <w:abstractNumId w:val="10"/>
  </w:num>
  <w:num w:numId="6">
    <w:abstractNumId w:val="6"/>
  </w:num>
  <w:num w:numId="7">
    <w:abstractNumId w:val="11"/>
  </w:num>
  <w:num w:numId="8">
    <w:abstractNumId w:val="8"/>
  </w:num>
  <w:num w:numId="9">
    <w:abstractNumId w:val="5"/>
  </w:num>
  <w:num w:numId="10">
    <w:abstractNumId w:val="3"/>
  </w:num>
  <w:num w:numId="11">
    <w:abstractNumId w:val="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1"/>
    <w:footnote w:id="0"/>
  </w:footnotePr>
  <w:endnotePr>
    <w:endnote w:id="-1"/>
    <w:endnote w:id="0"/>
  </w:endnotePr>
  <w:compat/>
  <w:rsids>
    <w:rsidRoot w:val="00AA10D7"/>
    <w:rsid w:val="00001C60"/>
    <w:rsid w:val="00001CA4"/>
    <w:rsid w:val="00042DE1"/>
    <w:rsid w:val="00050654"/>
    <w:rsid w:val="0006704D"/>
    <w:rsid w:val="000B532C"/>
    <w:rsid w:val="000C4BF7"/>
    <w:rsid w:val="000F38FC"/>
    <w:rsid w:val="0010434B"/>
    <w:rsid w:val="00117FDC"/>
    <w:rsid w:val="00120A08"/>
    <w:rsid w:val="001222BA"/>
    <w:rsid w:val="00142989"/>
    <w:rsid w:val="001B2331"/>
    <w:rsid w:val="002370F1"/>
    <w:rsid w:val="00254BCA"/>
    <w:rsid w:val="00257505"/>
    <w:rsid w:val="00280BC0"/>
    <w:rsid w:val="002873CB"/>
    <w:rsid w:val="002A0850"/>
    <w:rsid w:val="002C73EC"/>
    <w:rsid w:val="002D6293"/>
    <w:rsid w:val="00306004"/>
    <w:rsid w:val="003441C0"/>
    <w:rsid w:val="00351C73"/>
    <w:rsid w:val="00352D95"/>
    <w:rsid w:val="003666C4"/>
    <w:rsid w:val="0038381D"/>
    <w:rsid w:val="003B78B9"/>
    <w:rsid w:val="003D531B"/>
    <w:rsid w:val="004170B2"/>
    <w:rsid w:val="00417AC6"/>
    <w:rsid w:val="00494EFA"/>
    <w:rsid w:val="004D528A"/>
    <w:rsid w:val="005046DC"/>
    <w:rsid w:val="00543C69"/>
    <w:rsid w:val="005B38CF"/>
    <w:rsid w:val="005D1051"/>
    <w:rsid w:val="005E2317"/>
    <w:rsid w:val="005E68E0"/>
    <w:rsid w:val="00625A5A"/>
    <w:rsid w:val="006370C7"/>
    <w:rsid w:val="0064326C"/>
    <w:rsid w:val="00644ACC"/>
    <w:rsid w:val="006478AF"/>
    <w:rsid w:val="0066384E"/>
    <w:rsid w:val="006A27A5"/>
    <w:rsid w:val="00717F84"/>
    <w:rsid w:val="007454AB"/>
    <w:rsid w:val="007744F1"/>
    <w:rsid w:val="007D44FA"/>
    <w:rsid w:val="008308E1"/>
    <w:rsid w:val="00866A49"/>
    <w:rsid w:val="008677E0"/>
    <w:rsid w:val="008755C4"/>
    <w:rsid w:val="0090389B"/>
    <w:rsid w:val="00956DE3"/>
    <w:rsid w:val="00983757"/>
    <w:rsid w:val="009955F3"/>
    <w:rsid w:val="009957C6"/>
    <w:rsid w:val="009A5258"/>
    <w:rsid w:val="009B40F4"/>
    <w:rsid w:val="009B5D9E"/>
    <w:rsid w:val="00A00FAB"/>
    <w:rsid w:val="00AA10D7"/>
    <w:rsid w:val="00AE6351"/>
    <w:rsid w:val="00B4246D"/>
    <w:rsid w:val="00B67B6B"/>
    <w:rsid w:val="00B90003"/>
    <w:rsid w:val="00BA403D"/>
    <w:rsid w:val="00BC2595"/>
    <w:rsid w:val="00BC6C5E"/>
    <w:rsid w:val="00BD273D"/>
    <w:rsid w:val="00BD54FA"/>
    <w:rsid w:val="00C1264D"/>
    <w:rsid w:val="00C335FA"/>
    <w:rsid w:val="00C76CE7"/>
    <w:rsid w:val="00C87BBA"/>
    <w:rsid w:val="00CA6CEE"/>
    <w:rsid w:val="00CC4242"/>
    <w:rsid w:val="00CD61B8"/>
    <w:rsid w:val="00CE78A6"/>
    <w:rsid w:val="00D75B8E"/>
    <w:rsid w:val="00DB32D2"/>
    <w:rsid w:val="00DB72D0"/>
    <w:rsid w:val="00DC450A"/>
    <w:rsid w:val="00DF2763"/>
    <w:rsid w:val="00E116FA"/>
    <w:rsid w:val="00E45AA1"/>
    <w:rsid w:val="00E462A6"/>
    <w:rsid w:val="00E7760B"/>
    <w:rsid w:val="00E8501A"/>
    <w:rsid w:val="00E952AD"/>
    <w:rsid w:val="00EB53C8"/>
    <w:rsid w:val="00F051B5"/>
    <w:rsid w:val="00FD1B7C"/>
    <w:rsid w:val="00FE00A3"/>
    <w:rsid w:val="00FF051F"/>
    <w:rsid w:val="00FF15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0D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46D"/>
    <w:pPr>
      <w:ind w:left="720"/>
      <w:contextualSpacing/>
    </w:pPr>
  </w:style>
  <w:style w:type="paragraph" w:styleId="BalloonText">
    <w:name w:val="Balloon Text"/>
    <w:basedOn w:val="Normal"/>
    <w:link w:val="BalloonTextChar"/>
    <w:uiPriority w:val="99"/>
    <w:semiHidden/>
    <w:unhideWhenUsed/>
    <w:rsid w:val="005E68E0"/>
    <w:rPr>
      <w:rFonts w:ascii="Tahoma" w:hAnsi="Tahoma" w:cs="Tahoma"/>
      <w:sz w:val="16"/>
      <w:szCs w:val="16"/>
    </w:rPr>
  </w:style>
  <w:style w:type="character" w:customStyle="1" w:styleId="BalloonTextChar">
    <w:name w:val="Balloon Text Char"/>
    <w:basedOn w:val="DefaultParagraphFont"/>
    <w:link w:val="BalloonText"/>
    <w:uiPriority w:val="99"/>
    <w:semiHidden/>
    <w:rsid w:val="005E68E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1B2331"/>
    <w:rPr>
      <w:sz w:val="16"/>
      <w:szCs w:val="16"/>
    </w:rPr>
  </w:style>
  <w:style w:type="paragraph" w:styleId="CommentText">
    <w:name w:val="annotation text"/>
    <w:basedOn w:val="Normal"/>
    <w:link w:val="CommentTextChar"/>
    <w:uiPriority w:val="99"/>
    <w:semiHidden/>
    <w:unhideWhenUsed/>
    <w:rsid w:val="001B2331"/>
    <w:rPr>
      <w:sz w:val="20"/>
      <w:szCs w:val="20"/>
    </w:rPr>
  </w:style>
  <w:style w:type="character" w:customStyle="1" w:styleId="CommentTextChar">
    <w:name w:val="Comment Text Char"/>
    <w:basedOn w:val="DefaultParagraphFont"/>
    <w:link w:val="CommentText"/>
    <w:uiPriority w:val="99"/>
    <w:semiHidden/>
    <w:rsid w:val="001B233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B2331"/>
    <w:rPr>
      <w:b/>
      <w:bCs/>
    </w:rPr>
  </w:style>
  <w:style w:type="character" w:customStyle="1" w:styleId="CommentSubjectChar">
    <w:name w:val="Comment Subject Char"/>
    <w:basedOn w:val="CommentTextChar"/>
    <w:link w:val="CommentSubject"/>
    <w:uiPriority w:val="99"/>
    <w:semiHidden/>
    <w:rsid w:val="001B2331"/>
    <w:rPr>
      <w:rFonts w:ascii="Times New Roman" w:eastAsia="Times New Roman" w:hAnsi="Times New Roman" w:cs="Times New Roman"/>
      <w:b/>
      <w:bCs/>
      <w:sz w:val="20"/>
      <w:szCs w:val="20"/>
    </w:rPr>
  </w:style>
  <w:style w:type="paragraph" w:styleId="Revision">
    <w:name w:val="Revision"/>
    <w:hidden/>
    <w:uiPriority w:val="99"/>
    <w:semiHidden/>
    <w:rsid w:val="001B2331"/>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rsid w:val="00FF051F"/>
    <w:rPr>
      <w:color w:val="0000FF"/>
      <w:u w:val="single"/>
    </w:rPr>
  </w:style>
  <w:style w:type="character" w:styleId="HTMLCite">
    <w:name w:val="HTML Cite"/>
    <w:basedOn w:val="DefaultParagraphFont"/>
    <w:uiPriority w:val="99"/>
    <w:semiHidden/>
    <w:unhideWhenUsed/>
    <w:rsid w:val="00FF051F"/>
    <w:rPr>
      <w:i/>
      <w:iCs/>
    </w:rPr>
  </w:style>
  <w:style w:type="paragraph" w:styleId="Header">
    <w:name w:val="header"/>
    <w:basedOn w:val="Normal"/>
    <w:link w:val="HeaderChar"/>
    <w:uiPriority w:val="99"/>
    <w:unhideWhenUsed/>
    <w:rsid w:val="00DC450A"/>
    <w:pPr>
      <w:tabs>
        <w:tab w:val="center" w:pos="4680"/>
        <w:tab w:val="right" w:pos="9360"/>
      </w:tabs>
    </w:pPr>
  </w:style>
  <w:style w:type="character" w:customStyle="1" w:styleId="HeaderChar">
    <w:name w:val="Header Char"/>
    <w:basedOn w:val="DefaultParagraphFont"/>
    <w:link w:val="Header"/>
    <w:uiPriority w:val="99"/>
    <w:rsid w:val="00DC45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C450A"/>
    <w:pPr>
      <w:tabs>
        <w:tab w:val="center" w:pos="4680"/>
        <w:tab w:val="right" w:pos="9360"/>
      </w:tabs>
    </w:pPr>
  </w:style>
  <w:style w:type="character" w:customStyle="1" w:styleId="FooterChar">
    <w:name w:val="Footer Char"/>
    <w:basedOn w:val="DefaultParagraphFont"/>
    <w:link w:val="Footer"/>
    <w:uiPriority w:val="99"/>
    <w:rsid w:val="00DC450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btt@vndirect.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4</Pages>
  <Words>1658</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minh.vuxuan</dc:creator>
  <cp:keywords/>
  <dc:description/>
  <cp:lastModifiedBy>PC VND</cp:lastModifiedBy>
  <cp:revision>40</cp:revision>
  <cp:lastPrinted>2018-04-11T01:55:00Z</cp:lastPrinted>
  <dcterms:created xsi:type="dcterms:W3CDTF">2017-04-18T03:49:00Z</dcterms:created>
  <dcterms:modified xsi:type="dcterms:W3CDTF">2019-04-18T02:06:00Z</dcterms:modified>
</cp:coreProperties>
</file>