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1422878"/>
            <wp:docPr id="1" name="Picture 1"/>
            <wp:cNvGraphicFramePr>
              <a:graphicFrameLocks noChangeAspect="1"/>
            </wp:cNvGraphicFramePr>
            <a:graphic>
              <a:graphicData uri="http://schemas.openxmlformats.org/drawingml/2006/picture">
                <pic:pic>
                  <pic:nvPicPr>
                    <pic:cNvPr id="0" name="294009.jpg"/>
                    <pic:cNvPicPr/>
                  </pic:nvPicPr>
                  <pic:blipFill>
                    <a:blip r:embed="rId10"/>
                    <a:stretch>
                      <a:fillRect/>
                    </a:stretch>
                  </pic:blipFill>
                  <pic:spPr>
                    <a:xfrm>
                      <a:off x="0" y="0"/>
                      <a:ext cx="1417320" cy="1422878"/>
                    </a:xfrm>
                    <a:prstGeom prst="rect"/>
                  </pic:spPr>
                </pic:pic>
              </a:graphicData>
            </a:graphic>
          </wp:inline>
        </w:drawing>
      </w:r>
    </w:p>
    <w:p>
      <w:pPr>
        <w:pStyle w:val="Title"/>
        <w:jc w:val="center"/>
      </w:pPr>
      <w:r>
        <w:t>CAHIER DES CHARGES</w:t>
        <w:br/>
        <w:t>APPLICATION DE GESTION ACVTC-CI</w:t>
      </w:r>
    </w:p>
    <w:p>
      <w:pPr>
        <w:jc w:val="center"/>
      </w:pPr>
      <w:r>
        <w:rPr>
          <w:b/>
          <w:sz w:val="22"/>
        </w:rPr>
        <w:t>ASSOCIATION DES CONDUCTEURS DE VÉHICULES DE TRANSPORT AVEC CHAUFFEUR DE CÔTE D’IVOIRE</w:t>
      </w:r>
    </w:p>
    <w:p>
      <w:pPr>
        <w:jc w:val="center"/>
      </w:pPr>
      <w:r>
        <w:rPr>
          <w:i/>
          <w:color w:val="B42025"/>
          <w:sz w:val="24"/>
        </w:rPr>
        <w:t>« Travail aujourd’hui pour le bonheur de demain. »</w:t>
      </w:r>
    </w:p>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Version</w:t>
            </w:r>
          </w:p>
        </w:tc>
        <w:tc>
          <w:tcPr>
            <w:tcW w:type="dxa" w:w="5184"/>
          </w:tcPr>
          <w:p>
            <w:r>
              <w:t>1.0 – Première version fonctionnelle</w:t>
            </w:r>
          </w:p>
        </w:tc>
      </w:tr>
      <w:tr>
        <w:tc>
          <w:tcPr>
            <w:tcW w:type="dxa" w:w="5184"/>
          </w:tcPr>
          <w:p>
            <w:r>
              <w:rPr>
                <w:b/>
              </w:rPr>
              <w:t>Sections</w:t>
            </w:r>
          </w:p>
        </w:tc>
        <w:tc>
          <w:tcPr>
            <w:tcW w:type="dxa" w:w="5184"/>
          </w:tcPr>
          <w:p>
            <w:r>
              <w:t>Abidjan • Bouaké • Yamoussoukro</w:t>
            </w:r>
          </w:p>
        </w:tc>
      </w:tr>
      <w:tr>
        <w:tc>
          <w:tcPr>
            <w:tcW w:type="dxa" w:w="5184"/>
          </w:tcPr>
          <w:p>
            <w:r>
              <w:rPr>
                <w:b/>
              </w:rPr>
              <w:t>Cotisation</w:t>
            </w:r>
          </w:p>
        </w:tc>
        <w:tc>
          <w:tcPr>
            <w:tcW w:type="dxa" w:w="5184"/>
          </w:tcPr>
          <w:p>
            <w:r>
              <w:t>500 FCFA / mois</w:t>
            </w:r>
          </w:p>
        </w:tc>
      </w:tr>
      <w:tr>
        <w:tc>
          <w:tcPr>
            <w:tcW w:type="dxa" w:w="5184"/>
          </w:tcPr>
          <w:p>
            <w:r>
              <w:rPr>
                <w:b/>
              </w:rPr>
              <w:t>Retard</w:t>
            </w:r>
          </w:p>
        </w:tc>
        <w:tc>
          <w:tcPr>
            <w:tcW w:type="dxa" w:w="5184"/>
          </w:tcPr>
          <w:p>
            <w:r>
              <w:t>Après 2 semaines : +200 FCFA une seule fois (total 700 FCFA)</w:t>
            </w:r>
          </w:p>
        </w:tc>
      </w:tr>
    </w:tbl>
    <w:p>
      <w:r>
        <w:br w:type="page"/>
      </w:r>
    </w:p>
    <w:p>
      <w:pPr>
        <w:pStyle w:val="Heading1"/>
      </w:pPr>
      <w:r>
        <w:t>1. Objectif du projet</w:t>
      </w:r>
    </w:p>
    <w:p>
      <w:r>
        <w:t>Créer une application mobile et une interface d’administration permettant à ACVTC-CI de centraliser ses membres, suivre les cotisations, publier des informations, assurer une transparence financière générale et délivrer une carte numérique vérifiable par QR code.</w:t>
      </w:r>
    </w:p>
    <w:p>
      <w:pPr>
        <w:pStyle w:val="Heading1"/>
      </w:pPr>
      <w:r>
        <w:t>2. Profils utilisateurs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Profil</w:t>
            </w:r>
          </w:p>
        </w:tc>
        <w:tc>
          <w:tcPr>
            <w:tcW w:type="dxa" w:w="3456"/>
          </w:tcPr>
          <w:p>
            <w:r>
              <w:rPr>
                <w:b/>
              </w:rPr>
              <w:t>Droits principaux</w:t>
            </w:r>
          </w:p>
        </w:tc>
        <w:tc>
          <w:tcPr>
            <w:tcW w:type="dxa" w:w="3456"/>
          </w:tcPr>
          <w:p>
            <w:r>
              <w:rPr>
                <w:b/>
              </w:rPr>
              <w:t>Validation paiement</w:t>
            </w:r>
          </w:p>
        </w:tc>
      </w:tr>
      <w:tr>
        <w:tc>
          <w:tcPr>
            <w:tcW w:type="dxa" w:w="3456"/>
          </w:tcPr>
          <w:p>
            <w:r>
              <w:t>Chauffeur</w:t>
            </w:r>
          </w:p>
        </w:tc>
        <w:tc>
          <w:tcPr>
            <w:tcW w:type="dxa" w:w="3456"/>
          </w:tcPr>
          <w:p>
            <w:r>
              <w:t>Consulter son profil, sa carte QR, ses cotisations, reçus et informations générales</w:t>
            </w:r>
          </w:p>
        </w:tc>
        <w:tc>
          <w:tcPr>
            <w:tcW w:type="dxa" w:w="3456"/>
          </w:tcPr>
          <w:p>
            <w:r>
              <w:t>Non</w:t>
            </w:r>
          </w:p>
        </w:tc>
      </w:tr>
      <w:tr>
        <w:tc>
          <w:tcPr>
            <w:tcW w:type="dxa" w:w="3456"/>
          </w:tcPr>
          <w:p>
            <w:r>
              <w:t>Président</w:t>
            </w:r>
          </w:p>
        </w:tc>
        <w:tc>
          <w:tcPr>
            <w:tcW w:type="dxa" w:w="3456"/>
          </w:tcPr>
          <w:p>
            <w:r>
              <w:t>Accès global, gestion et contrôle de l’ensemble du système</w:t>
            </w:r>
          </w:p>
        </w:tc>
        <w:tc>
          <w:tcPr>
            <w:tcW w:type="dxa" w:w="3456"/>
          </w:tcPr>
          <w:p>
            <w:r>
              <w:t>Oui</w:t>
            </w:r>
          </w:p>
        </w:tc>
      </w:tr>
      <w:tr>
        <w:tc>
          <w:tcPr>
            <w:tcW w:type="dxa" w:w="3456"/>
          </w:tcPr>
          <w:p>
            <w:r>
              <w:t>Vice-président</w:t>
            </w:r>
          </w:p>
        </w:tc>
        <w:tc>
          <w:tcPr>
            <w:tcW w:type="dxa" w:w="3456"/>
          </w:tcPr>
          <w:p>
            <w:r>
              <w:t>Consultation administrative, membres, statistiques et dossiers</w:t>
            </w:r>
          </w:p>
        </w:tc>
        <w:tc>
          <w:tcPr>
            <w:tcW w:type="dxa" w:w="3456"/>
          </w:tcPr>
          <w:p>
            <w:r>
              <w:t>Non</w:t>
            </w:r>
          </w:p>
        </w:tc>
      </w:tr>
      <w:tr>
        <w:tc>
          <w:tcPr>
            <w:tcW w:type="dxa" w:w="3456"/>
          </w:tcPr>
          <w:p>
            <w:r>
              <w:t>Secrétaire</w:t>
            </w:r>
          </w:p>
        </w:tc>
        <w:tc>
          <w:tcPr>
            <w:tcW w:type="dxa" w:w="3456"/>
          </w:tcPr>
          <w:p>
            <w:r>
              <w:t>Gestion/consultation des dossiers et informations administratives</w:t>
            </w:r>
          </w:p>
        </w:tc>
        <w:tc>
          <w:tcPr>
            <w:tcW w:type="dxa" w:w="3456"/>
          </w:tcPr>
          <w:p>
            <w:r>
              <w:t>Non</w:t>
            </w:r>
          </w:p>
        </w:tc>
      </w:tr>
      <w:tr>
        <w:tc>
          <w:tcPr>
            <w:tcW w:type="dxa" w:w="3456"/>
          </w:tcPr>
          <w:p>
            <w:r>
              <w:t>Trésorier</w:t>
            </w:r>
          </w:p>
        </w:tc>
        <w:tc>
          <w:tcPr>
            <w:tcW w:type="dxa" w:w="3456"/>
          </w:tcPr>
          <w:p>
            <w:r>
              <w:t>Gestion financière, enregistrement et confirmation des paiements</w:t>
            </w:r>
          </w:p>
        </w:tc>
        <w:tc>
          <w:tcPr>
            <w:tcW w:type="dxa" w:w="3456"/>
          </w:tcPr>
          <w:p>
            <w:r>
              <w:t>Oui</w:t>
            </w:r>
          </w:p>
        </w:tc>
      </w:tr>
      <w:tr>
        <w:tc>
          <w:tcPr>
            <w:tcW w:type="dxa" w:w="3456"/>
          </w:tcPr>
          <w:p>
            <w:r>
              <w:t>Délégué</w:t>
            </w:r>
          </w:p>
        </w:tc>
        <w:tc>
          <w:tcPr>
            <w:tcW w:type="dxa" w:w="3456"/>
          </w:tcPr>
          <w:p>
            <w:r>
              <w:t>Gestion et suivi des membres de sa section</w:t>
            </w:r>
          </w:p>
        </w:tc>
        <w:tc>
          <w:tcPr>
            <w:tcW w:type="dxa" w:w="3456"/>
          </w:tcPr>
          <w:p>
            <w:r>
              <w:t>Non</w:t>
            </w:r>
          </w:p>
        </w:tc>
      </w:tr>
      <w:tr>
        <w:tc>
          <w:tcPr>
            <w:tcW w:type="dxa" w:w="3456"/>
          </w:tcPr>
          <w:p>
            <w:r>
              <w:t>Adjoint au délégué</w:t>
            </w:r>
          </w:p>
        </w:tc>
        <w:tc>
          <w:tcPr>
            <w:tcW w:type="dxa" w:w="3456"/>
          </w:tcPr>
          <w:p>
            <w:r>
              <w:t>Assistance au suivi des membres de sa section</w:t>
            </w:r>
          </w:p>
        </w:tc>
        <w:tc>
          <w:tcPr>
            <w:tcW w:type="dxa" w:w="3456"/>
          </w:tcPr>
          <w:p>
            <w:r>
              <w:t>Non</w:t>
            </w:r>
          </w:p>
        </w:tc>
      </w:tr>
    </w:tbl>
    <w:p>
      <w:pPr>
        <w:pStyle w:val="Heading1"/>
      </w:pPr>
      <w:r>
        <w:t>3. Enregistrement d’un chauffeur</w:t>
      </w:r>
    </w:p>
    <w:p>
      <w:pPr>
        <w:pStyle w:val="ListBullet"/>
      </w:pPr>
      <w:r>
        <w:t>Nom et prénoms ; photo ; numéro de téléphone.</w:t>
      </w:r>
    </w:p>
    <w:p>
      <w:pPr>
        <w:pStyle w:val="ListBullet"/>
      </w:pPr>
      <w:r>
        <w:t>Section : Abidjan, Bouaké ou Yamoussoukro.</w:t>
      </w:r>
    </w:p>
    <w:p>
      <w:pPr>
        <w:pStyle w:val="ListBullet"/>
      </w:pPr>
      <w:r>
        <w:t>Numéro du permis de conduire et date d’expiration.</w:t>
      </w:r>
    </w:p>
    <w:p>
      <w:pPr>
        <w:pStyle w:val="ListBullet"/>
      </w:pPr>
      <w:r>
        <w:t>Véhicule et immatriculation.</w:t>
      </w:r>
    </w:p>
    <w:p>
      <w:pPr>
        <w:pStyle w:val="ListBullet"/>
      </w:pPr>
      <w:r>
        <w:t>Plateforme VTC utilisée et partenaire.</w:t>
      </w:r>
    </w:p>
    <w:p>
      <w:pPr>
        <w:pStyle w:val="ListBullet"/>
      </w:pPr>
      <w:r>
        <w:t>Date d’adhésion et statut du membre.</w:t>
      </w:r>
    </w:p>
    <w:p>
      <w:pPr>
        <w:pStyle w:val="ListBullet"/>
      </w:pPr>
      <w:r>
        <w:t>Matricule ACVTC-CI unique généré automatiquement.</w:t>
      </w:r>
    </w:p>
    <w:p>
      <w:r>
        <w:t>Le numéro de permis est une donnée administrative protégée. Il ne doit pas être affiché publiquement sur la carte QR ni servir de mot de passe.</w:t>
      </w:r>
    </w:p>
    <w:p>
      <w:pPr>
        <w:pStyle w:val="Heading1"/>
      </w:pPr>
      <w:r>
        <w:t>4. Cotisations et paiements</w:t>
      </w:r>
    </w:p>
    <w:p>
      <w:pPr>
        <w:pStyle w:val="ListBullet"/>
      </w:pPr>
      <w:r>
        <w:t>Cotisation mensuelle : 500 FCFA.</w:t>
      </w:r>
    </w:p>
    <w:p>
      <w:pPr>
        <w:pStyle w:val="ListBullet"/>
      </w:pPr>
      <w:r>
        <w:t>Délai avant retard : deux semaines.</w:t>
      </w:r>
    </w:p>
    <w:p>
      <w:pPr>
        <w:pStyle w:val="ListBullet"/>
      </w:pPr>
      <w:r>
        <w:t>Après ce délai : pénalité unique de 200 FCFA ; montant du mois concerné = 700 FCFA.</w:t>
      </w:r>
    </w:p>
    <w:p>
      <w:pPr>
        <w:pStyle w:val="ListBullet"/>
      </w:pPr>
      <w:r>
        <w:t>Aucune nouvelle pénalité ne s’ajoute pour le même mois.</w:t>
      </w:r>
    </w:p>
    <w:p>
      <w:pPr>
        <w:pStyle w:val="ListBullet"/>
      </w:pPr>
      <w:r>
        <w:t>Moyens prévus : Wave et Orange Money, sur le numéro officiel de paiement communiqué par l’association.</w:t>
      </w:r>
    </w:p>
    <w:p>
      <w:pPr>
        <w:pStyle w:val="ListBullet"/>
      </w:pPr>
      <w:r>
        <w:t>Seuls le Président et les Trésoriers peuvent confirmer définitivement un paiement.</w:t>
      </w:r>
    </w:p>
    <w:p>
      <w:pPr>
        <w:pStyle w:val="ListBullet"/>
      </w:pPr>
      <w:r>
        <w:t>Chaque validation doit enregistrer : membre, montant, mois concerné, date, moyen de paiement et responsable ayant validé.</w:t>
      </w:r>
    </w:p>
    <w:p>
      <w:r>
        <w:t>Recommandation : ne pas considérer une capture d’écran comme validation automatique. Le paiement reste « En attente » jusqu’à confirmation par une personne habilitée.</w:t>
      </w:r>
    </w:p>
    <w:p>
      <w:pPr>
        <w:pStyle w:val="Heading1"/>
      </w:pPr>
      <w:r>
        <w:t>5. Statuts de cotisation</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Statut</w:t>
            </w:r>
          </w:p>
        </w:tc>
        <w:tc>
          <w:tcPr>
            <w:tcW w:type="dxa" w:w="3456"/>
          </w:tcPr>
          <w:p>
            <w:r>
              <w:rPr>
                <w:b/>
              </w:rPr>
              <w:t>Condition</w:t>
            </w:r>
          </w:p>
        </w:tc>
        <w:tc>
          <w:tcPr>
            <w:tcW w:type="dxa" w:w="3456"/>
          </w:tcPr>
          <w:p>
            <w:r>
              <w:rPr>
                <w:b/>
              </w:rPr>
              <w:t>Affichage</w:t>
            </w:r>
          </w:p>
        </w:tc>
      </w:tr>
      <w:tr>
        <w:tc>
          <w:tcPr>
            <w:tcW w:type="dxa" w:w="3456"/>
          </w:tcPr>
          <w:p>
            <w:r>
              <w:t>À jour</w:t>
            </w:r>
          </w:p>
        </w:tc>
        <w:tc>
          <w:tcPr>
            <w:tcW w:type="dxa" w:w="3456"/>
          </w:tcPr>
          <w:p>
            <w:r>
              <w:t>Cotisation du mois confirmée</w:t>
            </w:r>
          </w:p>
        </w:tc>
        <w:tc>
          <w:tcPr>
            <w:tcW w:type="dxa" w:w="3456"/>
          </w:tcPr>
          <w:p>
            <w:r>
              <w:t>500 FCFA payé</w:t>
            </w:r>
          </w:p>
        </w:tc>
      </w:tr>
      <w:tr>
        <w:tc>
          <w:tcPr>
            <w:tcW w:type="dxa" w:w="3456"/>
          </w:tcPr>
          <w:p>
            <w:r>
              <w:t>En attente</w:t>
            </w:r>
          </w:p>
        </w:tc>
        <w:tc>
          <w:tcPr>
            <w:tcW w:type="dxa" w:w="3456"/>
          </w:tcPr>
          <w:p>
            <w:r>
              <w:t>Paiement déclaré mais non confirmé</w:t>
            </w:r>
          </w:p>
        </w:tc>
        <w:tc>
          <w:tcPr>
            <w:tcW w:type="dxa" w:w="3456"/>
          </w:tcPr>
          <w:p>
            <w:r>
              <w:t>Validation en cours</w:t>
            </w:r>
          </w:p>
        </w:tc>
      </w:tr>
      <w:tr>
        <w:tc>
          <w:tcPr>
            <w:tcW w:type="dxa" w:w="3456"/>
          </w:tcPr>
          <w:p>
            <w:r>
              <w:t>En retard</w:t>
            </w:r>
          </w:p>
        </w:tc>
        <w:tc>
          <w:tcPr>
            <w:tcW w:type="dxa" w:w="3456"/>
          </w:tcPr>
          <w:p>
            <w:r>
              <w:t>Non payé après deux semaines</w:t>
            </w:r>
          </w:p>
        </w:tc>
        <w:tc>
          <w:tcPr>
            <w:tcW w:type="dxa" w:w="3456"/>
          </w:tcPr>
          <w:p>
            <w:r>
              <w:t>700 FCFA dû</w:t>
            </w:r>
          </w:p>
        </w:tc>
      </w:tr>
      <w:tr>
        <w:tc>
          <w:tcPr>
            <w:tcW w:type="dxa" w:w="3456"/>
          </w:tcPr>
          <w:p>
            <w:r>
              <w:t>Non payé</w:t>
            </w:r>
          </w:p>
        </w:tc>
        <w:tc>
          <w:tcPr>
            <w:tcW w:type="dxa" w:w="3456"/>
          </w:tcPr>
          <w:p>
            <w:r>
              <w:t>Aucun paiement enregistré</w:t>
            </w:r>
          </w:p>
        </w:tc>
        <w:tc>
          <w:tcPr>
            <w:tcW w:type="dxa" w:w="3456"/>
          </w:tcPr>
          <w:p>
            <w:r>
              <w:t>Dette visible dans l’historique</w:t>
            </w:r>
          </w:p>
        </w:tc>
      </w:tr>
    </w:tbl>
    <w:p>
      <w:pPr>
        <w:pStyle w:val="Heading1"/>
      </w:pPr>
      <w:r>
        <w:t>6. Carte numérique et QR code</w:t>
      </w:r>
    </w:p>
    <w:p>
      <w:pPr>
        <w:pStyle w:val="ListBullet"/>
      </w:pPr>
      <w:r>
        <w:t>Photo du membre, nom, matricule ACVTC-CI, section et statut d’adhésion.</w:t>
      </w:r>
    </w:p>
    <w:p>
      <w:pPr>
        <w:pStyle w:val="ListBullet"/>
      </w:pPr>
      <w:r>
        <w:t>QR code unique lié au compte du membre.</w:t>
      </w:r>
    </w:p>
    <w:p>
      <w:pPr>
        <w:pStyle w:val="ListBullet"/>
      </w:pPr>
      <w:r>
        <w:t>Après scan : vérification de l’existence du membre et de son statut.</w:t>
      </w:r>
    </w:p>
    <w:p>
      <w:pPr>
        <w:pStyle w:val="ListBullet"/>
      </w:pPr>
      <w:r>
        <w:t>Les informations sensibles, notamment le numéro complet du permis, restent masquées au public.</w:t>
      </w:r>
    </w:p>
    <w:p>
      <w:pPr>
        <w:pStyle w:val="ListBullet"/>
      </w:pPr>
      <w:r>
        <w:t>Possibilité future d’invalider immédiatement une carte en cas de suspension ou de départ de l’association.</w:t>
      </w:r>
    </w:p>
    <w:p>
      <w:pPr>
        <w:pStyle w:val="Heading1"/>
      </w:pPr>
      <w:r>
        <w:t>7. Tableau de bord chauffeur</w:t>
      </w:r>
    </w:p>
    <w:p>
      <w:pPr>
        <w:pStyle w:val="ListBullet"/>
      </w:pPr>
      <w:r>
        <w:t>Ma carte ACVTC-CI et mon QR code.</w:t>
      </w:r>
    </w:p>
    <w:p>
      <w:pPr>
        <w:pStyle w:val="ListBullet"/>
      </w:pPr>
      <w:r>
        <w:t>Cotisation du mois : payée, en attente ou en retard.</w:t>
      </w:r>
    </w:p>
    <w:p>
      <w:pPr>
        <w:pStyle w:val="ListBullet"/>
      </w:pPr>
      <w:r>
        <w:t>Montant dû et éventuelle pénalité.</w:t>
      </w:r>
    </w:p>
    <w:p>
      <w:pPr>
        <w:pStyle w:val="ListBullet"/>
      </w:pPr>
      <w:r>
        <w:t>Historique mensuel des cotisations et reçus.</w:t>
      </w:r>
    </w:p>
    <w:p>
      <w:pPr>
        <w:pStyle w:val="ListBullet"/>
      </w:pPr>
      <w:r>
        <w:t>Actualités, communiqués, formations et réunions.</w:t>
      </w:r>
    </w:p>
    <w:p>
      <w:pPr>
        <w:pStyle w:val="ListBullet"/>
      </w:pPr>
      <w:r>
        <w:t>Espace assistance / demande d’accompagnement.</w:t>
      </w:r>
    </w:p>
    <w:p>
      <w:pPr>
        <w:pStyle w:val="ListBullet"/>
      </w:pPr>
      <w:r>
        <w:t>Informations générales autorisées sur les finances de l’association.</w:t>
      </w:r>
    </w:p>
    <w:p>
      <w:pPr>
        <w:pStyle w:val="Heading1"/>
      </w:pPr>
      <w:r>
        <w:t>8. Tableau de bord administratif</w:t>
      </w:r>
    </w:p>
    <w:p>
      <w:pPr>
        <w:pStyle w:val="ListBullet"/>
      </w:pPr>
      <w:r>
        <w:t>Nombre total de membres et répartition par section.</w:t>
      </w:r>
    </w:p>
    <w:p>
      <w:pPr>
        <w:pStyle w:val="ListBullet"/>
      </w:pPr>
      <w:r>
        <w:t>Membres à jour, en attente et en retard.</w:t>
      </w:r>
    </w:p>
    <w:p>
      <w:pPr>
        <w:pStyle w:val="ListBullet"/>
      </w:pPr>
      <w:r>
        <w:t>Cotisations encaissées par mois et par section.</w:t>
      </w:r>
    </w:p>
    <w:p>
      <w:pPr>
        <w:pStyle w:val="ListBullet"/>
      </w:pPr>
      <w:r>
        <w:t>Enregistrement des recettes et grandes dépenses.</w:t>
      </w:r>
    </w:p>
    <w:p>
      <w:pPr>
        <w:pStyle w:val="ListBullet"/>
      </w:pPr>
      <w:r>
        <w:t>Solde général calculé à partir des opérations enregistrées.</w:t>
      </w:r>
    </w:p>
    <w:p>
      <w:pPr>
        <w:pStyle w:val="ListBullet"/>
      </w:pPr>
      <w:r>
        <w:t>Recherche d’un membre par nom, téléphone, matricule ou permis (accès habilité).</w:t>
      </w:r>
    </w:p>
    <w:p>
      <w:pPr>
        <w:pStyle w:val="ListBullet"/>
      </w:pPr>
      <w:r>
        <w:t>Historique des modifications et validations effectuées par les administrateurs.</w:t>
      </w:r>
    </w:p>
    <w:p>
      <w:pPr>
        <w:pStyle w:val="ListBullet"/>
      </w:pPr>
      <w:r>
        <w:t>Exports futurs Excel/PDF pour rapports et réunions.</w:t>
      </w:r>
    </w:p>
    <w:p>
      <w:pPr>
        <w:pStyle w:val="Heading1"/>
      </w:pPr>
      <w:r>
        <w:t>9. Transparence financière</w:t>
      </w:r>
    </w:p>
    <w:p>
      <w:r>
        <w:t>Les chauffeurs pourront consulter une synthèse générale définie par l’administration : total des cotisations encaissées, grandes catégories de dépenses et solde publié. Les justificatifs internes, données personnelles et détails sensibles resteront réservés aux responsables autorisés.</w:t>
      </w:r>
    </w:p>
    <w:p>
      <w:pPr>
        <w:pStyle w:val="Heading1"/>
      </w:pPr>
      <w:r>
        <w:t>10. Structure de données minimale</w:t>
      </w:r>
    </w:p>
    <w:tbl>
      <w:tblPr>
        <w:tblStyle w:val="TableGrid"/>
        <w:tblW w:type="auto" w:w="0"/>
        <w:tblLook w:firstColumn="1" w:firstRow="1" w:lastColumn="0" w:lastRow="0" w:noHBand="0" w:noVBand="1" w:val="04A0"/>
      </w:tblPr>
      <w:tblGrid>
        <w:gridCol w:w="5184"/>
        <w:gridCol w:w="5184"/>
      </w:tblGrid>
      <w:tr>
        <w:tc>
          <w:tcPr>
            <w:tcW w:type="dxa" w:w="5184"/>
          </w:tcPr>
          <w:p>
            <w:r>
              <w:rPr>
                <w:b/>
              </w:rPr>
              <w:t>Module</w:t>
            </w:r>
          </w:p>
        </w:tc>
        <w:tc>
          <w:tcPr>
            <w:tcW w:type="dxa" w:w="5184"/>
          </w:tcPr>
          <w:p>
            <w:r>
              <w:rPr>
                <w:b/>
              </w:rPr>
              <w:t>Données principales</w:t>
            </w:r>
          </w:p>
        </w:tc>
      </w:tr>
      <w:tr>
        <w:tc>
          <w:tcPr>
            <w:tcW w:type="dxa" w:w="5184"/>
          </w:tcPr>
          <w:p>
            <w:r>
              <w:t>Membres</w:t>
            </w:r>
          </w:p>
        </w:tc>
        <w:tc>
          <w:tcPr>
            <w:tcW w:type="dxa" w:w="5184"/>
          </w:tcPr>
          <w:p>
            <w:r>
              <w:t>Identité, contact, section, permis, véhicule, plateforme, partenaire, matricule, statut</w:t>
            </w:r>
          </w:p>
        </w:tc>
      </w:tr>
      <w:tr>
        <w:tc>
          <w:tcPr>
            <w:tcW w:type="dxa" w:w="5184"/>
          </w:tcPr>
          <w:p>
            <w:r>
              <w:t>Utilisateurs</w:t>
            </w:r>
          </w:p>
        </w:tc>
        <w:tc>
          <w:tcPr>
            <w:tcW w:type="dxa" w:w="5184"/>
          </w:tcPr>
          <w:p>
            <w:r>
              <w:t>Compte, rôle, section, droits, état du compte</w:t>
            </w:r>
          </w:p>
        </w:tc>
      </w:tr>
      <w:tr>
        <w:tc>
          <w:tcPr>
            <w:tcW w:type="dxa" w:w="5184"/>
          </w:tcPr>
          <w:p>
            <w:r>
              <w:t>Cotisations</w:t>
            </w:r>
          </w:p>
        </w:tc>
        <w:tc>
          <w:tcPr>
            <w:tcW w:type="dxa" w:w="5184"/>
          </w:tcPr>
          <w:p>
            <w:r>
              <w:t>Membre, mois, montant dû, pénalité, statut, date</w:t>
            </w:r>
          </w:p>
        </w:tc>
      </w:tr>
      <w:tr>
        <w:tc>
          <w:tcPr>
            <w:tcW w:type="dxa" w:w="5184"/>
          </w:tcPr>
          <w:p>
            <w:r>
              <w:t>Paiements</w:t>
            </w:r>
          </w:p>
        </w:tc>
        <w:tc>
          <w:tcPr>
            <w:tcW w:type="dxa" w:w="5184"/>
          </w:tcPr>
          <w:p>
            <w:r>
              <w:t>Montant, moyen, référence, preuve éventuelle, validateur, date de validation</w:t>
            </w:r>
          </w:p>
        </w:tc>
      </w:tr>
      <w:tr>
        <w:tc>
          <w:tcPr>
            <w:tcW w:type="dxa" w:w="5184"/>
          </w:tcPr>
          <w:p>
            <w:r>
              <w:t>Finances</w:t>
            </w:r>
          </w:p>
        </w:tc>
        <w:tc>
          <w:tcPr>
            <w:tcW w:type="dxa" w:w="5184"/>
          </w:tcPr>
          <w:p>
            <w:r>
              <w:t>Recettes, dépenses, catégories, justificatifs, date, auteur</w:t>
            </w:r>
          </w:p>
        </w:tc>
      </w:tr>
      <w:tr>
        <w:tc>
          <w:tcPr>
            <w:tcW w:type="dxa" w:w="5184"/>
          </w:tcPr>
          <w:p>
            <w:r>
              <w:t>Actualités</w:t>
            </w:r>
          </w:p>
        </w:tc>
        <w:tc>
          <w:tcPr>
            <w:tcW w:type="dxa" w:w="5184"/>
          </w:tcPr>
          <w:p>
            <w:r>
              <w:t>Titre, contenu, audience, date de publication</w:t>
            </w:r>
          </w:p>
        </w:tc>
      </w:tr>
      <w:tr>
        <w:tc>
          <w:tcPr>
            <w:tcW w:type="dxa" w:w="5184"/>
          </w:tcPr>
          <w:p>
            <w:r>
              <w:t>QR</w:t>
            </w:r>
          </w:p>
        </w:tc>
        <w:tc>
          <w:tcPr>
            <w:tcW w:type="dxa" w:w="5184"/>
          </w:tcPr>
          <w:p>
            <w:r>
              <w:t>Identifiant sécurisé, membre lié, état actif/inactif</w:t>
            </w:r>
          </w:p>
        </w:tc>
      </w:tr>
      <w:tr>
        <w:tc>
          <w:tcPr>
            <w:tcW w:type="dxa" w:w="5184"/>
          </w:tcPr>
          <w:p>
            <w:r>
              <w:t>Journal d’audit</w:t>
            </w:r>
          </w:p>
        </w:tc>
        <w:tc>
          <w:tcPr>
            <w:tcW w:type="dxa" w:w="5184"/>
          </w:tcPr>
          <w:p>
            <w:r>
              <w:t>Utilisateur, action, date/heure, ancienne et nouvelle valeur si nécessaire</w:t>
            </w:r>
          </w:p>
        </w:tc>
      </w:tr>
    </w:tbl>
    <w:p>
      <w:pPr>
        <w:pStyle w:val="Heading1"/>
      </w:pPr>
      <w:r>
        <w:t>11. Sécurité et protection</w:t>
      </w:r>
    </w:p>
    <w:p>
      <w:pPr>
        <w:pStyle w:val="ListBullet"/>
      </w:pPr>
      <w:r>
        <w:t>Connexion sécurisée avec mot de passe/code personnel ; le permis ne sert pas de mot de passe.</w:t>
      </w:r>
    </w:p>
    <w:p>
      <w:pPr>
        <w:pStyle w:val="ListBullet"/>
      </w:pPr>
      <w:r>
        <w:t>Droits d’accès basés sur le rôle et, pour les délégués, sur la section.</w:t>
      </w:r>
    </w:p>
    <w:p>
      <w:pPr>
        <w:pStyle w:val="ListBullet"/>
      </w:pPr>
      <w:r>
        <w:t>Chiffrement des communications et sauvegardes régulières de la base de données.</w:t>
      </w:r>
    </w:p>
    <w:p>
      <w:pPr>
        <w:pStyle w:val="ListBullet"/>
      </w:pPr>
      <w:r>
        <w:t>Journalisation des validations de paiements et opérations financières.</w:t>
      </w:r>
    </w:p>
    <w:p>
      <w:pPr>
        <w:pStyle w:val="ListBullet"/>
      </w:pPr>
      <w:r>
        <w:t>Possibilité de désactiver immédiatement un compte administratif.</w:t>
      </w:r>
    </w:p>
    <w:p>
      <w:pPr>
        <w:pStyle w:val="ListBullet"/>
      </w:pPr>
      <w:r>
        <w:t>Collecte limitée aux données nécessaires et information des membres sur l’usage de leurs données.</w:t>
      </w:r>
    </w:p>
    <w:p>
      <w:pPr>
        <w:pStyle w:val="Heading1"/>
      </w:pPr>
      <w:r>
        <w:t>12. Écrans de la V1</w:t>
      </w:r>
    </w:p>
    <w:p>
      <w:pPr>
        <w:pStyle w:val="ListBullet"/>
      </w:pPr>
      <w:r>
        <w:t>Écran d’accueil ACVTC-CI avec logo et slogan.</w:t>
      </w:r>
    </w:p>
    <w:p>
      <w:pPr>
        <w:pStyle w:val="ListBullet"/>
      </w:pPr>
      <w:r>
        <w:t>Connexion / récupération d’accès.</w:t>
      </w:r>
    </w:p>
    <w:p>
      <w:pPr>
        <w:pStyle w:val="ListBullet"/>
      </w:pPr>
      <w:r>
        <w:t>Tableau de bord chauffeur.</w:t>
      </w:r>
    </w:p>
    <w:p>
      <w:pPr>
        <w:pStyle w:val="ListBullet"/>
      </w:pPr>
      <w:r>
        <w:t>Profil et carte QR.</w:t>
      </w:r>
    </w:p>
    <w:p>
      <w:pPr>
        <w:pStyle w:val="ListBullet"/>
      </w:pPr>
      <w:r>
        <w:t>Cotisations et historique.</w:t>
      </w:r>
    </w:p>
    <w:p>
      <w:pPr>
        <w:pStyle w:val="ListBullet"/>
      </w:pPr>
      <w:r>
        <w:t>Paiement Wave / Orange Money et déclaration de paiement.</w:t>
      </w:r>
    </w:p>
    <w:p>
      <w:pPr>
        <w:pStyle w:val="ListBullet"/>
      </w:pPr>
      <w:r>
        <w:t>Actualités / communiqués.</w:t>
      </w:r>
    </w:p>
    <w:p>
      <w:pPr>
        <w:pStyle w:val="ListBullet"/>
      </w:pPr>
      <w:r>
        <w:t>Assistance.</w:t>
      </w:r>
    </w:p>
    <w:p>
      <w:pPr>
        <w:pStyle w:val="ListBullet"/>
      </w:pPr>
      <w:r>
        <w:t>Tableau de bord administration.</w:t>
      </w:r>
    </w:p>
    <w:p>
      <w:pPr>
        <w:pStyle w:val="ListBullet"/>
      </w:pPr>
      <w:r>
        <w:t>Gestion des membres.</w:t>
      </w:r>
    </w:p>
    <w:p>
      <w:pPr>
        <w:pStyle w:val="ListBullet"/>
      </w:pPr>
      <w:r>
        <w:t>Validation des paiements.</w:t>
      </w:r>
    </w:p>
    <w:p>
      <w:pPr>
        <w:pStyle w:val="ListBullet"/>
      </w:pPr>
      <w:r>
        <w:t>Recettes / dépenses et synthèse financière.</w:t>
      </w:r>
    </w:p>
    <w:p>
      <w:pPr>
        <w:pStyle w:val="ListBullet"/>
      </w:pPr>
      <w:r>
        <w:t>Gestion des rôles et sections.</w:t>
      </w:r>
    </w:p>
    <w:p>
      <w:pPr>
        <w:pStyle w:val="Heading1"/>
      </w:pPr>
      <w:r>
        <w:t>13. Règles de fonctionnement importantes</w:t>
      </w:r>
    </w:p>
    <w:p>
      <w:pPr>
        <w:pStyle w:val="ListBullet"/>
      </w:pPr>
      <w:r>
        <w:t>Un chauffeur ne doit disposer que d’un seul dossier actif.</w:t>
      </w:r>
    </w:p>
    <w:p>
      <w:pPr>
        <w:pStyle w:val="ListBullet"/>
      </w:pPr>
      <w:r>
        <w:t>Le matricule ACVTC-CI est unique et permanent.</w:t>
      </w:r>
    </w:p>
    <w:p>
      <w:pPr>
        <w:pStyle w:val="ListBullet"/>
      </w:pPr>
      <w:r>
        <w:t>Une cotisation confirmée ne peut pas être supprimée sans trace dans le journal d’audit.</w:t>
      </w:r>
    </w:p>
    <w:p>
      <w:pPr>
        <w:pStyle w:val="ListBullet"/>
      </w:pPr>
      <w:r>
        <w:t>Toute correction financière doit conserver l’identité du responsable et la date de modification.</w:t>
      </w:r>
    </w:p>
    <w:p>
      <w:pPr>
        <w:pStyle w:val="ListBullet"/>
      </w:pPr>
      <w:r>
        <w:t>Les délégués et adjoints travaillent principalement sur leur section.</w:t>
      </w:r>
    </w:p>
    <w:p>
      <w:pPr>
        <w:pStyle w:val="ListBullet"/>
      </w:pPr>
      <w:r>
        <w:t>Les informations financières visibles par les membres sont des synthèses validées par l’administration.</w:t>
      </w:r>
    </w:p>
    <w:p>
      <w:pPr>
        <w:pStyle w:val="Heading1"/>
      </w:pPr>
      <w:r>
        <w:t>14. Évolutions possibles après la V1</w:t>
      </w:r>
    </w:p>
    <w:p>
      <w:pPr>
        <w:pStyle w:val="ListBullet"/>
      </w:pPr>
      <w:r>
        <w:t>Notifications automatiques avant et après l’échéance des cotisations.</w:t>
      </w:r>
    </w:p>
    <w:p>
      <w:pPr>
        <w:pStyle w:val="ListBullet"/>
      </w:pPr>
      <w:r>
        <w:t>Paiement intégré avec confirmation automatique si une API officielle est disponible.</w:t>
      </w:r>
    </w:p>
    <w:p>
      <w:pPr>
        <w:pStyle w:val="ListBullet"/>
      </w:pPr>
      <w:r>
        <w:t>Gestion des formations et présences.</w:t>
      </w:r>
    </w:p>
    <w:p>
      <w:pPr>
        <w:pStyle w:val="ListBullet"/>
      </w:pPr>
      <w:r>
        <w:t>Déclaration d’incidents professionnels et suivi des dossiers d’assistance.</w:t>
      </w:r>
    </w:p>
    <w:p>
      <w:pPr>
        <w:pStyle w:val="ListBullet"/>
      </w:pPr>
      <w:r>
        <w:t>Gestion des partenariats et avantages réservés aux membres.</w:t>
      </w:r>
    </w:p>
    <w:p>
      <w:pPr>
        <w:pStyle w:val="ListBullet"/>
      </w:pPr>
      <w:r>
        <w:t>Statistiques avancées et rapports périodiques.</w:t>
      </w:r>
    </w:p>
    <w:p>
      <w:pPr>
        <w:pStyle w:val="ListBullet"/>
      </w:pPr>
      <w:r>
        <w:t>Ajout de nouvelles sections ACVTC-CI sans modifier l’architecture générale.</w:t>
      </w:r>
    </w:p>
    <w:p>
      <w:pPr>
        <w:pStyle w:val="Heading1"/>
      </w:pPr>
      <w:r>
        <w:t>15. Critères de validation de la première version</w:t>
      </w:r>
    </w:p>
    <w:p>
      <w:r>
        <w:t>La V1 sera considérée comme fonctionnelle lorsque l’association pourra enregistrer un chauffeur, lui attribuer un matricule et une carte QR, suivre sa cotisation mensuelle, appliquer automatiquement la pénalité unique après deux semaines, enregistrer puis faire confirmer un paiement uniquement par un Président ou un Trésorier, publier des informations et produire une synthèse des membres et finances.</w:t>
      </w:r>
    </w:p>
    <w:sectPr w:rsidR="00FC693F" w:rsidRPr="0006063C" w:rsidSect="00034616">
      <w:headerReference w:type="default" r:id="rId9"/>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ACVTC-CI — Cahier des charges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ACVTC-CI  |  Projet d'application de gestion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6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4202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3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