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49 commits · 35 modules Python · 101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Calibri" w:hAnsi="Calibri"/>
          <w:b/>
          <w:color w:val="1B2430"/>
          <w:sz w:val="21"/>
        </w:rPr>
        <w:t>Le coût n'est pas l'argument</w:t>
      </w:r>
    </w:p>
    <w:p>
      <w:pPr>
        <w:spacing w:after="140" w:line="293" w:lineRule="auto"/>
      </w:pPr>
      <w:r>
        <w:rPr>
          <w:rFonts w:ascii="Calibri" w:hAnsi="Calibri"/>
          <w:b w:val="0"/>
          <w:i w:val="0"/>
          <w:color w:val="3C4757"/>
          <w:sz w:val="21"/>
        </w:rPr>
        <w:t>Tarifs relevés le 2 septembre 2026 sur les pages publiques des deux fournisseurs, en dollars par million de jetons :</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MODÈLE</w:t>
            </w:r>
          </w:p>
        </w:tc>
        <w:tc>
          <w:tcPr>
            <w:tcW w:type="dxa" w:w="2379"/>
            <w:shd w:val="clear" w:fill="E9EDF2"/>
          </w:tcPr>
          <w:p>
            <w:pPr>
              <w:spacing w:after="40"/>
            </w:pPr>
            <w:r>
              <w:rPr>
                <w:rFonts w:ascii="Calibri" w:hAnsi="Calibri"/>
                <w:b/>
                <w:color w:val="5B6675"/>
                <w:sz w:val="15"/>
              </w:rPr>
              <w:t>EMBEDDINGS</w:t>
            </w:r>
          </w:p>
        </w:tc>
        <w:tc>
          <w:tcPr>
            <w:tcW w:type="dxa" w:w="2379"/>
            <w:shd w:val="clear" w:fill="E9EDF2"/>
          </w:tcPr>
          <w:p>
            <w:pPr>
              <w:spacing w:after="40"/>
            </w:pPr>
            <w:r>
              <w:rPr>
                <w:rFonts w:ascii="Calibri" w:hAnsi="Calibri"/>
                <w:b/>
                <w:color w:val="5B6675"/>
                <w:sz w:val="15"/>
              </w:rPr>
              <w:t>GÉNÉRATION ENTRÉE</w:t>
            </w:r>
          </w:p>
        </w:tc>
        <w:tc>
          <w:tcPr>
            <w:tcW w:type="dxa" w:w="2379"/>
            <w:shd w:val="clear" w:fill="E9EDF2"/>
          </w:tcPr>
          <w:p>
            <w:pPr>
              <w:spacing w:after="40"/>
            </w:pPr>
            <w:r>
              <w:rPr>
                <w:rFonts w:ascii="Calibri" w:hAnsi="Calibri"/>
                <w:b/>
                <w:color w:val="5B6675"/>
                <w:sz w:val="15"/>
              </w:rPr>
              <w:t>GÉNÉRATION SORTIE</w:t>
            </w:r>
          </w:p>
        </w:tc>
      </w:tr>
      <w:tr>
        <w:tc>
          <w:tcPr>
            <w:tcW w:type="dxa" w:w="2379"/>
          </w:tcPr>
          <w:p>
            <w:pPr>
              <w:spacing w:after="40" w:line="264" w:lineRule="auto"/>
            </w:pPr>
            <w:r>
              <w:rPr>
                <w:rFonts w:ascii="Calibri" w:hAnsi="Calibri"/>
                <w:b/>
                <w:color w:val="1B2430"/>
                <w:sz w:val="18"/>
              </w:rPr>
              <w:t>Mistral</w:t>
            </w:r>
          </w:p>
        </w:tc>
        <w:tc>
          <w:tcPr>
            <w:tcW w:type="dxa" w:w="2379"/>
          </w:tcPr>
          <w:p>
            <w:pPr>
              <w:spacing w:after="40" w:line="264" w:lineRule="auto"/>
            </w:pPr>
            <w:r>
              <w:rPr>
                <w:rFonts w:ascii="Calibri" w:hAnsi="Calibri"/>
                <w:b w:val="0"/>
                <w:color w:val="3C4757"/>
                <w:sz w:val="18"/>
              </w:rPr>
              <w:t>0,10 $ (mistral-embed)</w:t>
            </w:r>
          </w:p>
        </w:tc>
        <w:tc>
          <w:tcPr>
            <w:tcW w:type="dxa" w:w="2379"/>
          </w:tcPr>
          <w:p>
            <w:pPr>
              <w:spacing w:after="40" w:line="264" w:lineRule="auto"/>
            </w:pPr>
            <w:r>
              <w:rPr>
                <w:rFonts w:ascii="Calibri" w:hAnsi="Calibri"/>
                <w:b w:val="0"/>
                <w:color w:val="3C4757"/>
                <w:sz w:val="18"/>
              </w:rPr>
              <w:t>0,15 $ (mistral-small)</w:t>
            </w:r>
          </w:p>
        </w:tc>
        <w:tc>
          <w:tcPr>
            <w:tcW w:type="dxa" w:w="2379"/>
          </w:tcPr>
          <w:p>
            <w:pPr>
              <w:spacing w:after="40" w:line="264" w:lineRule="auto"/>
            </w:pPr>
            <w:r>
              <w:rPr>
                <w:rFonts w:ascii="Calibri" w:hAnsi="Calibri"/>
                <w:b w:val="0"/>
                <w:color w:val="3C4757"/>
                <w:sz w:val="18"/>
              </w:rPr>
              <w:t>0,60 $</w:t>
            </w:r>
          </w:p>
        </w:tc>
      </w:tr>
      <w:tr>
        <w:tc>
          <w:tcPr>
            <w:tcW w:type="dxa" w:w="2379"/>
          </w:tcPr>
          <w:p>
            <w:pPr>
              <w:spacing w:after="40" w:line="264" w:lineRule="auto"/>
            </w:pPr>
            <w:r>
              <w:rPr>
                <w:rFonts w:ascii="Calibri" w:hAnsi="Calibri"/>
                <w:b/>
                <w:color w:val="1B2430"/>
                <w:sz w:val="18"/>
              </w:rPr>
              <w:t>OpenAI</w:t>
            </w:r>
          </w:p>
        </w:tc>
        <w:tc>
          <w:tcPr>
            <w:tcW w:type="dxa" w:w="2379"/>
          </w:tcPr>
          <w:p>
            <w:pPr>
              <w:spacing w:after="40" w:line="264" w:lineRule="auto"/>
            </w:pPr>
            <w:r>
              <w:rPr>
                <w:rFonts w:ascii="Calibri" w:hAnsi="Calibri"/>
                <w:b w:val="0"/>
                <w:color w:val="3C4757"/>
                <w:sz w:val="18"/>
              </w:rPr>
              <w:t>0,02 $ (embedding-3-small)</w:t>
            </w:r>
          </w:p>
        </w:tc>
        <w:tc>
          <w:tcPr>
            <w:tcW w:type="dxa" w:w="2379"/>
          </w:tcPr>
          <w:p>
            <w:pPr>
              <w:spacing w:after="40" w:line="264" w:lineRule="auto"/>
            </w:pPr>
            <w:r>
              <w:rPr>
                <w:rFonts w:ascii="Calibri" w:hAnsi="Calibri"/>
                <w:b w:val="0"/>
                <w:color w:val="3C4757"/>
                <w:sz w:val="18"/>
              </w:rPr>
              <w:t>0,15 $ (gpt-4o-mini)</w:t>
            </w:r>
          </w:p>
        </w:tc>
        <w:tc>
          <w:tcPr>
            <w:tcW w:type="dxa" w:w="2379"/>
          </w:tcPr>
          <w:p>
            <w:pPr>
              <w:spacing w:after="40" w:line="264" w:lineRule="auto"/>
            </w:pPr>
            <w:r>
              <w:rPr>
                <w:rFonts w:ascii="Calibri" w:hAnsi="Calibri"/>
                <w:b w:val="0"/>
                <w:color w:val="3C4757"/>
                <w:sz w:val="18"/>
              </w:rPr>
              <w:t>0,60 $</w:t>
            </w:r>
          </w:p>
        </w:tc>
      </w:tr>
    </w:tbl>
    <w:p>
      <w:pPr>
        <w:spacing w:after="80"/>
      </w:pPr>
    </w:p>
    <w:p>
      <w:pPr>
        <w:spacing w:after="140" w:line="293" w:lineRule="auto"/>
      </w:pPr>
      <w:r>
        <w:rPr>
          <w:rFonts w:ascii="Calibri" w:hAnsi="Calibri"/>
          <w:b w:val="0"/>
          <w:i w:val="0"/>
          <w:color w:val="3C4757"/>
          <w:sz w:val="21"/>
        </w:rPr>
        <w:t xml:space="preserve">La génération est </w:t>
      </w:r>
      <w:r>
        <w:rPr>
          <w:rFonts w:ascii="Calibri" w:hAnsi="Calibri"/>
          <w:b/>
          <w:i w:val="0"/>
          <w:color w:val="3C4757"/>
          <w:sz w:val="21"/>
        </w:rPr>
        <w:t>au tarif identique</w:t>
      </w:r>
      <w:r>
        <w:rPr>
          <w:rFonts w:ascii="Calibri" w:hAnsi="Calibri"/>
          <w:b w:val="0"/>
          <w:i w:val="0"/>
          <w:color w:val="3C4757"/>
          <w:sz w:val="21"/>
        </w:rPr>
        <w:t xml:space="preserve">, et l'embedding OpenAI est </w:t>
      </w:r>
      <w:r>
        <w:rPr>
          <w:rFonts w:ascii="Calibri" w:hAnsi="Calibri"/>
          <w:b/>
          <w:i w:val="0"/>
          <w:color w:val="3C4757"/>
          <w:sz w:val="21"/>
        </w:rPr>
        <w:t>cinq fois moins cher</w:t>
      </w:r>
      <w:r>
        <w:rPr>
          <w:rFonts w:ascii="Calibri" w:hAnsi="Calibri"/>
          <w:b w:val="0"/>
          <w:i w:val="0"/>
          <w:color w:val="3C4757"/>
          <w:sz w:val="21"/>
        </w:rPr>
        <w:t xml:space="preserve">. Sur notre corpus, cela représente 3,0 centimes contre 0,6 centime par reconstruction complète : un écart réel en pourcentage, négligeable en valeur absolue. </w:t>
      </w:r>
      <w:r>
        <w:rPr>
          <w:rFonts w:ascii="Calibri" w:hAnsi="Calibri"/>
          <w:b/>
          <w:i w:val="0"/>
          <w:color w:val="3C4757"/>
          <w:sz w:val="21"/>
        </w:rPr>
        <w:t>L'argument économique ne plaide donc pas pour Mistral</w:t>
      </w:r>
      <w:r>
        <w:rPr>
          <w:rFonts w:ascii="Calibri" w:hAnsi="Calibri"/>
          <w:b w:val="0"/>
          <w:i w:val="0"/>
          <w:color w:val="3C4757"/>
          <w:sz w:val="21"/>
        </w:rPr>
        <w:t>, et il serait malhonnête de le présenter ainsi.</w:t>
      </w:r>
    </w:p>
    <w:p>
      <w:pPr>
        <w:keepNext/>
        <w:spacing w:before="260" w:after="80"/>
      </w:pPr>
      <w:r>
        <w:rPr>
          <w:rFonts w:ascii="Calibri" w:hAnsi="Calibri"/>
          <w:b/>
          <w:color w:val="1B2430"/>
          <w:sz w:val="21"/>
        </w:rPr>
        <w:t>Ce qui a réellement décidé du choix</w:t>
      </w:r>
    </w:p>
    <w:p>
      <w:pPr>
        <w:spacing w:after="80" w:line="288" w:lineRule="auto"/>
        <w:ind w:left="340"/>
      </w:pPr>
      <w:r>
        <w:rPr>
          <w:rFonts w:ascii="Calibri" w:hAnsi="Calibri"/>
          <w:color w:val="B8420F"/>
          <w:sz w:val="21"/>
        </w:rPr>
        <w:t xml:space="preserve">— </w:t>
      </w:r>
      <w:r>
        <w:rPr>
          <w:rFonts w:ascii="Calibri" w:hAnsi="Calibri"/>
          <w:b/>
          <w:color w:val="3C4757"/>
          <w:sz w:val="21"/>
        </w:rPr>
        <w:t>Souveraineté des données.</w:t>
      </w:r>
      <w:r>
        <w:rPr>
          <w:rFonts w:ascii="Calibri" w:hAnsi="Calibri"/>
          <w:b w:val="0"/>
          <w:color w:val="3C4757"/>
          <w:sz w:val="21"/>
        </w:rPr>
        <w:t xml:space="preserve"> Les questions des utilisateurs de Puls-Events et les descriptions d'événements transitent par l'API du fournisseur. Un fournisseur européen simplifie la conformité RGPD : pas de transfert hors Union, pas de clauses contractuelles types à instruire.</w:t>
      </w:r>
    </w:p>
    <w:p>
      <w:pPr>
        <w:spacing w:after="80" w:line="288" w:lineRule="auto"/>
        <w:ind w:left="340"/>
      </w:pPr>
      <w:r>
        <w:rPr>
          <w:rFonts w:ascii="Calibri" w:hAnsi="Calibri"/>
          <w:color w:val="B8420F"/>
          <w:sz w:val="21"/>
        </w:rPr>
        <w:t xml:space="preserve">— </w:t>
      </w:r>
      <w:r>
        <w:rPr>
          <w:rFonts w:ascii="Calibri" w:hAnsi="Calibri"/>
          <w:b/>
          <w:color w:val="3C4757"/>
          <w:sz w:val="21"/>
        </w:rPr>
        <w:t>Qualité en français.</w:t>
      </w:r>
      <w:r>
        <w:rPr>
          <w:rFonts w:ascii="Calibri" w:hAnsi="Calibri"/>
          <w:b w:val="0"/>
          <w:color w:val="3C4757"/>
          <w:sz w:val="21"/>
        </w:rPr>
        <w:t xml:space="preserve"> Les événements, les questions et les réponses sont en français. La qualité constatée sur les réponses produites est bonne, et la fidélité mesurée à 0,943 le confirme.</w:t>
      </w:r>
    </w:p>
    <w:p>
      <w:pPr>
        <w:spacing w:after="80" w:line="288" w:lineRule="auto"/>
        <w:ind w:left="340"/>
      </w:pPr>
      <w:r>
        <w:rPr>
          <w:rFonts w:ascii="Calibri" w:hAnsi="Calibri"/>
          <w:color w:val="B8420F"/>
          <w:sz w:val="21"/>
        </w:rPr>
        <w:t xml:space="preserve">— </w:t>
      </w:r>
      <w:r>
        <w:rPr>
          <w:rFonts w:ascii="Calibri" w:hAnsi="Calibri"/>
          <w:b/>
          <w:color w:val="3C4757"/>
          <w:sz w:val="21"/>
        </w:rPr>
        <w:t>Adéquation du modèle à la tâche.</w:t>
      </w:r>
      <w:r>
        <w:rPr>
          <w:rFonts w:ascii="Calibri" w:hAnsi="Calibri"/>
          <w:b w:val="0"/>
          <w:color w:val="3C4757"/>
          <w:sz w:val="21"/>
        </w:rPr>
        <w:t xml:space="preserve"> La génération est une reformulation contrainte : le modèle ne raisonne pas, il met en forme des faits fournis. Un modèle de petite taille suffit, et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Réversibilité.</w:t>
      </w:r>
      <w:r>
        <w:rPr>
          <w:rFonts w:ascii="Calibri" w:hAnsi="Calibri"/>
          <w:b w:val="0"/>
          <w:color w:val="3C4757"/>
          <w:sz w:val="21"/>
        </w:rPr>
        <w:t xml:space="preserve"> Le fournisseur est isolé derrière deux fonctions, get_embedding_model() et get_llm(). En basculer un revient à changer une variable d'environnement et à reconstruire l'index — l'architecture ne fait aucun pari sur Mistral.</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/metadata</w:t>
            </w:r>
          </w:p>
        </w:tc>
        <w:tc>
          <w:tcPr>
            <w:tcW w:type="dxa" w:w="3173"/>
          </w:tcPr>
          <w:p>
            <w:pPr>
              <w:spacing w:after="40" w:line="264" w:lineRule="auto"/>
            </w:pPr>
            <w:r>
              <w:rPr>
                <w:rFonts w:ascii="Calibri" w:hAnsi="Calibri"/>
                <w:b w:val="0"/>
                <w:color w:val="3C4757"/>
                <w:sz w:val="18"/>
              </w:rPr>
              <w:t>Périmètre du catalogue : villes, période, volumétrie, sources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spacing w:after="140" w:line="293" w:lineRule="auto"/>
      </w:pPr>
      <w:r>
        <w:rPr>
          <w:rFonts w:ascii="Calibri" w:hAnsi="Calibri"/>
          <w:b/>
          <w:i w:val="0"/>
          <w:color w:val="3C4757"/>
          <w:sz w:val="21"/>
        </w:rPr>
        <w:t>/metadata</w:t>
      </w:r>
      <w:r>
        <w:rPr>
          <w:rFonts w:ascii="Calibri" w:hAnsi="Calibri"/>
          <w:b w:val="0"/>
          <w:i w:val="0"/>
          <w:color w:val="3C4757"/>
          <w:sz w:val="21"/>
        </w:rPr>
        <w:t xml:space="preserve"> répond à une question d'usage métier : avant de se fier à une réponse, une équipe produit doit savoir quelles villes et quelle période le catalogue couvre, et d'où viennent les événements. La liste des agendas source est </w:t>
      </w:r>
      <w:r>
        <w:rPr>
          <w:rFonts w:ascii="Calibri" w:hAnsi="Calibri"/>
          <w:b/>
          <w:i w:val="0"/>
          <w:color w:val="3C4757"/>
          <w:sz w:val="21"/>
        </w:rPr>
        <w:t>paginée</w:t>
      </w:r>
      <w:r>
        <w:rPr>
          <w:rFonts w:ascii="Calibri" w:hAnsi="Calibri"/>
          <w:b w:val="0"/>
          <w:i w:val="0"/>
          <w:color w:val="3C4757"/>
          <w:sz w:val="21"/>
        </w:rPr>
        <w:t xml:space="preserve"> par `limit` et `offset` : le catalogue en compte 59, et tout renvoyer alourdirait la réponse sans servir l'appelant.</w:t>
      </w:r>
    </w:p>
    <w:p>
      <w:pPr>
        <w:spacing w:before="100" w:after="180" w:line="269" w:lineRule="auto"/>
        <w:ind w:left="170"/>
        <w:shd w:val="clear" w:fill="F2F5F7"/>
        <w:pBdr>
          <w:left w:val="single" w:sz="18" w:space="8" w:color="26636F"/>
        </w:pBdr>
      </w:pPr>
      <w:r>
        <w:rPr>
          <w:rFonts w:ascii="Consolas" w:hAnsi="Consolas"/>
          <w:color w:val="1B2430"/>
          <w:sz w:val="17"/>
        </w:rPr>
        <w:t>GET /metadata?limit=3</w:t>
      </w:r>
      <w:r>
        <w:rPr>
          <w:rFonts w:ascii="Consolas" w:hAnsi="Consolas"/>
          <w:color w:val="1B2430"/>
          <w:sz w:val="17"/>
        </w:rPr>
        <w:br/>
        <w:t>{</w:t>
      </w:r>
      <w:r>
        <w:rPr>
          <w:rFonts w:ascii="Consolas" w:hAnsi="Consolas"/>
          <w:color w:val="1B2430"/>
          <w:sz w:val="17"/>
        </w:rPr>
        <w:br/>
        <w:t xml:space="preserve">  "index":  {"chunks": 2842, "events": 896, "dimension": 1024,</w:t>
      </w:r>
      <w:r>
        <w:rPr>
          <w:rFonts w:ascii="Consolas" w:hAnsi="Consolas"/>
          <w:color w:val="1B2430"/>
          <w:sz w:val="17"/>
        </w:rPr>
        <w:br/>
        <w:t xml:space="preserve">             "index_type": "flat", "embedding_model": "mistral-embed"},</w:t>
      </w:r>
      <w:r>
        <w:rPr>
          <w:rFonts w:ascii="Consolas" w:hAnsi="Consolas"/>
          <w:color w:val="1B2430"/>
          <w:sz w:val="17"/>
        </w:rPr>
        <w:br/>
        <w:t xml:space="preserve">  "corpus": {"cities": ["Paris"], "events": 896, "upcoming_events": 668,</w:t>
      </w:r>
      <w:r>
        <w:rPr>
          <w:rFonts w:ascii="Consolas" w:hAnsi="Consolas"/>
          <w:color w:val="1B2430"/>
          <w:sz w:val="17"/>
        </w:rPr>
        <w:br/>
        <w:t xml:space="preserve">             "with_url": 896, "with_coordinates": 896},</w:t>
      </w:r>
      <w:r>
        <w:rPr>
          <w:rFonts w:ascii="Consolas" w:hAnsi="Consolas"/>
          <w:color w:val="1B2430"/>
          <w:sz w:val="17"/>
        </w:rPr>
        <w:br/>
        <w:t xml:space="preserve">  "sources": [{"agenda": "Cité des sciences et de l'industrie", "events": 255},</w:t>
      </w:r>
      <w:r>
        <w:rPr>
          <w:rFonts w:ascii="Consolas" w:hAnsi="Consolas"/>
          <w:color w:val="1B2430"/>
          <w:sz w:val="17"/>
        </w:rPr>
        <w:br/>
        <w:t xml:space="preserve">              {"agenda": "Bicentenaire de la Photographie", "events": 160}],</w:t>
      </w:r>
      <w:r>
        <w:rPr>
          <w:rFonts w:ascii="Consolas" w:hAnsi="Consolas"/>
          <w:color w:val="1B2430"/>
          <w:sz w:val="17"/>
        </w:rPr>
        <w:br/>
        <w:t xml:space="preserve">  "sources_total": 59, "limit": 3, "offset": 0</w:t>
      </w:r>
      <w:r>
        <w:rPr>
          <w:rFonts w:ascii="Consolas" w:hAnsi="Consolas"/>
          <w:color w:val="1B2430"/>
          <w:sz w:val="17"/>
        </w:rPr>
        <w:br/>
        <w:t>}</w:t>
      </w: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Appel depuis Python</w:t>
      </w:r>
    </w:p>
    <w:p>
      <w:pPr>
        <w:spacing w:before="100" w:after="180" w:line="269" w:lineRule="auto"/>
        <w:ind w:left="170"/>
        <w:shd w:val="clear" w:fill="F2F5F7"/>
        <w:pBdr>
          <w:left w:val="single" w:sz="18" w:space="8" w:color="26636F"/>
        </w:pBdr>
      </w:pPr>
      <w:r>
        <w:rPr>
          <w:rFonts w:ascii="Consolas" w:hAnsi="Consolas"/>
          <w:color w:val="1B2430"/>
          <w:sz w:val="17"/>
        </w:rPr>
        <w:t>import httpx</w:t>
      </w:r>
      <w:r>
        <w:rPr>
          <w:rFonts w:ascii="Consolas" w:hAnsi="Consolas"/>
          <w:color w:val="1B2430"/>
          <w:sz w:val="17"/>
        </w:rPr>
        <w:br/>
      </w:r>
      <w:r>
        <w:rPr>
          <w:rFonts w:ascii="Consolas" w:hAnsi="Consolas"/>
          <w:color w:val="1B2430"/>
          <w:sz w:val="17"/>
        </w:rPr>
        <w:br/>
        <w:t>API = "http://localhost:8000"</w:t>
      </w:r>
      <w:r>
        <w:rPr>
          <w:rFonts w:ascii="Consolas" w:hAnsi="Consolas"/>
          <w:color w:val="1B2430"/>
          <w:sz w:val="17"/>
        </w:rPr>
        <w:br/>
      </w:r>
      <w:r>
        <w:rPr>
          <w:rFonts w:ascii="Consolas" w:hAnsi="Consolas"/>
          <w:color w:val="1B2430"/>
          <w:sz w:val="17"/>
        </w:rPr>
        <w:br/>
        <w:t># Ce que couvre le catalogue, avant de l'interroger</w:t>
      </w:r>
      <w:r>
        <w:rPr>
          <w:rFonts w:ascii="Consolas" w:hAnsi="Consolas"/>
          <w:color w:val="1B2430"/>
          <w:sz w:val="17"/>
        </w:rPr>
        <w:br/>
        <w:t>perimetre = httpx.get(f"{API}/metadata", params={"limit": 5}).json()</w:t>
      </w:r>
      <w:r>
        <w:rPr>
          <w:rFonts w:ascii="Consolas" w:hAnsi="Consolas"/>
          <w:color w:val="1B2430"/>
          <w:sz w:val="17"/>
        </w:rPr>
        <w:br/>
        <w:t>print(perimetre["corpus"]["cities"], perimetre["corpus"]["upcoming_events"])</w:t>
      </w:r>
      <w:r>
        <w:rPr>
          <w:rFonts w:ascii="Consolas" w:hAnsi="Consolas"/>
          <w:color w:val="1B2430"/>
          <w:sz w:val="17"/>
        </w:rPr>
        <w:br/>
      </w:r>
      <w:r>
        <w:rPr>
          <w:rFonts w:ascii="Consolas" w:hAnsi="Consolas"/>
          <w:color w:val="1B2430"/>
          <w:sz w:val="17"/>
        </w:rPr>
        <w:br/>
        <w:t># Poser une question</w:t>
      </w:r>
      <w:r>
        <w:rPr>
          <w:rFonts w:ascii="Consolas" w:hAnsi="Consolas"/>
          <w:color w:val="1B2430"/>
          <w:sz w:val="17"/>
        </w:rPr>
        <w:br/>
        <w:t>reponse = httpx.post(f"{API}/ask", timeout=90,</w:t>
      </w:r>
      <w:r>
        <w:rPr>
          <w:rFonts w:ascii="Consolas" w:hAnsi="Consolas"/>
          <w:color w:val="1B2430"/>
          <w:sz w:val="17"/>
        </w:rPr>
        <w:br/>
        <w:t xml:space="preserve">                     json={"question": "Un concert de jazz à Paris ?",</w:t>
      </w:r>
      <w:r>
        <w:rPr>
          <w:rFonts w:ascii="Consolas" w:hAnsi="Consolas"/>
          <w:color w:val="1B2430"/>
          <w:sz w:val="17"/>
        </w:rPr>
        <w:br/>
        <w:t xml:space="preserve">                           "top_k": 3})</w:t>
      </w:r>
      <w:r>
        <w:rPr>
          <w:rFonts w:ascii="Consolas" w:hAnsi="Consolas"/>
          <w:color w:val="1B2430"/>
          <w:sz w:val="17"/>
        </w:rPr>
        <w:br/>
        <w:t>reponse.raise_for_status()</w:t>
      </w:r>
      <w:r>
        <w:rPr>
          <w:rFonts w:ascii="Consolas" w:hAnsi="Consolas"/>
          <w:color w:val="1B2430"/>
          <w:sz w:val="17"/>
        </w:rPr>
        <w:br/>
        <w:t>resultat = reponse.json()</w:t>
      </w:r>
      <w:r>
        <w:rPr>
          <w:rFonts w:ascii="Consolas" w:hAnsi="Consolas"/>
          <w:color w:val="1B2430"/>
          <w:sz w:val="17"/>
        </w:rPr>
        <w:br/>
      </w:r>
      <w:r>
        <w:rPr>
          <w:rFonts w:ascii="Consolas" w:hAnsi="Consolas"/>
          <w:color w:val="1B2430"/>
          <w:sz w:val="17"/>
        </w:rPr>
        <w:br/>
        <w:t>print(resultat["answer"])</w:t>
      </w:r>
      <w:r>
        <w:rPr>
          <w:rFonts w:ascii="Consolas" w:hAnsi="Consolas"/>
          <w:color w:val="1B2430"/>
          <w:sz w:val="17"/>
        </w:rPr>
        <w:br/>
        <w:t>for source in resultat["sources"]:</w:t>
      </w:r>
      <w:r>
        <w:rPr>
          <w:rFonts w:ascii="Consolas" w:hAnsi="Consolas"/>
          <w:color w:val="1B2430"/>
          <w:sz w:val="17"/>
        </w:rPr>
        <w:br/>
        <w:t xml:space="preserve">    print(f'- {source["titre"]} — {source["periode"]} — {source["url"]}')</w:t>
      </w:r>
      <w:r>
        <w:rPr>
          <w:rFonts w:ascii="Consolas" w:hAnsi="Consolas"/>
          <w:color w:val="1B2430"/>
          <w:sz w:val="17"/>
        </w:rPr>
        <w:br/>
      </w:r>
      <w:r>
        <w:rPr>
          <w:rFonts w:ascii="Consolas" w:hAnsi="Consolas"/>
          <w:color w:val="1B2430"/>
          <w:sz w:val="17"/>
        </w:rPr>
        <w:br/>
        <w:t># Une liste non vide signale une anomalie détectée dans la réponse</w:t>
      </w:r>
      <w:r>
        <w:rPr>
          <w:rFonts w:ascii="Consolas" w:hAnsi="Consolas"/>
          <w:color w:val="1B2430"/>
          <w:sz w:val="17"/>
        </w:rPr>
        <w:br/>
        <w:t>if resultat["warnings"]:</w:t>
      </w:r>
      <w:r>
        <w:rPr>
          <w:rFonts w:ascii="Consolas" w:hAnsi="Consolas"/>
          <w:color w:val="1B2430"/>
          <w:sz w:val="17"/>
        </w:rPr>
        <w:br/>
        <w:t xml:space="preserve">    print("Avertissements :", resultat["warnings"])</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ou pagination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corpus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tests/test_ui.py</w:t>
            </w:r>
          </w:p>
        </w:tc>
        <w:tc>
          <w:tcPr>
            <w:tcW w:type="dxa" w:w="3173"/>
          </w:tcPr>
          <w:p>
            <w:pPr>
              <w:spacing w:after="40" w:line="264" w:lineRule="auto"/>
            </w:pPr>
            <w:r>
              <w:rPr>
                <w:rFonts w:ascii="Calibri" w:hAnsi="Calibri"/>
                <w:b w:val="0"/>
                <w:color w:val="3C4757"/>
                <w:sz w:val="18"/>
              </w:rPr>
              <w:t>Interface Streamlit : URL, erreurs, scénarios</w:t>
            </w:r>
          </w:p>
        </w:tc>
        <w:tc>
          <w:tcPr>
            <w:tcW w:type="dxa" w:w="3173"/>
          </w:tcPr>
          <w:p>
            <w:pPr>
              <w:spacing w:after="40" w:line="264" w:lineRule="auto"/>
            </w:pPr>
            <w:r>
              <w:rPr>
                <w:rFonts w:ascii="Calibri" w:hAnsi="Calibri"/>
                <w:b w:val="0"/>
                <w:color w:val="3C4757"/>
                <w:sz w:val="18"/>
              </w:rPr>
              <w:t>8</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101 tests, bancs d'évaluation et de robustesse reproductibles.</w:t>
      </w:r>
    </w:p>
    <w:p>
      <w:pPr>
        <w:keepNext/>
        <w:spacing w:before="260" w:after="80"/>
      </w:pPr>
      <w:r>
        <w:rPr>
          <w:rFonts w:ascii="Georgia" w:hAnsi="Georgia"/>
          <w:b/>
          <w:color w:val="1B2430"/>
          <w:sz w:val="24"/>
        </w:rPr>
        <w:t>Coût d'exploitation en production</w:t>
      </w:r>
    </w:p>
    <w:p>
      <w:pPr>
        <w:spacing w:after="140" w:line="293" w:lineRule="auto"/>
      </w:pPr>
      <w:r>
        <w:rPr>
          <w:rFonts w:ascii="Calibri" w:hAnsi="Calibri"/>
          <w:b w:val="0"/>
          <w:i w:val="0"/>
          <w:color w:val="3C4757"/>
          <w:sz w:val="21"/>
        </w:rPr>
        <w:t xml:space="preserve">Les volumes ne sont pas supposés : le corpus compte 989 965 caractères, soit environ 301 000 jetons au ratio de 3,29 caractères par jeton mesuré sur un prompt français réel. Une question consomme </w:t>
      </w:r>
      <w:r>
        <w:rPr>
          <w:rFonts w:ascii="Calibri" w:hAnsi="Calibri"/>
          <w:b/>
          <w:i w:val="0"/>
          <w:color w:val="3C4757"/>
          <w:sz w:val="21"/>
        </w:rPr>
        <w:t>1 804 jetons d'entrée et 196 de sortie</w:t>
      </w:r>
      <w:r>
        <w:rPr>
          <w:rFonts w:ascii="Calibri" w:hAnsi="Calibri"/>
          <w:b w:val="0"/>
          <w:i w:val="0"/>
          <w:color w:val="3C4757"/>
          <w:sz w:val="21"/>
        </w:rPr>
        <w:t>, relevés sur un appel effectif. `scripts/estimate_cost.py` reproduit ce calcul.</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POSTE</w:t>
            </w:r>
          </w:p>
        </w:tc>
        <w:tc>
          <w:tcPr>
            <w:tcW w:type="dxa" w:w="3173"/>
            <w:shd w:val="clear" w:fill="E9EDF2"/>
          </w:tcPr>
          <w:p>
            <w:pPr>
              <w:spacing w:after="40"/>
            </w:pPr>
            <w:r>
              <w:rPr>
                <w:rFonts w:ascii="Calibri" w:hAnsi="Calibri"/>
                <w:b/>
                <w:color w:val="5B6675"/>
                <w:sz w:val="15"/>
              </w:rPr>
              <w:t>VOLUME</w:t>
            </w:r>
          </w:p>
        </w:tc>
        <w:tc>
          <w:tcPr>
            <w:tcW w:type="dxa" w:w="3173"/>
            <w:shd w:val="clear" w:fill="E9EDF2"/>
          </w:tcPr>
          <w:p>
            <w:pPr>
              <w:spacing w:after="40"/>
            </w:pPr>
            <w:r>
              <w:rPr>
                <w:rFonts w:ascii="Calibri" w:hAnsi="Calibri"/>
                <w:b/>
                <w:color w:val="5B6675"/>
                <w:sz w:val="15"/>
              </w:rPr>
              <w:t>COÛT</w:t>
            </w:r>
          </w:p>
        </w:tc>
      </w:tr>
      <w:tr>
        <w:tc>
          <w:tcPr>
            <w:tcW w:type="dxa" w:w="3173"/>
          </w:tcPr>
          <w:p>
            <w:pPr>
              <w:spacing w:after="40" w:line="264" w:lineRule="auto"/>
            </w:pPr>
            <w:r>
              <w:rPr>
                <w:rFonts w:ascii="Calibri" w:hAnsi="Calibri"/>
                <w:b/>
                <w:color w:val="1B2430"/>
                <w:sz w:val="18"/>
              </w:rPr>
              <w:t>Reconstruction complète de l'index</w:t>
            </w:r>
          </w:p>
        </w:tc>
        <w:tc>
          <w:tcPr>
            <w:tcW w:type="dxa" w:w="3173"/>
          </w:tcPr>
          <w:p>
            <w:pPr>
              <w:spacing w:after="40" w:line="264" w:lineRule="auto"/>
            </w:pPr>
            <w:r>
              <w:rPr>
                <w:rFonts w:ascii="Calibri" w:hAnsi="Calibri"/>
                <w:b w:val="0"/>
                <w:color w:val="3C4757"/>
                <w:sz w:val="18"/>
              </w:rPr>
              <w:t>301 000 jetons d'embedding</w:t>
            </w:r>
          </w:p>
        </w:tc>
        <w:tc>
          <w:tcPr>
            <w:tcW w:type="dxa" w:w="3173"/>
          </w:tcPr>
          <w:p>
            <w:pPr>
              <w:spacing w:after="40" w:line="264" w:lineRule="auto"/>
            </w:pPr>
            <w:r>
              <w:rPr>
                <w:rFonts w:ascii="Calibri" w:hAnsi="Calibri"/>
                <w:b w:val="0"/>
                <w:color w:val="3C4757"/>
                <w:sz w:val="18"/>
              </w:rPr>
              <w:t>0,030 $</w:t>
            </w:r>
          </w:p>
        </w:tc>
      </w:tr>
      <w:tr>
        <w:tc>
          <w:tcPr>
            <w:tcW w:type="dxa" w:w="3173"/>
          </w:tcPr>
          <w:p>
            <w:pPr>
              <w:spacing w:after="40" w:line="264" w:lineRule="auto"/>
            </w:pPr>
            <w:r>
              <w:rPr>
                <w:rFonts w:ascii="Calibri" w:hAnsi="Calibri"/>
                <w:b/>
                <w:color w:val="1B2430"/>
                <w:sz w:val="18"/>
              </w:rPr>
              <w:t>Une question</w:t>
            </w:r>
          </w:p>
        </w:tc>
        <w:tc>
          <w:tcPr>
            <w:tcW w:type="dxa" w:w="3173"/>
          </w:tcPr>
          <w:p>
            <w:pPr>
              <w:spacing w:after="40" w:line="264" w:lineRule="auto"/>
            </w:pPr>
            <w:r>
              <w:rPr>
                <w:rFonts w:ascii="Calibri" w:hAnsi="Calibri"/>
                <w:b w:val="0"/>
                <w:color w:val="3C4757"/>
                <w:sz w:val="18"/>
              </w:rPr>
              <w:t>1 804 + 196 jetons</w:t>
            </w:r>
          </w:p>
        </w:tc>
        <w:tc>
          <w:tcPr>
            <w:tcW w:type="dxa" w:w="3173"/>
          </w:tcPr>
          <w:p>
            <w:pPr>
              <w:spacing w:after="40" w:line="264" w:lineRule="auto"/>
            </w:pPr>
            <w:r>
              <w:rPr>
                <w:rFonts w:ascii="Calibri" w:hAnsi="Calibri"/>
                <w:b w:val="0"/>
                <w:color w:val="3C4757"/>
                <w:sz w:val="18"/>
              </w:rPr>
              <w:t>0,000389 $</w:t>
            </w:r>
          </w:p>
        </w:tc>
      </w:tr>
      <w:tr>
        <w:tc>
          <w:tcPr>
            <w:tcW w:type="dxa" w:w="3173"/>
          </w:tcPr>
          <w:p>
            <w:pPr>
              <w:spacing w:after="40" w:line="264" w:lineRule="auto"/>
            </w:pPr>
            <w:r>
              <w:rPr>
                <w:rFonts w:ascii="Calibri" w:hAnsi="Calibri"/>
                <w:b/>
                <w:color w:val="1B2430"/>
                <w:sz w:val="18"/>
              </w:rPr>
              <w:t>1 000 questions</w:t>
            </w:r>
          </w:p>
        </w:tc>
        <w:tc>
          <w:tcPr>
            <w:tcW w:type="dxa" w:w="3173"/>
          </w:tcPr>
          <w:p>
            <w:pPr>
              <w:spacing w:after="40" w:line="264" w:lineRule="auto"/>
            </w:pPr>
          </w:p>
        </w:tc>
        <w:tc>
          <w:tcPr>
            <w:tcW w:type="dxa" w:w="3173"/>
          </w:tcPr>
          <w:p>
            <w:pPr>
              <w:spacing w:after="40" w:line="264" w:lineRule="auto"/>
            </w:pPr>
            <w:r>
              <w:rPr>
                <w:rFonts w:ascii="Calibri" w:hAnsi="Calibri"/>
                <w:b w:val="0"/>
                <w:color w:val="3C4757"/>
                <w:sz w:val="18"/>
              </w:rPr>
              <w:t>0,39 $</w:t>
            </w:r>
          </w:p>
        </w:tc>
      </w:tr>
    </w:tbl>
    <w:p>
      <w:pPr>
        <w:spacing w:after="80"/>
      </w:pP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QUESTIONS PAR JOUR</w:t>
            </w:r>
          </w:p>
        </w:tc>
        <w:tc>
          <w:tcPr>
            <w:tcW w:type="dxa" w:w="3173"/>
            <w:shd w:val="clear" w:fill="E9EDF2"/>
          </w:tcPr>
          <w:p>
            <w:pPr>
              <w:spacing w:after="40"/>
            </w:pPr>
            <w:r>
              <w:rPr>
                <w:rFonts w:ascii="Calibri" w:hAnsi="Calibri"/>
                <w:b/>
                <w:color w:val="5B6675"/>
                <w:sz w:val="15"/>
              </w:rPr>
              <w:t>GÉNÉRATION PAR MOIS</w:t>
            </w:r>
          </w:p>
        </w:tc>
        <w:tc>
          <w:tcPr>
            <w:tcW w:type="dxa" w:w="3173"/>
            <w:shd w:val="clear" w:fill="E9EDF2"/>
          </w:tcPr>
          <w:p>
            <w:pPr>
              <w:spacing w:after="40"/>
            </w:pPr>
            <w:r>
              <w:rPr>
                <w:rFonts w:ascii="Calibri" w:hAnsi="Calibri"/>
                <w:b/>
                <w:color w:val="5B6675"/>
                <w:sz w:val="15"/>
              </w:rPr>
              <w:t>TOTAL MENSUEL</w:t>
            </w:r>
          </w:p>
        </w:tc>
      </w:tr>
      <w:tr>
        <w:tc>
          <w:tcPr>
            <w:tcW w:type="dxa" w:w="3173"/>
          </w:tcPr>
          <w:p>
            <w:pPr>
              <w:spacing w:after="40" w:line="264" w:lineRule="auto"/>
            </w:pPr>
            <w:r>
              <w:rPr>
                <w:rFonts w:ascii="Calibri" w:hAnsi="Calibri"/>
                <w:b/>
                <w:color w:val="1B2430"/>
                <w:sz w:val="18"/>
              </w:rPr>
              <w:t>100</w:t>
            </w:r>
          </w:p>
        </w:tc>
        <w:tc>
          <w:tcPr>
            <w:tcW w:type="dxa" w:w="3173"/>
          </w:tcPr>
          <w:p>
            <w:pPr>
              <w:spacing w:after="40" w:line="264" w:lineRule="auto"/>
            </w:pPr>
            <w:r>
              <w:rPr>
                <w:rFonts w:ascii="Calibri" w:hAnsi="Calibri"/>
                <w:b w:val="0"/>
                <w:color w:val="3C4757"/>
                <w:sz w:val="18"/>
              </w:rPr>
              <w:t>1,17 $</w:t>
            </w:r>
          </w:p>
        </w:tc>
        <w:tc>
          <w:tcPr>
            <w:tcW w:type="dxa" w:w="3173"/>
          </w:tcPr>
          <w:p>
            <w:pPr>
              <w:spacing w:after="40" w:line="264" w:lineRule="auto"/>
            </w:pPr>
            <w:r>
              <w:rPr>
                <w:rFonts w:ascii="Calibri" w:hAnsi="Calibri"/>
                <w:b w:val="0"/>
                <w:color w:val="3C4757"/>
                <w:sz w:val="18"/>
              </w:rPr>
              <w:t>2,07 $</w:t>
            </w:r>
          </w:p>
        </w:tc>
      </w:tr>
      <w:tr>
        <w:tc>
          <w:tcPr>
            <w:tcW w:type="dxa" w:w="3173"/>
          </w:tcPr>
          <w:p>
            <w:pPr>
              <w:spacing w:after="40" w:line="264" w:lineRule="auto"/>
            </w:pPr>
            <w:r>
              <w:rPr>
                <w:rFonts w:ascii="Calibri" w:hAnsi="Calibri"/>
                <w:b/>
                <w:color w:val="1B2430"/>
                <w:sz w:val="18"/>
              </w:rPr>
              <w:t>1 000</w:t>
            </w:r>
          </w:p>
        </w:tc>
        <w:tc>
          <w:tcPr>
            <w:tcW w:type="dxa" w:w="3173"/>
          </w:tcPr>
          <w:p>
            <w:pPr>
              <w:spacing w:after="40" w:line="264" w:lineRule="auto"/>
            </w:pPr>
            <w:r>
              <w:rPr>
                <w:rFonts w:ascii="Calibri" w:hAnsi="Calibri"/>
                <w:b w:val="0"/>
                <w:color w:val="3C4757"/>
                <w:sz w:val="18"/>
              </w:rPr>
              <w:t>11,68 $</w:t>
            </w:r>
          </w:p>
        </w:tc>
        <w:tc>
          <w:tcPr>
            <w:tcW w:type="dxa" w:w="3173"/>
          </w:tcPr>
          <w:p>
            <w:pPr>
              <w:spacing w:after="40" w:line="264" w:lineRule="auto"/>
            </w:pPr>
            <w:r>
              <w:rPr>
                <w:rFonts w:ascii="Calibri" w:hAnsi="Calibri"/>
                <w:b w:val="0"/>
                <w:color w:val="3C4757"/>
                <w:sz w:val="18"/>
              </w:rPr>
              <w:t>12,58 $</w:t>
            </w:r>
          </w:p>
        </w:tc>
      </w:tr>
      <w:tr>
        <w:tc>
          <w:tcPr>
            <w:tcW w:type="dxa" w:w="3173"/>
          </w:tcPr>
          <w:p>
            <w:pPr>
              <w:spacing w:after="40" w:line="264" w:lineRule="auto"/>
            </w:pPr>
            <w:r>
              <w:rPr>
                <w:rFonts w:ascii="Calibri" w:hAnsi="Calibri"/>
                <w:b/>
                <w:color w:val="1B2430"/>
                <w:sz w:val="18"/>
              </w:rPr>
              <w:t>10 000</w:t>
            </w:r>
          </w:p>
        </w:tc>
        <w:tc>
          <w:tcPr>
            <w:tcW w:type="dxa" w:w="3173"/>
          </w:tcPr>
          <w:p>
            <w:pPr>
              <w:spacing w:after="40" w:line="264" w:lineRule="auto"/>
            </w:pPr>
            <w:r>
              <w:rPr>
                <w:rFonts w:ascii="Calibri" w:hAnsi="Calibri"/>
                <w:b w:val="0"/>
                <w:color w:val="3C4757"/>
                <w:sz w:val="18"/>
              </w:rPr>
              <w:t>116,82 $</w:t>
            </w:r>
          </w:p>
        </w:tc>
        <w:tc>
          <w:tcPr>
            <w:tcW w:type="dxa" w:w="3173"/>
          </w:tcPr>
          <w:p>
            <w:pPr>
              <w:spacing w:after="40" w:line="264" w:lineRule="auto"/>
            </w:pPr>
            <w:r>
              <w:rPr>
                <w:rFonts w:ascii="Calibri" w:hAnsi="Calibri"/>
                <w:b w:val="0"/>
                <w:color w:val="3C4757"/>
                <w:sz w:val="18"/>
              </w:rPr>
              <w:t>117,72 $</w:t>
            </w:r>
          </w:p>
        </w:tc>
      </w:tr>
      <w:tr>
        <w:tc>
          <w:tcPr>
            <w:tcW w:type="dxa" w:w="3173"/>
          </w:tcPr>
          <w:p>
            <w:pPr>
              <w:spacing w:after="40" w:line="264" w:lineRule="auto"/>
            </w:pPr>
            <w:r>
              <w:rPr>
                <w:rFonts w:ascii="Calibri" w:hAnsi="Calibri"/>
                <w:b/>
                <w:color w:val="1B2430"/>
                <w:sz w:val="18"/>
              </w:rPr>
              <w:t>100 000</w:t>
            </w:r>
          </w:p>
        </w:tc>
        <w:tc>
          <w:tcPr>
            <w:tcW w:type="dxa" w:w="3173"/>
          </w:tcPr>
          <w:p>
            <w:pPr>
              <w:spacing w:after="40" w:line="264" w:lineRule="auto"/>
            </w:pPr>
            <w:r>
              <w:rPr>
                <w:rFonts w:ascii="Calibri" w:hAnsi="Calibri"/>
                <w:b w:val="0"/>
                <w:color w:val="3C4757"/>
                <w:sz w:val="18"/>
              </w:rPr>
              <w:t>1 168,20 $</w:t>
            </w:r>
          </w:p>
        </w:tc>
        <w:tc>
          <w:tcPr>
            <w:tcW w:type="dxa" w:w="3173"/>
          </w:tcPr>
          <w:p>
            <w:pPr>
              <w:spacing w:after="40" w:line="264" w:lineRule="auto"/>
            </w:pPr>
            <w:r>
              <w:rPr>
                <w:rFonts w:ascii="Calibri" w:hAnsi="Calibri"/>
                <w:b w:val="0"/>
                <w:color w:val="3C4757"/>
                <w:sz w:val="18"/>
              </w:rPr>
              <w:t>1 169,10 $</w:t>
            </w:r>
          </w:p>
        </w:tc>
      </w:tr>
    </w:tbl>
    <w:p>
      <w:pPr>
        <w:spacing w:after="80"/>
      </w:pPr>
    </w:p>
    <w:p>
      <w:pPr>
        <w:spacing w:after="140" w:line="293" w:lineRule="auto"/>
      </w:pPr>
      <w:r>
        <w:rPr>
          <w:rFonts w:ascii="Calibri" w:hAnsi="Calibri"/>
          <w:b w:val="0"/>
          <w:i w:val="0"/>
          <w:color w:val="3C4757"/>
          <w:sz w:val="21"/>
        </w:rPr>
        <w:t xml:space="preserve">Reconstruction quotidienne comprise. À l'échelle du POC, </w:t>
      </w:r>
      <w:r>
        <w:rPr>
          <w:rFonts w:ascii="Calibri" w:hAnsi="Calibri"/>
          <w:b/>
          <w:i w:val="0"/>
          <w:color w:val="3C4757"/>
          <w:sz w:val="21"/>
        </w:rPr>
        <w:t>le coût des modèles n'est pas un obstacle</w:t>
      </w:r>
      <w:r>
        <w:rPr>
          <w:rFonts w:ascii="Calibri" w:hAnsi="Calibri"/>
          <w:b w:val="0"/>
          <w:i w:val="0"/>
          <w:color w:val="3C4757"/>
          <w:sz w:val="21"/>
        </w:rPr>
        <w:t xml:space="preserve"> : servir mille questions par jour revient à une douzaine de dollars par mois, moins que l'hébergement du conteneur.</w:t>
      </w:r>
    </w:p>
    <w:p>
      <w:pPr>
        <w:spacing w:before="160" w:after="40"/>
        <w:ind w:left="170"/>
        <w:shd w:val="clear" w:fill="FBF3EF"/>
        <w:pBdr>
          <w:left w:val="single" w:sz="18" w:space="8" w:color="B8420F"/>
        </w:pBdr>
      </w:pPr>
      <w:r>
        <w:rPr>
          <w:rFonts w:ascii="Calibri" w:hAnsi="Calibri"/>
          <w:b/>
          <w:color w:val="B8420F"/>
          <w:sz w:val="16"/>
        </w:rPr>
        <w:t>LE POINT DE BASCULE</w:t>
      </w:r>
    </w:p>
    <w:p>
      <w:pPr>
        <w:spacing w:after="200" w:line="288" w:lineRule="auto"/>
        <w:ind w:left="170"/>
        <w:shd w:val="clear" w:fill="FBF3EF"/>
        <w:pBdr>
          <w:left w:val="single" w:sz="18" w:space="8" w:color="B8420F"/>
        </w:pBdr>
      </w:pPr>
      <w:r>
        <w:rPr>
          <w:rFonts w:ascii="Calibri" w:hAnsi="Calibri"/>
          <w:b w:val="0"/>
          <w:color w:val="3C4757"/>
          <w:sz w:val="20"/>
        </w:rPr>
        <w:t xml:space="preserve">Étendre le catalogue à la France entière change la nature du problème : 1 233 842 événements représentent environ </w:t>
      </w:r>
      <w:r>
        <w:rPr>
          <w:rFonts w:ascii="Calibri" w:hAnsi="Calibri"/>
          <w:b/>
          <w:color w:val="3C4757"/>
          <w:sz w:val="20"/>
        </w:rPr>
        <w:t>414 millions de jetons</w:t>
      </w:r>
      <w:r>
        <w:rPr>
          <w:rFonts w:ascii="Calibri" w:hAnsi="Calibri"/>
          <w:b w:val="0"/>
          <w:color w:val="3C4757"/>
          <w:sz w:val="20"/>
        </w:rPr>
        <w:t xml:space="preserve">, soit </w:t>
      </w:r>
      <w:r>
        <w:rPr>
          <w:rFonts w:ascii="Calibri" w:hAnsi="Calibri"/>
          <w:b/>
          <w:color w:val="3C4757"/>
          <w:sz w:val="20"/>
        </w:rPr>
        <w:t>41 $ par reconstruction complète</w:t>
      </w:r>
      <w:r>
        <w:rPr>
          <w:rFonts w:ascii="Calibri" w:hAnsi="Calibri"/>
          <w:b w:val="0"/>
          <w:color w:val="3C4757"/>
          <w:sz w:val="20"/>
        </w:rPr>
        <w:t xml:space="preserve"> et </w:t>
      </w:r>
      <w:r>
        <w:rPr>
          <w:rFonts w:ascii="Calibri" w:hAnsi="Calibri"/>
          <w:b/>
          <w:color w:val="3C4757"/>
          <w:sz w:val="20"/>
        </w:rPr>
        <w:t>1 243 $ par mois</w:t>
      </w:r>
      <w:r>
        <w:rPr>
          <w:rFonts w:ascii="Calibri" w:hAnsi="Calibri"/>
          <w:b w:val="0"/>
          <w:color w:val="3C4757"/>
          <w:sz w:val="20"/>
        </w:rPr>
        <w:t xml:space="preserve"> si elle est quotidienne. L'indexation incrémentale — ne vectoriser que les événements nouveaux ou modifiés — cesse alors d'être un raffinement pour devenir la condition de viabilité économique.</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49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