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57" w:rsidRPr="00EB6C19" w:rsidRDefault="00EB6C19">
      <w:pPr>
        <w:spacing w:after="0"/>
        <w:jc w:val="center"/>
        <w:rPr>
          <w:lang w:val="ru-RU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7A7C64C7" wp14:editId="113329CC">
            <wp:simplePos x="0" y="0"/>
            <wp:positionH relativeFrom="margin">
              <wp:posOffset>809625</wp:posOffset>
            </wp:positionH>
            <wp:positionV relativeFrom="paragraph">
              <wp:posOffset>633095</wp:posOffset>
            </wp:positionV>
            <wp:extent cx="4858385" cy="2298700"/>
            <wp:effectExtent l="0" t="0" r="0" b="6350"/>
            <wp:wrapTopAndBottom/>
            <wp:docPr id="1" name="Рисунок 1" descr="LOGO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" r="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5A041C">
        <w:rPr>
          <w:b/>
          <w:sz w:val="56"/>
        </w:rPr>
        <w:t>ЛЕНИНСКИЙ МЕМОРИАЛ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F1485" wp14:editId="41A2FF4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0750" cy="0"/>
                <wp:effectExtent l="0" t="1905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9D7AE" id="Прямая соединительная линия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72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QEgIAAEsEAAAOAAAAZHJzL2Uyb0RvYy54bWysVMuO0zAU3SPxD5b3NGmlzoyiprOYqmwQ&#10;VDw+wHXsxpJfsk3T7oA1Uj+BX2AB0kgz8A3JH3HttBmYQUIgNo7te8+59xzbmV3ulERb5rwwusTj&#10;UY4R09RUQm9K/Ob18skFRj4QXRFpNCvxnnl8OX/8aNbYgk1MbWTFHAIS7YvGlrgOwRZZ5mnNFPEj&#10;Y5mGIDdOkQBLt8kqRxpgVzKb5PlZ1hhXWWco8x52F30QzxM/54yGF5x7FpAsMfQW0ujSuI5jNp+R&#10;YuOIrQU9tkH+oQtFhIaiA9WCBILeOvGASgnqjDc8jKhRmeFcUJY0gJpxfk/Nq5pYlrSAOd4ONvn/&#10;R0ufb1cOiQrODuzRRMEZtZ+6d92hvW0/dwfUvW+/t1/bL+11+6297j7A/Kb7CPMYbG+O2wcEcPCy&#10;sb4Ayiu9cseVtysXjdlxp+IXJKNd8n8/+M92AVHYPMvz/HwKfdBTLLsDWufDU2YUipMSS6GjNaQg&#10;22c+QDFIPaXEbalRU+LJxfR8mtK8kaJaCilj0LvN+ko6tCVwLZZLKJu6B4pf0iLfgvi6z0uhKBLS&#10;pIZPFNvLS7Owl6yv/JJxsBQEjfvS8TKzoR6hlOkwHpggO8I49DYA8z8Dj/kRytJF/xvwgEiVjQ4D&#10;WAlt3O+qh92pZd7nnxzodUcL1qbap4NP1sCNTV4dX1d8Ej+vE/zuHzD/AQAA//8DAFBLAwQUAAYA&#10;CAAAACEAr3PX2doAAAAEAQAADwAAAGRycy9kb3ducmV2LnhtbEyPS0/DMBCE70j9D9ZW4kYdykMl&#10;xKnaCm5IqOHRqxsvcdR4HcVu6v57Fi5w2h3NavabYplcJ0YcQutJwfUsA4FUe9NSo+D97flqASJE&#10;TUZ3nlDBGQMsy8lFoXPjT7TFsYqN4BAKuVZgY+xzKUNt0ekw8z0Se19+cDqyHBppBn3icNfJeZbd&#10;S6db4g9W97ixWB+qo1OQPhcru3uJ6yf/8WoPaVe5cX5W6nKaVo8gIqb4dww/+IwOJTPt/ZFMEJ0C&#10;LhIV3PBg8+H2jpf9r5ZlIf/Dl98AAAD//wMAUEsBAi0AFAAGAAgAAAAhALaDOJL+AAAA4QEAABMA&#10;AAAAAAAAAAAAAAAAAAAAAFtDb250ZW50X1R5cGVzXS54bWxQSwECLQAUAAYACAAAACEAOP0h/9YA&#10;AACUAQAACwAAAAAAAAAAAAAAAAAvAQAAX3JlbHMvLnJlbHNQSwECLQAUAAYACAAAACEA+64dEBIC&#10;AABLBAAADgAAAAAAAAAAAAAAAAAuAgAAZHJzL2Uyb0RvYy54bWxQSwECLQAUAAYACAAAACEAr3PX&#10;2doAAAAEAQAADwAAAAAAAAAAAAAAAABsBAAAZHJzL2Rvd25yZXYueG1sUEsFBgAAAAAEAAQA8wAA&#10;AHMFAAAAAA==&#10;" strokecolor="red" strokeweight="2.25pt"/>
            </w:pict>
          </mc:Fallback>
        </mc:AlternateContent>
      </w:r>
    </w:p>
    <w:p w:rsidR="00C00357" w:rsidRPr="00EB6C19" w:rsidRDefault="00EB6C19">
      <w:pPr>
        <w:spacing w:after="240"/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Мультимедийные комплексы №38–42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СЦЕНАРИИ ОБУЧАЮЩИХ ВИДЕОРОЛИКОВ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i/>
          <w:iCs/>
          <w:lang w:val="ru-RU"/>
        </w:rPr>
        <w:t xml:space="preserve">Рабочий документ для записи обучающих материалов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Default="00C00357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Pr="00EB6C19" w:rsidRDefault="00EB6C19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г. Санкт-Петербург</w:t>
      </w: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2026 г.</w:t>
      </w:r>
    </w:p>
    <w:p w:rsidR="00C00357" w:rsidRPr="00EB6C19" w:rsidRDefault="00EB6C19">
      <w:pPr>
        <w:rPr>
          <w:lang w:val="ru-RU"/>
        </w:rPr>
      </w:pPr>
      <w:r w:rsidRPr="00EB6C19">
        <w:rPr>
          <w:lang w:val="ru-RU"/>
        </w:rP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АННОТАЦИЯ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Документ содержит сценарии обучающих видеороликов, передаваемых вместе с пользовательскими инструкциями мультимедийных комплексов №38–42.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Ролики представляют собой запись экрана комплекса с голосовым сопровождением. Формат записи — MP4 (H.264), разрешение 1920×1080, звук — моно, 48 кГц. Запись ведётся с работающего комплекса на целевом экране 3840×2160 с последующим уменьшением.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Сценарии одинаковы по структуре для всех пяти комплексов; различаются перечень и содержание экранов (ролик №2) и состав данных (ролик №6).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</w:r>
      <w:fldSimple w:instr="TOC \o &quot;1-2&quot; \h \z \u">
        <w:r>
          <w:t>Оглавление формируется в Word: «Ссылки» → «Обновить таблицу».</w:t>
        </w:r>
      </w:fldSimple>
    </w:p>
    <w:p>
      <w:r>
        <w:br w:type="page"/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Общие правила записи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Запись ведётся непрерывно, без монтажных склеек внутри одного действия: сотрудник музея должен видеть отклик комплекса в реальном времени.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Курсор мыши не используется — все действия выполняются касанием; в записи касания обозначаются кружком-указателем.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Голосовое сопровождение читается в спокойном темпе; текст сопровождения приведён в сценарии.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Каждый ролик начинается с заставки: обозначение комплекса, номер и название ролика.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 конце ролика — краткое повторение порядка действий текстом на экране.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Сценарии роликов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2.1. Ролик №1. Включение и выключение комплекса (около 2 мин)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Общий вид киоска в экспозиции, выключенный экран.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Включение дисплея и системного блока; показ загрузки операционной системы.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Автоматический запуск комплекса, заставка готовности с полосой загрузки.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Появление основного экрана — комплекс готов к работе.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5) Запуск вручную ярлыком на рабочем столе (если комплекс был закрыт).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6) Завершение работы: Alt+F4, выключение системы, выключение дисплея.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2.2. Ролик №2. Экраны комплекса (около 6 мин)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Показ основного экрана, названия и назначения.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Последовательный переход по всем экранам стрелками — с пояснением, что показывает каждый.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Переход точками-указателями и смахиванием пальцем.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Пояснение: экраны не перезагружаются, переход мгновенный.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2.3. Ролик №3. Работа с содержанием (около 3 мин)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Открытие карточки объекта касанием; разбор её состава.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Закрытие карточки тремя способами.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Применение фильтров; сброс фильтров.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Прокрутка списка протягиванием пальца; показ полосы прокрутки.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5) Увеличение и перемещение изображения там, где это предусмотрено; показ подсказки жеста.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2.4. Ролик №4. Языки и режим для слабовидящих (около 2 мин)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Переключение языка интерфейса: РУС — ENG — 中文; что именно меняется.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Пояснение: перевод содержания выполняется по отдельному согласованию с музеем.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Включение режима для слабовидящих; показ изменений — кегль, контраст, размеры кнопок.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Выключение режима; автоматический возврат при бездействии.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2.5. Ролик №5. Служебная панель (около 4 мин)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Вход в панель: адрес с признаком ?service=1 и тройное касание заголовка.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Разбор параметров по порядку с показом действия каждого на экране.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Изменение времени до режима ожидания и проверка результата.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Сброс параметров к значениям при поставке.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5) Выгрузка служебного журнала.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2.6. Ролик №6. Обновление содержания (около 4 мин)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Где хранятся файлы данных и изображения комплекса.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Открытие файла данных в текстовом редакторе; разбор структуры записи.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Добавление одной записи и сохранение файла.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Добавление изображения с соблюдением правил именования.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5) Перезапуск комплекса и проверка результата.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6) Что делать, если изменения не отобразились.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2.7. Ролик №7. Типовые неисправности (около 3 мин)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Чёрный экран после включения — порядок действий.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Экран не реагирует на касание — проверка подключения сенсорной рамки.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Изображение не на весь экран — перезапуск ярлыком.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Прямоугольники вместо надписей — восстановление шрифтов из архива.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5) Изображение застыло — автоматический перезапуск экрана и действия сотрудника.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6) Когда обращаться к разработчику и какие сведения передать.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Особенности по комплексам (ролик №2)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3.1. МТК №38. «На языках мира»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Число экранов — 9. Порядок показа: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«Постер» — Статичная типографическая композиция из написаний слова «Ленин». Касание написания открывает карточку языка.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«Облако» — Медленно перестраивающееся облако написаний; плотность и скорость задаются в служебной панели.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«Дождь» — Написания падают сверху вниз; касание останавливает написание и открывает карточку.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«Лента» — Горизонтальная бегущая строка написаний с возможностью протягивания пальцем.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«Каталог» — Сетка карточек языков с фильтрами по письменности и языковой семье; полоса прокрутки видна постоянно.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«Арт-объект» — Основная сцена: семь сменных композиций написаний, переключение по кругу с кроссфейдом.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«Глобус» — Вращаемый пальцем трёхмерный шар; написания размещены по странам основного распространения языка.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«Дождь (художественный)» — Вариант сцены «Дождь» повышенного качества рендеринга для показа на 4К-экране.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«Карта распространения» — Векторная карта мира (проекция Винкеля III): 51 точка изданий и маршруты распространения текстов.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3.2. МТК №39. «Имени Ленина»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Число экранов — 7. Порядок показа: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«Мир» — Трёхмерный шар с точками объектов, разворачивающийся в плоскую карту мира.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«Карта СССР» — Карта пятнадцати союзных республик с распределением объектов.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«Столетие имени» — Анимация появления и переименования объектов на отрезке 1900–2025 годов.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«Гербарий улиц» — Подлинные контуры 210 улиц имени Ленина, приведённые к одному масштабу.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«Картотека» — Полный список 1 203 объектов с фильтрами по типу, стране и состоянию.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«Статистика» — Сводные показатели: типы объектов, страны, годы наименования.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«Глобус избранного» — Шар с 64 опорными объектами технического задания; у каждого — карточка с фотографией.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3.3. МТК №40. «Библиотека»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Число экранов — 7. Порядок показа: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«Полка» — Книжная полка: корешки изданий, толщина и высота которых пропорциональны реальному объёму.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«Зеркало» — Сопоставление двух корпусов — «им написано» и «о нём написано» — по годам.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«Лента времени» — Издания на временной оси от античности до 2018 года.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«Картотека» — Список изданий с фильтрами по корпусу, типу, языку и году.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«Созвездие влияний» — Граф из 15 документированных связей «что читал → что написал».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«География изданий» — Векторная карта первых изданий: 16 городов.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«Объём написанного» — Наглядное представление объёма корпуса: 90 402 страницы, 55 томов Полного собрания сочинений.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3.4. МТК №41. «Скульптуры»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Число экранов — 7. Порядок показа: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«Карта» — Векторная карта мира с точками памятников; фильтры по стране, периоду и состоянию.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«Хронология» — Памятники на временной оси 1919–2024 годов.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«Скульпторы» — Авторы и их работы; переход от автора к карточкам памятников.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«В одном масштабе» — Сопоставление памятников по высоте, три способа просмотра.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«Силуэты» — Обобщённые силуэты памятников, приведённые к общей линии горизонта.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«Три шкалы» — Сопоставление по высоте фигуры, высоте постамента и общей высоте.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«Иконостас» — Сетка кураторских фотографий памятников с переходом в карточку.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3.5. МТК №42. «Апогей»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Число экранов — 4. Порядок показа: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«Картотека персон» — 140 персоналий шести эпох с фильтрами по категории и эпохе; карточка с портретом и цитатой.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«Маятник оценок» — Двумерная диаграмма «год × тон высказывания»: от резкого отрицания до почитания.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«Лента времени институций» — Открытие, преобразование и закрытие ленинских музеев на временной оси 1923–2026 годов.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«Карта институций» — Векторная карта мира с 56 музеями; цвет точки соответствует состоянию музея.</w:t>
      </w:r>
    </w:p>
    <w:sectPr w:rsidR="00C00357" w:rsidRPr="00EB6C19"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ngsuh">
    <w:altName w:val="Borjom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357"/>
    <w:rsid w:val="00C00357"/>
    <w:rsid w:val="00EB6C19"/>
    <w:rsid w:val="00FA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C273"/>
  <w15:docId w15:val="{F89FEA15-92E1-44BC-B2E3-A6DB0EDB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ko-K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 w:after="120"/>
    </w:pPr>
    <w:rPr>
      <w:rFonts w:ascii="Times New Roman" w:hAnsi="Times New Roman" w:cs="Times New Roman" w:eastAsia="Times New Roman"/>
      <w:sz w:val="24"/>
    </w:rPr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EB6C19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B6C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B6C19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EB6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Oleg</cp:lastModifiedBy>
  <cp:revision>2</cp:revision>
  <dcterms:created xsi:type="dcterms:W3CDTF">2026-08-03T13:10:00Z</dcterms:created>
  <dcterms:modified xsi:type="dcterms:W3CDTF">2026-08-03T13:27:00Z</dcterms:modified>
</cp:coreProperties>
</file>