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0357" w:rsidRPr="00EB6C19" w:rsidRDefault="00EB6C19">
      <w:pPr>
        <w:spacing w:after="0"/>
        <w:jc w:val="center"/>
        <w:rPr>
          <w:lang w:val="ru-RU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59264" behindDoc="0" locked="0" layoutInCell="1" allowOverlap="1" wp14:anchorId="7A7C64C7" wp14:editId="113329CC">
            <wp:simplePos x="0" y="0"/>
            <wp:positionH relativeFrom="margin">
              <wp:posOffset>809625</wp:posOffset>
            </wp:positionH>
            <wp:positionV relativeFrom="paragraph">
              <wp:posOffset>633095</wp:posOffset>
            </wp:positionV>
            <wp:extent cx="4858385" cy="2298700"/>
            <wp:effectExtent l="0" t="0" r="0" b="6350"/>
            <wp:wrapTopAndBottom/>
            <wp:docPr id="1" name="Рисунок 1" descr="LOGO 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R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4" r="19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385" cy="229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Pr="005A041C">
        <w:rPr>
          <w:b/>
          <w:sz w:val="56"/>
        </w:rPr>
        <w:t>ЛЕНИНСКИЙ МЕМОРИАЛ</w:t>
      </w: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EB6C19">
      <w:pPr>
        <w:spacing w:after="0"/>
        <w:rPr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5F1485" wp14:editId="41A2FF45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6000750" cy="0"/>
                <wp:effectExtent l="0" t="19050" r="19050" b="19050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075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D9D7AE" id="Прямая соединительная линия 10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5pt" to="472.5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" strokecolor="red" strokeweight="2.25pt"/>
            </w:pict>
          </mc:Fallback>
        </mc:AlternateContent>
      </w:r>
    </w:p>
    <w:p w:rsidR="00C00357" w:rsidRPr="00EB6C19" w:rsidRDefault="00EB6C19">
      <w:pPr>
        <w:spacing w:after="240"/>
        <w:jc w:val="center"/>
        <w:rPr>
          <w:lang w:val="ru-RU"/>
        </w:rPr>
      </w:pPr>
      <w:r w:rsidRPr="00EB6C19">
        <w:rPr>
          <w:b/>
          <w:bCs/>
          <w:sz w:val="32"/>
          <w:szCs w:val="32"/>
          <w:lang w:val="ru-RU"/>
        </w:rPr>
        <w:t xml:space="preserve">МТК №38. «На языках мира»</w:t>
      </w:r>
    </w:p>
    <w:p w:rsidR="00C00357" w:rsidRPr="00EB6C19" w:rsidRDefault="00EB6C19">
      <w:pPr>
        <w:jc w:val="center"/>
        <w:rPr>
          <w:lang w:val="ru-RU"/>
        </w:rPr>
      </w:pPr>
      <w:r w:rsidRPr="00EB6C19">
        <w:rPr>
          <w:b/>
          <w:bCs/>
          <w:sz w:val="32"/>
          <w:szCs w:val="32"/>
          <w:lang w:val="ru-RU"/>
        </w:rPr>
        <w:t xml:space="preserve">ПОЛЬЗОВАТЕЛЬСКАЯ ИНСТРУКЦИЯ</w:t>
      </w:r>
    </w:p>
    <w:p w:rsidR="00C00357" w:rsidRPr="00EB6C19" w:rsidRDefault="00EB6C19">
      <w:pPr>
        <w:jc w:val="center"/>
        <w:rPr>
          <w:lang w:val="ru-RU"/>
        </w:rPr>
      </w:pPr>
      <w:r w:rsidRPr="00EB6C19">
        <w:rPr>
          <w:i/>
          <w:iCs/>
          <w:lang w:val="ru-RU"/>
        </w:rPr>
        <w:t xml:space="preserve">Инструкция пользователя (оператора) мультимедийного комплекса</w:t>
      </w: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Default="00C00357">
      <w:pPr>
        <w:spacing w:after="0"/>
        <w:rPr>
          <w:lang w:val="ru-RU"/>
        </w:rPr>
      </w:pPr>
    </w:p>
    <w:p w:rsidR="00EB6C19" w:rsidRDefault="00EB6C19">
      <w:pPr>
        <w:spacing w:after="0"/>
        <w:rPr>
          <w:lang w:val="ru-RU"/>
        </w:rPr>
      </w:pPr>
    </w:p>
    <w:p w:rsidR="00EB6C19" w:rsidRDefault="00EB6C19">
      <w:pPr>
        <w:spacing w:after="0"/>
        <w:rPr>
          <w:lang w:val="ru-RU"/>
        </w:rPr>
      </w:pPr>
    </w:p>
    <w:p w:rsidR="00EB6C19" w:rsidRDefault="00EB6C19">
      <w:pPr>
        <w:spacing w:after="0"/>
        <w:rPr>
          <w:lang w:val="ru-RU"/>
        </w:rPr>
      </w:pPr>
    </w:p>
    <w:p w:rsidR="00EB6C19" w:rsidRDefault="00EB6C19">
      <w:pPr>
        <w:spacing w:after="0"/>
        <w:rPr>
          <w:lang w:val="ru-RU"/>
        </w:rPr>
      </w:pPr>
    </w:p>
    <w:p w:rsidR="00EB6C19" w:rsidRPr="00EB6C19" w:rsidRDefault="00EB6C19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EB6C19">
      <w:pPr>
        <w:spacing w:after="0"/>
        <w:jc w:val="center"/>
        <w:rPr>
          <w:lang w:val="ru-RU"/>
        </w:rPr>
      </w:pPr>
      <w:r w:rsidRPr="00EB6C19">
        <w:rPr>
          <w:lang w:val="ru-RU"/>
        </w:rPr>
        <w:t>г. Санкт-Петербург</w:t>
      </w:r>
    </w:p>
    <w:p w:rsidR="00C00357" w:rsidRPr="00EB6C19" w:rsidRDefault="00EB6C19">
      <w:pPr>
        <w:spacing w:after="0"/>
        <w:jc w:val="center"/>
        <w:rPr>
          <w:lang w:val="ru-RU"/>
        </w:rPr>
      </w:pPr>
      <w:r w:rsidRPr="00EB6C19">
        <w:rPr>
          <w:lang w:val="ru-RU"/>
        </w:rPr>
        <w:t>2026 г.</w:t>
      </w:r>
    </w:p>
    <w:p w:rsidR="00C00357" w:rsidRPr="00EB6C19" w:rsidRDefault="00EB6C19">
      <w:pPr>
        <w:rPr>
          <w:lang w:val="ru-RU"/>
        </w:rPr>
      </w:pPr>
      <w:r w:rsidRPr="00EB6C19">
        <w:rPr>
          <w:lang w:val="ru-RU"/>
        </w:rPr>
        <w:br w:type="page"/>
      </w:r>
    </w:p>
    <w:p>
      <w:pPr>
        <w:spacing w:before="0"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АННОТАЦИЯ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Настоящая инструкция предназначена для сотрудников музея, эксплуатирующих мультимедийный комплекс МТК №38. «На языках мира» (далее — Комплекс): для включения и выключения Комплекса, работы с его экранами, настройки параметров показа, обновления содержания и устранения типовых неисправностей.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Инструкция содержит сведения о назначении Комплекса, условиях его работы, органах управления, составе экранов, служебном режиме и порядке действий в нештатных ситуациях.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Перечень обучающих видеоматериалов, дополняющих настоящую инструкцию, приведён в последнем разделе.</w:t>
      </w:r>
    </w:p>
    <w:p>
      <w:r>
        <w:br w:type="page"/>
      </w:r>
    </w:p>
    <w:p>
      <w:pPr>
        <w:spacing w:before="0"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СОДЕРЖАНИЕ</w:t>
      </w:r>
    </w:p>
    <w:p>
      <w:r>
        <w:rPr>
          <w:rFonts w:ascii="Times New Roman" w:hAnsi="Times New Roman" w:cs="Times New Roman" w:eastAsia="Times New Roman"/>
          <w:b w:val="0"/>
          <w:i w:val="0"/>
          <w:sz w:val="24"/>
        </w:rPr>
      </w:r>
      <w:fldSimple w:instr="TOC \o &quot;1-2&quot; \h \z \u">
        <w:r>
          <w:t>Оглавление формируется в Word: «Ссылки» → «Обновить таблицу».</w:t>
        </w:r>
      </w:fldSimple>
    </w:p>
    <w:p>
      <w:r>
        <w:br w:type="page"/>
      </w: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 Назначение комплекса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1.1. Наименование и обозначение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Наименование Комплекса — «Ленин на языках мира».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Обозначение Комплекса — МТК №38. На языках мира.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Комплекс представляет собой законченное программное изделие — приложение музейного киоска, работающее на отдельном сенсорном экране в экспозиции.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1.2. Что показывает комплекс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Комплекс показывает, как имя «Ленин» записывается письменностями народов мира, и связывает каждое написание с языком, регионом его распространения и изданием трудов В. И. Ленина на этом языке.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1.3. Состав экранов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Комплекс содержит 9 экранов. Все экраны входят в одно приложение; переход между ними происходит без перезагрузки, с плавным переходом изображения.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1 — Экраны комплекса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№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Экран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Что показывает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1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Постер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Статичная типографическая композиция из написаний слова «Ленин». Касание написания открывает карточку языка.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2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Облако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Медленно перестраивающееся облако написаний; плотность и скорость задаются в служебной панели.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3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Дождь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Написания падают сверху вниз; касание останавливает написание и открывает карточку.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4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Лента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Горизонтальная бегущая строка написаний с возможностью протягивания пальцем.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5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Каталог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Сетка карточек языков с фильтрами по письменности и языковой семье; полоса прокрутки видна постоянно.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6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Арт-объект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Основная сцена: семь сменных композиций написаний, переключение по кругу с кроссфейдом.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7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Глобус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Вращаемый пальцем трёхмерный шар; написания размещены по странам основного распространения языка.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8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Дождь (художественный)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Вариант сцены «Дождь» повышенного качества рендеринга для показа на 4К-экране.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9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Карта распространения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Векторная карта мира (проекция Винкеля III): 51 точка изданий и маршруты распространения текстов.</w:t>
            </w:r>
          </w:p>
        </w:tc>
      </w:tr>
    </w:tbl>
    <w:p>
      <w:pPr>
        <w:spacing w:before="0" w:after="80"/>
      </w:pP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 Условия работы комплекса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2.1. Оборудование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2 — Требования к техническим средствам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86"/>
        <w:gridCol w:w="4986"/>
      </w:tblGrid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Составная часть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Требование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Системный блок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Процессор Intel Core i7 или эквивалентный; оперативная память не менее 16 ГБ; дискретная видеокарта с поддержкой WebGL 2.0 и вывода изображения 3840×2160 при частоте 60 Гц; твердотельный накопитель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Свободное место на диске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Не менее 2 ГБ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Дисплей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Диагональ 49 дюймов, разрешение 3840×2160 пикселей, горизонтальная ориентация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Сенсорный ввод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Сенсорная рамка или сенсорная панель дисплея, не менее 10 одновременных касаний, подключение по USB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Звук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Не требуется — Комплекс работает без звукового сопровождения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Сеть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Не требуется. Комплекс полностью работоспособен без подключения к сети</w:t>
            </w:r>
          </w:p>
        </w:tc>
      </w:tr>
    </w:tbl>
    <w:p>
      <w:pPr>
        <w:spacing w:before="0" w:after="80"/>
      </w:pP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2.2. Программное обеспечение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3 — Программное обеспечение, необходимое для работы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Составная часть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Программный продукт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Назначение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Операционная система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Microsoft Windows 10 (11), 64 разряда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Управление аппаратными средствами, автоматический запуск Комплекса при включении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Веб-браузер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Google Chrome версии не ниже 120, режим киоска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Среда выполнения Комплекса, вывод изображения на весь экран, обработка касаний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Локальный веб-сервер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Служба статических файлов из состава поставки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Выдача файлов Комплекса по адресу 127.0.0.1 (локальная петля). Обращений во внешнюю сеть не выполняется</w:t>
            </w:r>
          </w:p>
        </w:tc>
      </w:tr>
    </w:tbl>
    <w:p>
      <w:pPr>
        <w:spacing w:before="0" w:after="80"/>
      </w:pPr>
    </w:p>
    <w:p>
      <w:pPr>
        <w:spacing w:before="0" w:after="160"/>
        <w:ind w:left="283"/>
        <w:jc w:val="both"/>
      </w:pPr>
      <w:r>
        <w:rPr>
          <w:rFonts w:ascii="Times New Roman" w:hAnsi="Times New Roman" w:cs="Times New Roman" w:eastAsia="Times New Roman"/>
          <w:b w:val="0"/>
          <w:i/>
          <w:sz w:val="22"/>
        </w:rPr>
        <w:t>Отдельная система управления базой данных не требуется: содержание Комплекса хранится в файлах формата JSON в составе поставки.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2.3. Автономность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Комплекс не обращается к сети Интернет ни на одном этапе работы: все данные, изображения, шрифты и программные библиотеки входят в поставку.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Отсутствие сети не влияет на работу Комплекса.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Встроенный контроль работоспособности перезапускает экран при зависании; в ночное время (по умолчанию в 04:00) выполняется автоматический перезапуск приложения для очистки памяти.</w:t>
      </w: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 Включение, запуск и выключение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3.1. Ежедневное включение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1) Включить дисплей и системный блок.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2) Дождаться загрузки операционной системы — Комплекс запускается автоматически и разворачивается на весь экран.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3) На экране появляется заставка загрузки с полосой готовности, после чего открывается экран, заданный как основной.</w:t>
      </w:r>
    </w:p>
    <w:p>
      <w:pPr>
        <w:spacing w:before="0" w:after="160"/>
        <w:ind w:left="283"/>
        <w:jc w:val="both"/>
      </w:pPr>
      <w:r>
        <w:rPr>
          <w:rFonts w:ascii="Times New Roman" w:hAnsi="Times New Roman" w:cs="Times New Roman" w:eastAsia="Times New Roman"/>
          <w:b w:val="0"/>
          <w:i/>
          <w:sz w:val="22"/>
        </w:rPr>
        <w:t>Время загрузки — до 30 секунд: на старте в память единовременно загружаются данные, изображения и шрифты всех экранов, чтобы в дальнейшем переходы были мгновенными.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3.2. Запуск вручную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Если Комплекс был закрыт, его запускают ярлыком «МТК 38» на рабочем столе. Ярлык открывает браузер в режиме киоска по адресу вида http://127.0.0.1:8080/mtk38-app/.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3.3. Завершение работы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1) Нажать сочетание клавиш Alt+F4 на подключённой клавиатуре — приложение закроется.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2) Завершить работу операционной системы штатным образом и выключить дисплей.</w:t>
      </w:r>
    </w:p>
    <w:p>
      <w:pPr>
        <w:spacing w:before="0" w:after="160"/>
        <w:ind w:left="283"/>
        <w:jc w:val="both"/>
      </w:pPr>
      <w:r>
        <w:rPr>
          <w:rFonts w:ascii="Times New Roman" w:hAnsi="Times New Roman" w:cs="Times New Roman" w:eastAsia="Times New Roman"/>
          <w:b w:val="0"/>
          <w:i/>
          <w:sz w:val="22"/>
        </w:rPr>
        <w:t>Клавиатура при обычной эксплуатации не требуется и посетителям не доступна; она используется только сотрудником музея.</w:t>
      </w: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 Экран комплекса и органы управления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4.1. Общая раскладка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Экран Комплекса разделён на постоянную часть — заголовок, элементы навигации и служебные кнопки — и сменную часть, в которой выводится текущий экран.</w:t>
      </w:r>
    </w:p>
    <w:p>
      <w:pPr>
        <w:spacing w:before="160" w:after="60"/>
        <w:jc w:val="center"/>
      </w:pPr>
      <w:r>
        <w:rPr>
          <w:rFonts w:ascii="Times New Roman" w:hAnsi="Times New Roman" w:cs="Times New Roman" w:eastAsia="Times New Roman"/>
          <w:b w:val="0"/>
          <w:i/>
          <w:color w:val="808080"/>
          <w:sz w:val="22"/>
        </w:rPr>
        <w:t>[ МЕСТО ПОД ИЛЛЮСТРАЦИЮ. Снимок экрана: основной экран комплекса с открытой панелью навигации ]</w:t>
      </w:r>
    </w:p>
    <w:p>
      <w:pPr>
        <w:spacing w:before="0" w:after="20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Рисунок 1. Общий вид экрана комплекса с обозначением органов управления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4 — Органы управления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Обозначение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Орган управления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Действие</w:t>
            </w:r>
          </w:p>
        </w:tc>
      </w:tr>
      <w:tr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1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Заголовок комплекса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Название комплекса и текущего экрана</w:t>
            </w:r>
          </w:p>
        </w:tc>
      </w:tr>
      <w:tr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2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Стрелки «влево» и «вправо»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Переход к предыдущему и следующему экрану</w:t>
            </w:r>
          </w:p>
        </w:tc>
      </w:tr>
      <w:tr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3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Точки-указатели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Показывают число экранов и текущий; касание точки открывает нужный экран</w:t>
            </w:r>
          </w:p>
        </w:tc>
      </w:tr>
      <w:tr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4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Переключатель языка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Переключение интерфейса: РУС · ENG · 中文</w:t>
            </w:r>
          </w:p>
        </w:tc>
      </w:tr>
      <w:tr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5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Кнопка режима для слабовидящих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Включение и выключение режима повышенной доступности</w:t>
            </w:r>
          </w:p>
        </w:tc>
      </w:tr>
      <w:tr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6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Рабочая область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Содержание текущего экрана</w:t>
            </w:r>
          </w:p>
        </w:tc>
      </w:tr>
    </w:tbl>
    <w:p>
      <w:pPr>
        <w:spacing w:before="0" w:after="80"/>
      </w:pP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4.2. Переключение экранов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Экраны переключаются стрелками, точками-указателями или горизонтальным смахиванием пальцем. Переход сопровождается плавной сменой изображения; данные при этом не перезагружаются.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4.3. Работа с содержанием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Карточка языка: написание крупным кеглем, самоназвание языка, письменность (код ISO 15924), языковая семья, оценка числа носителей, блок «Издание» с обложкой и выходными данными.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Карточка открывается касанием объекта и закрывается кнопкой в её углу, касанием вне карточки или автоматически при бездействии. Списки прокручиваются протягиванием пальца; полоса прокрутки видна постоянно. Там, где предусмотрено увеличение, на экране появляется подсказка жеста (сведение и разведение пальцев, перетаскивание).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4.4. Переключение языка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Переключатель языка меняет язык интерфейса: подписи кнопок, названия экранов, служебные сообщения. Перевод содержания (наименований объектов, описаний, цитат) выполняется по отдельному согласованию с музеем; до его выполнения содержание выводится по-русски независимо от выбранного языка интерфейса. При бездействии посетителя язык возвращается к русскому.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4.5. Режим для слабовидящих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Кнопка режима для слабовидящих увеличивает размер шрифта в полтора раза, включает контрастную цветовую схему, приглушает анимацию и увеличивает зоны нажатия. Режим выключается повторным нажатием кнопки и автоматически — при бездействии посетителя.</w:t>
      </w: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 Экраны комплекса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5.1. Постер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Статичная типографическая композиция из написаний слова «Ленин». Касание написания открывает карточку языка.</w:t>
      </w:r>
    </w:p>
    <w:p>
      <w:pPr>
        <w:spacing w:before="160" w:after="60"/>
        <w:jc w:val="center"/>
      </w:pPr>
      <w:r>
        <w:rPr>
          <w:rFonts w:ascii="Times New Roman" w:hAnsi="Times New Roman" w:cs="Times New Roman" w:eastAsia="Times New Roman"/>
          <w:b w:val="0"/>
          <w:i/>
          <w:color w:val="808080"/>
          <w:sz w:val="22"/>
        </w:rPr>
        <w:t>[ МЕСТО ПОД ИЛЛЮСТРАЦИЮ. Снимок экрана: экран «Постер» комплекса МТК 38 в рабочем состоянии ]</w:t>
      </w:r>
    </w:p>
    <w:p>
      <w:pPr>
        <w:spacing w:before="0" w:after="20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Рисунок 2. Экран «Постер»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5.2. Облако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Медленно перестраивающееся облако написаний; плотность и скорость задаются в служебной панели.</w:t>
      </w:r>
    </w:p>
    <w:p>
      <w:pPr>
        <w:spacing w:before="160" w:after="60"/>
        <w:jc w:val="center"/>
      </w:pPr>
      <w:r>
        <w:rPr>
          <w:rFonts w:ascii="Times New Roman" w:hAnsi="Times New Roman" w:cs="Times New Roman" w:eastAsia="Times New Roman"/>
          <w:b w:val="0"/>
          <w:i/>
          <w:color w:val="808080"/>
          <w:sz w:val="22"/>
        </w:rPr>
        <w:t>[ МЕСТО ПОД ИЛЛЮСТРАЦИЮ. Снимок экрана: экран «Облако» комплекса МТК 38 в рабочем состоянии ]</w:t>
      </w:r>
    </w:p>
    <w:p>
      <w:pPr>
        <w:spacing w:before="0" w:after="20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Рисунок 3. Экран «Облако»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5.3. Дождь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Написания падают сверху вниз; касание останавливает написание и открывает карточку.</w:t>
      </w:r>
    </w:p>
    <w:p>
      <w:pPr>
        <w:spacing w:before="160" w:after="60"/>
        <w:jc w:val="center"/>
      </w:pPr>
      <w:r>
        <w:rPr>
          <w:rFonts w:ascii="Times New Roman" w:hAnsi="Times New Roman" w:cs="Times New Roman" w:eastAsia="Times New Roman"/>
          <w:b w:val="0"/>
          <w:i/>
          <w:color w:val="808080"/>
          <w:sz w:val="22"/>
        </w:rPr>
        <w:t>[ МЕСТО ПОД ИЛЛЮСТРАЦИЮ. Снимок экрана: экран «Дождь» комплекса МТК 38 в рабочем состоянии ]</w:t>
      </w:r>
    </w:p>
    <w:p>
      <w:pPr>
        <w:spacing w:before="0" w:after="20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Рисунок 4. Экран «Дождь»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5.4. Лента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Горизонтальная бегущая строка написаний с возможностью протягивания пальцем.</w:t>
      </w:r>
    </w:p>
    <w:p>
      <w:pPr>
        <w:spacing w:before="160" w:after="60"/>
        <w:jc w:val="center"/>
      </w:pPr>
      <w:r>
        <w:rPr>
          <w:rFonts w:ascii="Times New Roman" w:hAnsi="Times New Roman" w:cs="Times New Roman" w:eastAsia="Times New Roman"/>
          <w:b w:val="0"/>
          <w:i/>
          <w:color w:val="808080"/>
          <w:sz w:val="22"/>
        </w:rPr>
        <w:t>[ МЕСТО ПОД ИЛЛЮСТРАЦИЮ. Снимок экрана: экран «Лента» комплекса МТК 38 в рабочем состоянии ]</w:t>
      </w:r>
    </w:p>
    <w:p>
      <w:pPr>
        <w:spacing w:before="0" w:after="20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Рисунок 5. Экран «Лента»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5.5. Каталог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Сетка карточек языков с фильтрами по письменности и языковой семье; полоса прокрутки видна постоянно.</w:t>
      </w:r>
    </w:p>
    <w:p>
      <w:pPr>
        <w:spacing w:before="160" w:after="60"/>
        <w:jc w:val="center"/>
      </w:pPr>
      <w:r>
        <w:rPr>
          <w:rFonts w:ascii="Times New Roman" w:hAnsi="Times New Roman" w:cs="Times New Roman" w:eastAsia="Times New Roman"/>
          <w:b w:val="0"/>
          <w:i/>
          <w:color w:val="808080"/>
          <w:sz w:val="22"/>
        </w:rPr>
        <w:t>[ МЕСТО ПОД ИЛЛЮСТРАЦИЮ. Снимок экрана: экран «Каталог» комплекса МТК 38 в рабочем состоянии ]</w:t>
      </w:r>
    </w:p>
    <w:p>
      <w:pPr>
        <w:spacing w:before="0" w:after="20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Рисунок 6. Экран «Каталог»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5.6. Арт-объект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Основная сцена: семь сменных композиций написаний, переключение по кругу с кроссфейдом.</w:t>
      </w:r>
    </w:p>
    <w:p>
      <w:pPr>
        <w:spacing w:before="160" w:after="60"/>
        <w:jc w:val="center"/>
      </w:pPr>
      <w:r>
        <w:rPr>
          <w:rFonts w:ascii="Times New Roman" w:hAnsi="Times New Roman" w:cs="Times New Roman" w:eastAsia="Times New Roman"/>
          <w:b w:val="0"/>
          <w:i/>
          <w:color w:val="808080"/>
          <w:sz w:val="22"/>
        </w:rPr>
        <w:t>[ МЕСТО ПОД ИЛЛЮСТРАЦИЮ. Снимок экрана: экран «Арт-объект» комплекса МТК 38 в рабочем состоянии ]</w:t>
      </w:r>
    </w:p>
    <w:p>
      <w:pPr>
        <w:spacing w:before="0" w:after="20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Рисунок 7. Экран «Арт-объект»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5.7. Глобус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Вращаемый пальцем трёхмерный шар; написания размещены по странам основного распространения языка.</w:t>
      </w:r>
    </w:p>
    <w:p>
      <w:pPr>
        <w:spacing w:before="160" w:after="60"/>
        <w:jc w:val="center"/>
      </w:pPr>
      <w:r>
        <w:rPr>
          <w:rFonts w:ascii="Times New Roman" w:hAnsi="Times New Roman" w:cs="Times New Roman" w:eastAsia="Times New Roman"/>
          <w:b w:val="0"/>
          <w:i/>
          <w:color w:val="808080"/>
          <w:sz w:val="22"/>
        </w:rPr>
        <w:t>[ МЕСТО ПОД ИЛЛЮСТРАЦИЮ. Снимок экрана: экран «Глобус» комплекса МТК 38 в рабочем состоянии ]</w:t>
      </w:r>
    </w:p>
    <w:p>
      <w:pPr>
        <w:spacing w:before="0" w:after="20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Рисунок 8. Экран «Глобус»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5.8. Дождь (художественный)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Вариант сцены «Дождь» повышенного качества рендеринга для показа на 4К-экране.</w:t>
      </w:r>
    </w:p>
    <w:p>
      <w:pPr>
        <w:spacing w:before="160" w:after="60"/>
        <w:jc w:val="center"/>
      </w:pPr>
      <w:r>
        <w:rPr>
          <w:rFonts w:ascii="Times New Roman" w:hAnsi="Times New Roman" w:cs="Times New Roman" w:eastAsia="Times New Roman"/>
          <w:b w:val="0"/>
          <w:i/>
          <w:color w:val="808080"/>
          <w:sz w:val="22"/>
        </w:rPr>
        <w:t>[ МЕСТО ПОД ИЛЛЮСТРАЦИЮ. Снимок экрана: экран «Дождь (художественный)» комплекса МТК 38 в рабочем состоянии ]</w:t>
      </w:r>
    </w:p>
    <w:p>
      <w:pPr>
        <w:spacing w:before="0" w:after="20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Рисунок 9. Экран «Дождь (художественный)»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5.9. Карта распространения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Векторная карта мира (проекция Винкеля III): 51 точка изданий и маршруты распространения текстов.</w:t>
      </w:r>
    </w:p>
    <w:p>
      <w:pPr>
        <w:spacing w:before="160" w:after="60"/>
        <w:jc w:val="center"/>
      </w:pPr>
      <w:r>
        <w:rPr>
          <w:rFonts w:ascii="Times New Roman" w:hAnsi="Times New Roman" w:cs="Times New Roman" w:eastAsia="Times New Roman"/>
          <w:b w:val="0"/>
          <w:i/>
          <w:color w:val="808080"/>
          <w:sz w:val="22"/>
        </w:rPr>
        <w:t>[ МЕСТО ПОД ИЛЛЮСТРАЦИЮ. Снимок экрана: экран «Карта распространения» комплекса МТК 38 в рабочем состоянии ]</w:t>
      </w:r>
    </w:p>
    <w:p>
      <w:pPr>
        <w:spacing w:before="0" w:after="20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Рисунок 10. Экран «Карта распространения»</w:t>
      </w: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6. Режим ожидания и автоматический сброс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Комплекс рассчитан на непрерывную работу в экспозиции без участия сотрудника и сам возвращается в исходное состояние.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5 — Автоматические режимы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Событие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Время бездействия по умолчанию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Что происходит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Автоматический сброс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90 секунд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Снимаются фильтры и увеличение, закрываются открытые карточки, язык возвращается к русскому. Изображение на экране сохраняется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Переход в режим ожидания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180 секунд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Включается медленная заставка из материала самого Комплекса с приглашением коснуться экрана. Нагрузка на видеокарту снижается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Возврат из режима ожидания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по касанию экрана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Открывается основной экран в исходном состоянии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Ночной перезапуск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ежедневно в 04:00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Приложение перезагружается для освобождения памяти</w:t>
            </w:r>
          </w:p>
        </w:tc>
      </w:tr>
    </w:tbl>
    <w:p>
      <w:pPr>
        <w:spacing w:before="0" w:after="80"/>
      </w:pPr>
    </w:p>
    <w:p>
      <w:pPr>
        <w:spacing w:before="0" w:after="160"/>
        <w:ind w:left="283"/>
        <w:jc w:val="both"/>
      </w:pPr>
      <w:r>
        <w:rPr>
          <w:rFonts w:ascii="Times New Roman" w:hAnsi="Times New Roman" w:cs="Times New Roman" w:eastAsia="Times New Roman"/>
          <w:b w:val="0"/>
          <w:i/>
          <w:sz w:val="22"/>
        </w:rPr>
        <w:t>Все значения времени изменяются в служебной панели (раздел 7).</w:t>
      </w: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7. Служебная панель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7.1. Вход в служебную панель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Служебная панель предназначена для сотрудника музея и посетителю недоступна. Вход выполняется одним из двух способов: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открыть адрес http://127.0.0.1:8080/mtk38-app/?service=1 — панель открывается сразу;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трижды коснуться заголовка комплекса в течение двух секунд.</w:t>
      </w:r>
    </w:p>
    <w:p>
      <w:pPr>
        <w:spacing w:before="160" w:after="60"/>
        <w:jc w:val="center"/>
      </w:pPr>
      <w:r>
        <w:rPr>
          <w:rFonts w:ascii="Times New Roman" w:hAnsi="Times New Roman" w:cs="Times New Roman" w:eastAsia="Times New Roman"/>
          <w:b w:val="0"/>
          <w:i/>
          <w:color w:val="808080"/>
          <w:sz w:val="22"/>
        </w:rPr>
        <w:t>[ МЕСТО ПОД ИЛЛЮСТРАЦИЮ. Снимок экрана: открытая служебная панель со списком параметров ]</w:t>
      </w:r>
    </w:p>
    <w:p>
      <w:pPr>
        <w:spacing w:before="0" w:after="20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Рисунок 11. Служебная панель комплекса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7.2. Параметры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6 — Параметры служебной панели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Параметр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Назначение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Значение по умолчанию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Экран по умолчанию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Экран, открываемый при запуске и при выходе из режима ожидания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Постер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Язык по умолчанию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Язык интерфейса при запуске и после сброса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Русский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Положение кнопок навигации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Размещение стрелок и точек на экране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Нижний край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Размер кнопок навигации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Размер элементов управления под касание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96 пикселей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Фоновая графика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Включение и яркость диагональной подложки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Включена, яркость 40 %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Время до автоматического сброса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Бездействие, после которого снимаются фильтры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90 секунд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Время до режима ожидания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Бездействие, после которого включается заставка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180 секунд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Время ночного перезапуска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Момент ежедневной перезагрузки приложения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04:00</w:t>
            </w:r>
          </w:p>
        </w:tc>
      </w:tr>
    </w:tbl>
    <w:p>
      <w:pPr>
        <w:spacing w:before="0" w:after="80"/>
      </w:pP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Изменённые значения сохраняются на этом рабочем месте и применяются немедленно. Кнопка «Сбросить» возвращает параметры к значениям, заданным при поставке.</w:t>
      </w: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8. Обновление содержания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Содержание Комплекса хранится в файлах формата JSON и в каталогах изображений. Для обновления необходимо заменить соответствующие файлы и перезапустить Комплекс.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7 — Размещение содержания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86"/>
        <w:gridCol w:w="4986"/>
      </w:tblGrid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Что обновляется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Где хранится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Языки и написания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data/mtk38.json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Издания трудов В. И. Ленина по странам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data/mtk38-publications.json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Цитаты (русский и английский)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data/mtk38-quotes.json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Векторная подложка карты мира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data/ne_110m_countries.geojson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Обложки изданий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assets/mtk38/covers/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Образцы написаний из макета музея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assets/mtk38/specimen/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Текстуры трёхмерной сцены «Глобус»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assets/mtk38/textures/</w:t>
            </w:r>
          </w:p>
        </w:tc>
      </w:tr>
    </w:tbl>
    <w:p>
      <w:pPr>
        <w:spacing w:before="0" w:after="80"/>
      </w:pP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1) Закрыть Комплекс (Alt+F4).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2) Заменить файл данных или добавить изображения в соответствующий каталог, сохранив правила именования файлов.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3) Запустить Комплекс ярлыком и убедиться, что изменения отображаются.</w:t>
      </w:r>
    </w:p>
    <w:p>
      <w:pPr>
        <w:spacing w:before="0" w:after="160"/>
        <w:ind w:left="283"/>
        <w:jc w:val="both"/>
      </w:pPr>
      <w:r>
        <w:rPr>
          <w:rFonts w:ascii="Times New Roman" w:hAnsi="Times New Roman" w:cs="Times New Roman" w:eastAsia="Times New Roman"/>
          <w:b w:val="0"/>
          <w:i/>
          <w:sz w:val="22"/>
        </w:rPr>
        <w:t>Структура полей файлов данных приведена в документе «Описание архитектуры и структуры данных». Запись с нарушенной структурой пропускается при загрузке, сведения о ней заносятся в служебный журнал; остальные записи выводятся как обычно.</w:t>
      </w: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9. Типовые неисправности и их устранение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8 — Типовые неисправности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Признак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Вероятная причина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Действия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После включения экран чёрный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Не запустился браузер или не подано питание на дисплей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Проверить питание дисплея; перезагрузить системный блок; при повторении — запустить Комплекс ярлыком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Экран не реагирует на касание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Отключён кабель сенсорной рамки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Проверить подключение USB-кабеля сенсорной рамки, перезагрузить системный блок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Изображение выводится не на весь экран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Браузер запущен не в режиме киоска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Закрыть окно (Alt+F4) и запустить Комплекс ярлыком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Вместо надписей выводятся прямоугольники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Нарушена комплектность шрифтов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Восстановить каталог шрифтов из архива поставки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Изображение на экране застыло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Сбой в работе экрана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Встроенный контроль перезапускает экран автоматически в течение 10 секунд; если этого не произошло — перезапустить Комплекс ярлыком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Обновлённые данные не отображаются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Браузер использует сохранённую копию файлов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Закрыть Комплекс и запустить заново; при повторении — очистить кэш браузера</w:t>
            </w:r>
          </w:p>
        </w:tc>
      </w:tr>
    </w:tbl>
    <w:p>
      <w:pPr>
        <w:spacing w:before="0" w:after="80"/>
      </w:pP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Сведения о сбоях записываются в служебный журнал Комплекса; журнал доступен в служебной панели и может быть выгружен файлом для передачи разработчику.</w:t>
      </w: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10. Обучающие материалы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Настоящая инструкция дополняется набором обучающих видеороликов — записью экрана Комплекса с голосовым и текстовым сопровождением. Ролики передаются в формате MP4 (H.264), разрешение 1920×1080, и предназначены для обучения сотрудников музея.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9 — Состав обучающих видеоматериалов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№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Наименование ролика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Содержание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Хронометраж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1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Включение и выключение комплекса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Порядок ежедневного включения, запуск ярлыком, завершение работы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около 2 мин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2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Экраны комплекса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Последовательный показ всех 9 экранов и переходов между ними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около 6 мин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3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Работа с содержанием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Открытие карточек, фильтры, прокрутка, увеличение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около 3 мин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4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Языки и режим для слабовидящих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Переключение языка интерфейса, включение режима повышенной доступности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около 2 мин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5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Служебная панель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Вход в панель, назначение параметров, сохранение и сброс настроек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около 4 мин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6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Обновление содержания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Замена файла данных, добавление изображений, проверка результата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около 4 мин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7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Типовые неисправности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Признаки, причины и порядок действий сотрудника музея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около 3 мин</w:t>
            </w:r>
          </w:p>
        </w:tc>
      </w:tr>
    </w:tbl>
    <w:p>
      <w:pPr>
        <w:spacing w:before="0" w:after="80"/>
      </w:pPr>
    </w:p>
    <w:sectPr w:rsidR="00C00357" w:rsidRPr="00EB6C19">
      <w:pgSz w:w="12240" w:h="15840"/>
      <w:pgMar w:top="1134" w:right="850" w:bottom="1134" w:left="141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ungsuh">
    <w:altName w:val="BorjomiC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0357"/>
    <w:rsid w:val="00C00357"/>
    <w:rsid w:val="00EB6C19"/>
    <w:rsid w:val="00FA1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7C273"/>
  <w15:docId w15:val="{F89FEA15-92E1-44BC-B2E3-A6DB0EDB3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" w:eastAsia="ko-K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spacing w:line="276" w:lineRule="auto" w:after="120"/>
    </w:pPr>
    <w:rPr>
      <w:rFonts w:ascii="Times New Roman" w:hAnsi="Times New Roman" w:cs="Times New Roman" w:eastAsia="Times New Roman"/>
      <w:sz w:val="24"/>
    </w:rPr>
  </w:style>
  <w:style w:type="paragraph" w:styleId="1">
    <w:name w:val="heading 1"/>
    <w:basedOn w:val="a"/>
    <w:next w:val="a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2">
    <w:name w:val="heading 2"/>
    <w:basedOn w:val="a"/>
    <w:next w:val="a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a"/>
    <w:next w:val="a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"/>
    <w:next w:val="a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"/>
    <w:next w:val="a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a"/>
    <w:next w:val="a"/>
    <w:rPr>
      <w:rFonts w:ascii="Calibri" w:eastAsia="Calibri" w:hAnsi="Calibri" w:cs="Calibri"/>
      <w:i/>
      <w:iCs/>
      <w:color w:val="4F81BD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TOC Heading"/>
    <w:basedOn w:val="1"/>
    <w:next w:val="a"/>
    <w:uiPriority w:val="39"/>
    <w:unhideWhenUsed/>
    <w:qFormat/>
    <w:rsid w:val="00EB6C19"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EB6C19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EB6C19"/>
    <w:pPr>
      <w:spacing w:after="100"/>
      <w:ind w:left="240"/>
    </w:pPr>
  </w:style>
  <w:style w:type="character" w:styleId="af">
    <w:name w:val="Hyperlink"/>
    <w:basedOn w:val="a0"/>
    <w:uiPriority w:val="99"/>
    <w:unhideWhenUsed/>
    <w:rsid w:val="00EB6C1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2736</Words>
  <Characters>15598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Oleg</cp:lastModifiedBy>
  <cp:revision>2</cp:revision>
  <dcterms:created xsi:type="dcterms:W3CDTF">2026-08-03T13:10:00Z</dcterms:created>
  <dcterms:modified xsi:type="dcterms:W3CDTF">2026-08-03T13:27:00Z</dcterms:modified>
</cp:coreProperties>
</file>