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0357" w:rsidRPr="00EB6C19" w:rsidRDefault="00EB6C19">
      <w:pPr>
        <w:spacing w:after="0"/>
        <w:jc w:val="center"/>
        <w:rPr>
          <w:lang w:val="ru-RU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7A7C64C7" wp14:editId="113329CC">
            <wp:simplePos x="0" y="0"/>
            <wp:positionH relativeFrom="margin">
              <wp:posOffset>809625</wp:posOffset>
            </wp:positionH>
            <wp:positionV relativeFrom="paragraph">
              <wp:posOffset>633095</wp:posOffset>
            </wp:positionV>
            <wp:extent cx="4858385" cy="2298700"/>
            <wp:effectExtent l="0" t="0" r="0" b="6350"/>
            <wp:wrapTopAndBottom/>
            <wp:docPr id="1" name="Рисунок 1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r="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385" cy="229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5A041C">
        <w:rPr>
          <w:b/>
          <w:sz w:val="56"/>
        </w:rPr>
        <w:t>ЛЕНИНСКИЙ МЕМОРИАЛ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F1485" wp14:editId="41A2FF45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6000750" cy="0"/>
                <wp:effectExtent l="0" t="1905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D9D7AE" id="Прямая соединительная линия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472.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" strokecolor="red" strokeweight="2.25pt"/>
            </w:pict>
          </mc:Fallback>
        </mc:AlternateContent>
      </w:r>
    </w:p>
    <w:p w:rsidR="00C00357" w:rsidRPr="00EB6C19" w:rsidRDefault="00EB6C19">
      <w:pPr>
        <w:spacing w:after="240"/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МТК №38. «На языках мира»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b/>
          <w:bCs/>
          <w:sz w:val="32"/>
          <w:szCs w:val="32"/>
          <w:lang w:val="ru-RU"/>
        </w:rPr>
        <w:t xml:space="preserve">ОПИСАНИЕ АРХИВА ИСХОДНЫХ ДАННЫХ</w:t>
      </w:r>
    </w:p>
    <w:p w:rsidR="00C00357" w:rsidRPr="00EB6C19" w:rsidRDefault="00EB6C19">
      <w:pPr>
        <w:jc w:val="center"/>
        <w:rPr>
          <w:lang w:val="ru-RU"/>
        </w:rPr>
      </w:pPr>
      <w:r w:rsidRPr="00EB6C19">
        <w:rPr>
          <w:i/>
          <w:iCs/>
          <w:lang w:val="ru-RU"/>
        </w:rPr>
        <w:t xml:space="preserve">Состав архива, форматы файлов и порядок дальнейшего редактирования</w:t>
      </w: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Default="00C00357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Default="00EB6C19">
      <w:pPr>
        <w:spacing w:after="0"/>
        <w:rPr>
          <w:lang w:val="ru-RU"/>
        </w:rPr>
      </w:pPr>
    </w:p>
    <w:p w:rsidR="00EB6C19" w:rsidRPr="00EB6C19" w:rsidRDefault="00EB6C19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C00357">
      <w:pPr>
        <w:spacing w:after="0"/>
        <w:rPr>
          <w:lang w:val="ru-RU"/>
        </w:rPr>
      </w:pP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г. Санкт-Петербург</w:t>
      </w:r>
    </w:p>
    <w:p w:rsidR="00C00357" w:rsidRPr="00EB6C19" w:rsidRDefault="00EB6C19">
      <w:pPr>
        <w:spacing w:after="0"/>
        <w:jc w:val="center"/>
        <w:rPr>
          <w:lang w:val="ru-RU"/>
        </w:rPr>
      </w:pPr>
      <w:r w:rsidRPr="00EB6C19">
        <w:rPr>
          <w:lang w:val="ru-RU"/>
        </w:rPr>
        <w:t>2026 г.</w:t>
      </w:r>
    </w:p>
    <w:p w:rsidR="00C00357" w:rsidRPr="00EB6C19" w:rsidRDefault="00EB6C19">
      <w:pPr>
        <w:rPr>
          <w:lang w:val="ru-RU"/>
        </w:rPr>
      </w:pPr>
      <w:r w:rsidRPr="00EB6C19">
        <w:rPr>
          <w:lang w:val="ru-RU"/>
        </w:rP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Настоящий документ описывает состав архива исходных данных мультимедийного комплекса МТК №38. «На языках мира» (далее — Комплекс), передаваемого заказчику вместе с программным изделием.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Документ указывает, в каких форматах хранятся исходные материалы, какими средствами они открываются и редактируются, и как обеспечивается дальнейшее редактирование и масштабирование материалов Комплекса.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Отдельный раздел документа содержит перечень форматов исходных файлов, которые в проекте не используются, с указанием причин.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</w:r>
      <w:fldSimple w:instr="TOC \o &quot;1-2&quot; \h \z \u">
        <w:r>
          <w:t>Оглавление формируется в Word: «Ссылки» → «Обновить таблицу».</w:t>
        </w:r>
      </w:fldSimple>
    </w:p>
    <w:p>
      <w:r>
        <w:br w:type="page"/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Общие сведения об архиве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Наименование архива — mtk38-sources.zip.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Формат архива — ZIP без пароля.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Ориентировочный объём — около 20 МБ (изображения, файлы данных, программный код, шрифты).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Кодировка текстовых файлов — UTF-8; перевод строки — LF.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является полным: он содержит все материалы, необходимые для повторной сборки Комплекса и для его дальнейшего изменения без обращения к разработчику.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Состав архива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1 — Разделы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86"/>
        <w:gridCol w:w="4986"/>
      </w:tblGrid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Раздел архива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01-код/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Исходный программный код Комплекса и ядра киоск-приложения: файлы HTML, CSS, JavaScript, файл параметров, словари интерфейса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02-данные/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Файлы данных Комплекса в формате JSON, включая описание полей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03-изображения/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Изображения Комплекса в исходном разрешении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04-шрифты/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Шрифты, используемые Комплексом, в исходных начертаниях и в виде сабсетов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05-исходные-материалы/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Материалы, переданные музеем, и рабочие файлы подготовки содержания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06-инструменты/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Служебные программы подготовки данных: разбор исходных документов, приведение изображений к единому виду, проверка комплектности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README.txt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Краткое описание состава архива и порядка работы с ним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Форматы файлов и средства редактирования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2 — Форматы файлов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Раздел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Чем открывается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Как редактируется и масштабируется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Программный код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HTML, CSS, JS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 или среда разработки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средства сборки не применяются, поставляемые файлы совпадают с исходными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редактор JSON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Правится непосредственно; описание полей включено в сам файл. Добавление записей не требует изменения программного кода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Географические данные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GeoJSON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Текстовый редактор, QGIS и аналогичные средства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Заменяется целиком либо правится в геоинформационной программе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Изображения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JPEG, PNG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графический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Заменяются файлами с теми же именами; правила именования описаны в README.txt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Шрифты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OTF, WOFF2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Редакторы шрифтов; средства сабсетирования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Начертания используются без изменений; сабсеты пересобираются служебной программой при изменении состава символов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Исходные материалы музея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DOC, DOCX, CSV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Microsoft Word, табличный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Хранятся в неизменном виде как первоисточник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Служебные программы</w:t>
            </w:r>
          </w:p>
        </w:tc>
        <w:tc>
          <w:tcPr>
            <w:tcW w:type="dxa" w:w="158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Python (текст)</w:t>
            </w:r>
          </w:p>
        </w:tc>
        <w:tc>
          <w:tcPr>
            <w:tcW w:type="dxa" w:w="238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Любой текстовый редактор</w:t>
            </w:r>
          </w:p>
        </w:tc>
        <w:tc>
          <w:tcPr>
            <w:tcW w:type="dxa" w:w="368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Правятся непосредственно; порядок запуска описан в README.txt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Данные и программная графика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Изобразительный ряд Комплекса — композиции, карты, диаграммы, ленты времени и прочие построения — формируется программой в момент показа из данных, шрифтов и правил оформления. Заранее отрисованные макеты экранов при этом не используются.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Масштабирование выполняется без потери качества: изображение строится под фактическое разрешение экрана, в том числе под 3840×2160 и выше.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Изменение содержания не требует перерисовки макетов: добавление записи в файл данных немедленно отражается на всех экранах, где эта запись участвует.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Оформление задаётся общими для всех комплексов музея параметрами (палитра, начертания, размеры элементов управления) и изменяется в одном месте.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Поэтому «исходником» графики Комплекса являются программный код (раздел 01), данные (раздел 02) и шрифты (раздел 04) — они полностью определяют изображение и допускают дальнейшее редактирование и масштабирование.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Изображения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3 — Изображения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assets/mtk38/covers/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Обложки изданий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33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JPEG/PNG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assets/mtk38/specimen/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Образцы написаний из макета музея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52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PNG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assets/mtk38/textures/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Текстуры трёхмерной сцены «Глобус»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4 файла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JPEG</w:t>
            </w:r>
          </w:p>
        </w:tc>
      </w:tr>
    </w:tbl>
    <w:p>
      <w:pPr>
        <w:spacing w:before="0" w:after="80"/>
      </w:pP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Общее число файлов изображений — 89. Изображения хранятся в том разрешении, в котором получены от источника.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Приведение фотографий к единому размеру и кадрирование выполнены средствами автоматической обработки изображений; результат проверен вручную. Порядок повторного выполнения этой операции описан в README.txt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Материалы, переданные музеем, и рабочие файлы подготовки содержания хранятся в разделе 05 архива: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4 — Исходные материалы в составе архива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Каталог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Содержание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Объём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Формат</w:t>
            </w:r>
          </w:p>
        </w:tc>
      </w:tr>
      <w:tr>
        <w:tc>
          <w:tcPr>
            <w:tcW w:type="dxa" w:w="311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assets/mtk38/sources/</w:t>
            </w:r>
          </w:p>
        </w:tc>
        <w:tc>
          <w:tcPr>
            <w:tcW w:type="dxa" w:w="2835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Материалы куратора: перечень изданий на языках народов мира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1 файл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DOC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Шрифты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Брендовые начертания проекта (Nolde, 21 Cent, 20 Kopeek) — латиница и кириллица; 62 файла сабсетов Noto под 29 не-латинских письменностей (арабская, деванагари, тайская, тибетская, иероглифика и др.).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Шрифты передаются в архиве в исходных начертаниях и в виде сабсетов — уменьшенных копий, содержащих только те знаки, которые фактически встречаются в содержании Комплекса. При изменении содержания сабсеты пересобираются служебной программой из раздела 06.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Условия использования: начертания Noto — свободная лицензия SIL Open Font License 1.1; брендовые начертания проекта используются на основании материалов, переданных заказчиком.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Форматы, не используемые в проекте</w:t>
      </w:r>
    </w:p>
    <w:p>
      <w:pPr>
        <w:spacing w:before="0" w:after="1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Ниже приведён перечень форматов исходных файлов, указанных в требованиях к составу архива, с указанием того, используются они в проекте или нет.</w:t>
      </w:r>
    </w:p>
    <w:p>
      <w:pPr>
        <w:spacing w:before="160" w:after="60"/>
        <w:jc w:val="right"/>
      </w:pPr>
      <w:r>
        <w:rPr>
          <w:rFonts w:ascii="Times New Roman" w:hAnsi="Times New Roman" w:cs="Times New Roman" w:eastAsia="Times New Roman"/>
          <w:b w:val="0"/>
          <w:i/>
          <w:sz w:val="22"/>
        </w:rPr>
        <w:t>Таблица 5 — Перечень форматов исходных файлов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24"/>
        <w:gridCol w:w="3324"/>
        <w:gridCol w:w="3324"/>
      </w:tblGrid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Формат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Пояснение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PSD (Adobe Photoshop)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Растровые макеты экранов не создавались. Изображение экранов строится программой из данных и шрифтов, поэтому послойный растровый исходник для него не существует. Фотографии хранятся в исходных файлах JPEG/PNG без послойной обработки.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AI (Adobe Illustrator)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Векторная графика проекта (карты, схемы, диаграммы) формируется программой из географических и числовых данных и в векторном редакторе не рисуется. Исходником для неё служат файлы данных раздела 02.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Figma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Проектирование экранов велось непосредственно в работающих прототипах на целевом разрешении 3840×2160; отдельные макеты в Figma не создавались. Оформление задано параметрами в программном коде (раздел 01).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Проектные файлы видео и анимации (AEP, PRPROJ и аналогичные)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Видеоролики в составе Комплекса не применяются. Роль вводного ролика выполняет живая заставка режима ожидания, которая строится программой из материала самого Комплекса. Анимация реализована программно и её исходник — программный код раздела 01.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(.fbx, .obj)</w:t>
            </w:r>
          </w:p>
        </w:tc>
        <w:tc>
          <w:tcPr>
            <w:tcW w:type="dxa" w:w="1417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Не используется</w:t>
            </w:r>
          </w:p>
        </w:tc>
        <w:tc>
          <w:tcPr>
            <w:tcW w:type="dxa" w:w="5669"/>
          </w:tcPr>
          <w:p>
            <w:pPr>
              <w:spacing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Трёхмерные модели в составе Комплекса не применяются. Трёхмерная сцена «Глобус» строится программно: сфера и размещение надписей вычисляются в момент показа, внешний файл модели для неё не требуется.</w:t>
            </w:r>
          </w:p>
        </w:tc>
      </w:tr>
    </w:tbl>
    <w:p>
      <w:pPr>
        <w:spacing w:before="0" w:after="80"/>
      </w:pP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Контрольная информация и порядок передачи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Архив передаётся на носителе либо по защищённому каналу по согласованию с заказчиком.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К архиву прилагается файл контрольных сумм (SHA-256) всех входящих в него файлов.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В файле README.txt указаны дата формирования архива, версия Комплекса и состав разделов.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— Права на использование, изменение и дальнейшее развитие переданных материалов определяются договором.</w:t>
      </w:r>
    </w:p>
    <w:p>
      <w:pPr>
        <w:pStyle w:val="1"/>
        <w:spacing w:before="280" w:after="16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 Порядок дальнейшего редактирования и масштабирования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1) Изменение содержания (добавление, правка, удаление записей) — правка файлов раздела 02 в текстовом редакторе. Программный код не затрагивается.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2) Добавление или замена изображений — размещение файлов в разделе 03 с соблюдением правил именования, приведённых в README.txt.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3) Изменение оформления (палитра, начертания, размеры элементов управления) — правка общих параметров в разделе 01; изменение применяется ко всем экранам Комплекса.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4) Добавление нового экрана — создание программного модуля по описанному в документе «Описание архитектуры и структуры данных» интерфейсу и его регистрация в точке входа приложения.</w:t>
      </w:r>
    </w:p>
    <w:p>
      <w:pPr>
        <w:spacing w:before="0" w:after="60"/>
        <w:ind w:left="283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5) Перенос на экран другого разрешения или другой ориентации — изменения не требуются: изображение строится под фактический размер экрана.</w:t>
      </w:r>
    </w:p>
    <w:sectPr w:rsidR="00C00357" w:rsidRPr="00EB6C19"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ngsuh">
    <w:altName w:val="BorjomiC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57"/>
    <w:rsid w:val="00C00357"/>
    <w:rsid w:val="00EB6C19"/>
    <w:rsid w:val="00FA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7C273"/>
  <w15:docId w15:val="{F89FEA15-92E1-44BC-B2E3-A6DB0ED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ko-K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 w:after="120"/>
    </w:pPr>
    <w:rPr>
      <w:rFonts w:ascii="Times New Roman" w:hAnsi="Times New Roman" w:cs="Times New Roman" w:eastAsia="Times New Roman"/>
      <w:sz w:val="24"/>
    </w:rPr>
  </w:style>
  <w:style w:type="paragraph" w:styleId="1">
    <w:name w:val="heading 1"/>
    <w:basedOn w:val="a"/>
    <w:next w:val="a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rPr>
      <w:rFonts w:ascii="Calibri" w:eastAsia="Calibri" w:hAnsi="Calibri" w:cs="Calibri"/>
      <w:i/>
      <w:iCs/>
      <w:color w:val="4F81BD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OC Heading"/>
    <w:basedOn w:val="1"/>
    <w:next w:val="a"/>
    <w:uiPriority w:val="39"/>
    <w:unhideWhenUsed/>
    <w:qFormat/>
    <w:rsid w:val="00EB6C19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B6C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EB6C19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EB6C1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2736</Words>
  <Characters>15598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Oleg</cp:lastModifiedBy>
  <cp:revision>2</cp:revision>
  <dcterms:created xsi:type="dcterms:W3CDTF">2026-08-03T13:10:00Z</dcterms:created>
  <dcterms:modified xsi:type="dcterms:W3CDTF">2026-08-03T13:27:00Z</dcterms:modified>
</cp:coreProperties>
</file>