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00357" w:rsidRPr="00EB6C19" w:rsidRDefault="00EB6C19">
      <w:pPr>
        <w:spacing w:after="0"/>
        <w:jc w:val="center"/>
        <w:rPr>
          <w:lang w:val="ru-RU"/>
        </w:rPr>
      </w:pPr>
      <w:bookmarkStart w:id="0" w:name="_GoBack"/>
      <w:r>
        <w:rPr>
          <w:noProof/>
        </w:rPr>
        <w:drawing>
          <wp:anchor distT="0" distB="0" distL="114300" distR="114300" simplePos="0" relativeHeight="251659264" behindDoc="0" locked="0" layoutInCell="1" allowOverlap="1" wp14:anchorId="7A7C64C7" wp14:editId="113329CC">
            <wp:simplePos x="0" y="0"/>
            <wp:positionH relativeFrom="margin">
              <wp:posOffset>809625</wp:posOffset>
            </wp:positionH>
            <wp:positionV relativeFrom="paragraph">
              <wp:posOffset>633095</wp:posOffset>
            </wp:positionV>
            <wp:extent cx="4858385" cy="2298700"/>
            <wp:effectExtent l="0" t="0" r="0" b="6350"/>
            <wp:wrapTopAndBottom/>
            <wp:docPr id="1" name="Рисунок 1" descr="LOGO 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 R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74" r="19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8385" cy="2298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  <w:r w:rsidRPr="005A041C">
        <w:rPr>
          <w:b/>
          <w:sz w:val="56"/>
        </w:rPr>
        <w:t>ЛЕНИНСКИЙ МЕМОРИАЛ</w:t>
      </w:r>
    </w:p>
    <w:p w:rsidR="00C00357" w:rsidRPr="00EB6C19" w:rsidRDefault="00C00357">
      <w:pPr>
        <w:spacing w:after="0"/>
        <w:rPr>
          <w:lang w:val="ru-RU"/>
        </w:rPr>
      </w:pPr>
    </w:p>
    <w:p w:rsidR="00C00357" w:rsidRPr="00EB6C19" w:rsidRDefault="00EB6C19">
      <w:pPr>
        <w:spacing w:after="0"/>
        <w:rPr>
          <w:lang w:val="ru-RU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35F1485" wp14:editId="41A2FF45">
                <wp:simplePos x="0" y="0"/>
                <wp:positionH relativeFrom="column">
                  <wp:posOffset>0</wp:posOffset>
                </wp:positionH>
                <wp:positionV relativeFrom="paragraph">
                  <wp:posOffset>19050</wp:posOffset>
                </wp:positionV>
                <wp:extent cx="6000750" cy="0"/>
                <wp:effectExtent l="0" t="19050" r="19050" b="19050"/>
                <wp:wrapNone/>
                <wp:docPr id="10" name="Прямая соединительная линия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0075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3D9D7AE" id="Прямая соединительная линия 10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1.5pt" to="472.5pt,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" strokecolor="red" strokeweight="2.25pt"/>
            </w:pict>
          </mc:Fallback>
        </mc:AlternateContent>
      </w:r>
    </w:p>
    <w:p w:rsidR="00C00357" w:rsidRPr="00EB6C19" w:rsidRDefault="00EB6C19">
      <w:pPr>
        <w:spacing w:after="240"/>
        <w:jc w:val="center"/>
        <w:rPr>
          <w:lang w:val="ru-RU"/>
        </w:rPr>
      </w:pPr>
      <w:r w:rsidRPr="00EB6C19">
        <w:rPr>
          <w:b/>
          <w:bCs/>
          <w:sz w:val="32"/>
          <w:szCs w:val="32"/>
          <w:lang w:val="ru-RU"/>
        </w:rPr>
        <w:t xml:space="preserve">МТК №41. «Скульптуры»</w:t>
      </w:r>
    </w:p>
    <w:p w:rsidR="00C00357" w:rsidRPr="00EB6C19" w:rsidRDefault="00EB6C19">
      <w:pPr>
        <w:jc w:val="center"/>
        <w:rPr>
          <w:lang w:val="ru-RU"/>
        </w:rPr>
      </w:pPr>
      <w:r w:rsidRPr="00EB6C19">
        <w:rPr>
          <w:b/>
          <w:bCs/>
          <w:sz w:val="32"/>
          <w:szCs w:val="32"/>
          <w:lang w:val="ru-RU"/>
        </w:rPr>
        <w:t xml:space="preserve">ОПИСАНИЕ АРХИТЕКТУРЫ И СТРУКТУРЫ ДАННЫХ</w:t>
      </w:r>
    </w:p>
    <w:p w:rsidR="00C00357" w:rsidRPr="00EB6C19" w:rsidRDefault="00EB6C19">
      <w:pPr>
        <w:jc w:val="center"/>
        <w:rPr>
          <w:lang w:val="ru-RU"/>
        </w:rPr>
      </w:pPr>
      <w:r w:rsidRPr="00EB6C19">
        <w:rPr>
          <w:i/>
          <w:iCs/>
          <w:lang w:val="ru-RU"/>
        </w:rPr>
        <w:t xml:space="preserve">Архитектура программного обеспечения, структура данных и описание интеграций</w:t>
      </w:r>
    </w:p>
    <w:p w:rsidR="00C00357" w:rsidRPr="00EB6C19" w:rsidRDefault="00C00357">
      <w:pPr>
        <w:spacing w:after="0"/>
        <w:rPr>
          <w:lang w:val="ru-RU"/>
        </w:rPr>
      </w:pPr>
    </w:p>
    <w:p w:rsidR="00C00357" w:rsidRPr="00EB6C19" w:rsidRDefault="00C00357">
      <w:pPr>
        <w:spacing w:after="0"/>
        <w:rPr>
          <w:lang w:val="ru-RU"/>
        </w:rPr>
      </w:pPr>
    </w:p>
    <w:p w:rsidR="00C00357" w:rsidRPr="00EB6C19" w:rsidRDefault="00C00357">
      <w:pPr>
        <w:spacing w:after="0"/>
        <w:rPr>
          <w:lang w:val="ru-RU"/>
        </w:rPr>
      </w:pPr>
    </w:p>
    <w:p w:rsidR="00C00357" w:rsidRPr="00EB6C19" w:rsidRDefault="00C00357">
      <w:pPr>
        <w:spacing w:after="0"/>
        <w:rPr>
          <w:lang w:val="ru-RU"/>
        </w:rPr>
      </w:pPr>
    </w:p>
    <w:p w:rsidR="00C00357" w:rsidRPr="00EB6C19" w:rsidRDefault="00C00357">
      <w:pPr>
        <w:spacing w:after="0"/>
        <w:rPr>
          <w:lang w:val="ru-RU"/>
        </w:rPr>
      </w:pPr>
    </w:p>
    <w:p w:rsidR="00C00357" w:rsidRPr="00EB6C19" w:rsidRDefault="00C00357">
      <w:pPr>
        <w:spacing w:after="0"/>
        <w:rPr>
          <w:lang w:val="ru-RU"/>
        </w:rPr>
      </w:pPr>
    </w:p>
    <w:p w:rsidR="00C00357" w:rsidRPr="00EB6C19" w:rsidRDefault="00C00357">
      <w:pPr>
        <w:spacing w:after="0"/>
        <w:rPr>
          <w:lang w:val="ru-RU"/>
        </w:rPr>
      </w:pPr>
    </w:p>
    <w:p w:rsidR="00C00357" w:rsidRPr="00EB6C19" w:rsidRDefault="00C00357">
      <w:pPr>
        <w:spacing w:after="0"/>
        <w:rPr>
          <w:lang w:val="ru-RU"/>
        </w:rPr>
      </w:pPr>
    </w:p>
    <w:p w:rsidR="00C00357" w:rsidRDefault="00C00357">
      <w:pPr>
        <w:spacing w:after="0"/>
        <w:rPr>
          <w:lang w:val="ru-RU"/>
        </w:rPr>
      </w:pPr>
    </w:p>
    <w:p w:rsidR="00EB6C19" w:rsidRDefault="00EB6C19">
      <w:pPr>
        <w:spacing w:after="0"/>
        <w:rPr>
          <w:lang w:val="ru-RU"/>
        </w:rPr>
      </w:pPr>
    </w:p>
    <w:p w:rsidR="00EB6C19" w:rsidRDefault="00EB6C19">
      <w:pPr>
        <w:spacing w:after="0"/>
        <w:rPr>
          <w:lang w:val="ru-RU"/>
        </w:rPr>
      </w:pPr>
    </w:p>
    <w:p w:rsidR="00EB6C19" w:rsidRDefault="00EB6C19">
      <w:pPr>
        <w:spacing w:after="0"/>
        <w:rPr>
          <w:lang w:val="ru-RU"/>
        </w:rPr>
      </w:pPr>
    </w:p>
    <w:p w:rsidR="00EB6C19" w:rsidRDefault="00EB6C19">
      <w:pPr>
        <w:spacing w:after="0"/>
        <w:rPr>
          <w:lang w:val="ru-RU"/>
        </w:rPr>
      </w:pPr>
    </w:p>
    <w:p w:rsidR="00EB6C19" w:rsidRPr="00EB6C19" w:rsidRDefault="00EB6C19">
      <w:pPr>
        <w:spacing w:after="0"/>
        <w:rPr>
          <w:lang w:val="ru-RU"/>
        </w:rPr>
      </w:pPr>
    </w:p>
    <w:p w:rsidR="00C00357" w:rsidRPr="00EB6C19" w:rsidRDefault="00C00357">
      <w:pPr>
        <w:spacing w:after="0"/>
        <w:rPr>
          <w:lang w:val="ru-RU"/>
        </w:rPr>
      </w:pPr>
    </w:p>
    <w:p w:rsidR="00C00357" w:rsidRPr="00EB6C19" w:rsidRDefault="00C00357">
      <w:pPr>
        <w:spacing w:after="0"/>
        <w:rPr>
          <w:lang w:val="ru-RU"/>
        </w:rPr>
      </w:pPr>
    </w:p>
    <w:p w:rsidR="00C00357" w:rsidRPr="00EB6C19" w:rsidRDefault="00EB6C19">
      <w:pPr>
        <w:spacing w:after="0"/>
        <w:jc w:val="center"/>
        <w:rPr>
          <w:lang w:val="ru-RU"/>
        </w:rPr>
      </w:pPr>
      <w:r w:rsidRPr="00EB6C19">
        <w:rPr>
          <w:lang w:val="ru-RU"/>
        </w:rPr>
        <w:t>г. Санкт-Петербург</w:t>
      </w:r>
    </w:p>
    <w:p w:rsidR="00C00357" w:rsidRPr="00EB6C19" w:rsidRDefault="00EB6C19">
      <w:pPr>
        <w:spacing w:after="0"/>
        <w:jc w:val="center"/>
        <w:rPr>
          <w:lang w:val="ru-RU"/>
        </w:rPr>
      </w:pPr>
      <w:r w:rsidRPr="00EB6C19">
        <w:rPr>
          <w:lang w:val="ru-RU"/>
        </w:rPr>
        <w:t>2026 г.</w:t>
      </w:r>
    </w:p>
    <w:p w:rsidR="00C00357" w:rsidRPr="00EB6C19" w:rsidRDefault="00EB6C19">
      <w:pPr>
        <w:rPr>
          <w:lang w:val="ru-RU"/>
        </w:rPr>
      </w:pPr>
      <w:r w:rsidRPr="00EB6C19">
        <w:rPr>
          <w:lang w:val="ru-RU"/>
        </w:rPr>
        <w:br w:type="page"/>
      </w:r>
    </w:p>
    <w:p>
      <w:pPr>
        <w:spacing w:before="0" w:after="24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АННОТАЦИЯ</w:t>
      </w:r>
    </w:p>
    <w:p>
      <w:pPr>
        <w:spacing w:before="0" w:after="1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Настоящий документ содержит описание архитектуры программного обеспечения мультимедийного комплекса МТК №41. «Скульптуры» (далее — Комплекс), структуры используемых им данных и описание интеграций с общесистемным программным обеспечением, оборудованием и внешними источниками данных.</w:t>
      </w:r>
    </w:p>
    <w:p>
      <w:pPr>
        <w:spacing w:before="0" w:after="1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Документ предназначен для технических специалистов музея и организаций, привлекаемых к сопровождению и развитию Комплекса.</w:t>
      </w:r>
    </w:p>
    <w:p>
      <w:r>
        <w:br w:type="page"/>
      </w:r>
    </w:p>
    <w:p>
      <w:pPr>
        <w:spacing w:before="0" w:after="24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СОДЕРЖАНИЕ</w:t>
      </w:r>
    </w:p>
    <w:p>
      <w:r>
        <w:rPr>
          <w:rFonts w:ascii="Times New Roman" w:hAnsi="Times New Roman" w:cs="Times New Roman" w:eastAsia="Times New Roman"/>
          <w:b w:val="0"/>
          <w:i w:val="0"/>
          <w:sz w:val="24"/>
        </w:rPr>
      </w:r>
      <w:fldSimple w:instr="TOC \o &quot;1-2&quot; \h \z \u">
        <w:r>
          <w:t>Оглавление формируется в Word: «Ссылки» → «Обновить таблицу».</w:t>
        </w:r>
      </w:fldSimple>
    </w:p>
    <w:p>
      <w:r>
        <w:br w:type="page"/>
      </w:r>
    </w:p>
    <w:p>
      <w:pPr>
        <w:pStyle w:val="1"/>
        <w:spacing w:before="280" w:after="16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1. Общие сведения</w:t>
      </w:r>
    </w:p>
    <w:p>
      <w:pPr>
        <w:pStyle w:val="2"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5"/>
        </w:rPr>
        <w:t>1.1. Наименование и обозначение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— Наименование — «Образ В. И. Ленина в монументальном искусстве».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— Обозначение — МТК №41. Скульптуры.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— Вид программного изделия — программный компонент, выполняющий законченную функцию.</w:t>
      </w:r>
    </w:p>
    <w:p>
      <w:pPr>
        <w:pStyle w:val="2"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5"/>
        </w:rPr>
        <w:t>1.2. Назначение</w:t>
      </w:r>
    </w:p>
    <w:p>
      <w:pPr>
        <w:spacing w:before="0" w:after="1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Комплекс показывает корпус памятников В. И. Ленину — их географию, хронологию, авторов и сопоставимые размеры.</w:t>
      </w:r>
    </w:p>
    <w:p>
      <w:pPr>
        <w:pStyle w:val="2"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5"/>
        </w:rPr>
        <w:t>1.3. Состав программного изделия</w:t>
      </w:r>
    </w:p>
    <w:p>
      <w:pPr>
        <w:spacing w:before="160" w:after="60"/>
        <w:jc w:val="right"/>
      </w:pPr>
      <w:r>
        <w:rPr>
          <w:rFonts w:ascii="Times New Roman" w:hAnsi="Times New Roman" w:cs="Times New Roman" w:eastAsia="Times New Roman"/>
          <w:b w:val="0"/>
          <w:i/>
          <w:sz w:val="22"/>
        </w:rPr>
        <w:t>Таблица 1 — Состав программного изделия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986"/>
        <w:gridCol w:w="4986"/>
      </w:tblGrid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Составная часть</w:t>
            </w:r>
          </w:p>
        </w:tc>
        <w:tc>
          <w:tcPr>
            <w:tcW w:type="dxa" w:w="6803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Назначение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Ядро киоск-приложения</w:t>
            </w:r>
          </w:p>
        </w:tc>
        <w:tc>
          <w:tcPr>
            <w:tcW w:type="dxa" w:w="6803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Общий для всех комплексов музея программный слой: реестр экранов, предварительная загрузка, переходы, автоматические режимы, языки, режим повышенной доступности, служебная панель, контроль работоспособности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Приложение комплекса</w:t>
            </w:r>
          </w:p>
        </w:tc>
        <w:tc>
          <w:tcPr>
            <w:tcW w:type="dxa" w:w="6803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Собственно МТК №41: регистрация 7 экранов, настройки по умолчанию, словари интерфейса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Экраны (сцены)</w:t>
            </w:r>
          </w:p>
        </w:tc>
        <w:tc>
          <w:tcPr>
            <w:tcW w:type="dxa" w:w="6803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Программные модули, каждый из которых строит и обслуживает один экран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Данные</w:t>
            </w:r>
          </w:p>
        </w:tc>
        <w:tc>
          <w:tcPr>
            <w:tcW w:type="dxa" w:w="6803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Файлы формата JSON с содержанием комплекса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Медиаданные</w:t>
            </w:r>
          </w:p>
        </w:tc>
        <w:tc>
          <w:tcPr>
            <w:tcW w:type="dxa" w:w="6803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Изображения и шрифты</w:t>
            </w:r>
          </w:p>
        </w:tc>
      </w:tr>
    </w:tbl>
    <w:p>
      <w:pPr>
        <w:spacing w:before="0" w:after="80"/>
      </w:pPr>
    </w:p>
    <w:p>
      <w:pPr>
        <w:pStyle w:val="1"/>
        <w:spacing w:before="280" w:after="16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2. Архитектура программного обеспечения</w:t>
      </w:r>
    </w:p>
    <w:p>
      <w:pPr>
        <w:pStyle w:val="2"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5"/>
        </w:rPr>
        <w:t>2.1. Принципы построения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— Комплекс представляет собой клиентское приложение, целиком выполняемое в веб-браузере на том же компьютере, на котором хранятся его файлы. Серверная часть с прикладной логикой отсутствует.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— Все ресурсы — программный код, данные, изображения, шрифты и сторонние библиотеки — входят в поставку. Обращения к сети Интернет в процессе работы не выполняются.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— Комплекс собран как одностраничное приложение: экраны сменяются внутри одной страницы, без её перезагрузки.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— Средства сборки (сборщики, транспиляторы, пакетные менеджеры) не применяются: поставляемые файлы совпадают с исходными и могут редактироваться непосредственно.</w:t>
      </w:r>
    </w:p>
    <w:p>
      <w:pPr>
        <w:pStyle w:val="2"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5"/>
        </w:rPr>
        <w:t>2.2. Уровни архитектуры</w:t>
      </w:r>
    </w:p>
    <w:p>
      <w:pPr>
        <w:spacing w:before="160" w:after="60"/>
        <w:jc w:val="right"/>
      </w:pPr>
      <w:r>
        <w:rPr>
          <w:rFonts w:ascii="Times New Roman" w:hAnsi="Times New Roman" w:cs="Times New Roman" w:eastAsia="Times New Roman"/>
          <w:b w:val="0"/>
          <w:i/>
          <w:sz w:val="22"/>
        </w:rPr>
        <w:t>Таблица 2 — Уровни архитектуры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24"/>
        <w:gridCol w:w="3324"/>
        <w:gridCol w:w="3324"/>
      </w:tblGrid>
      <w:tr>
        <w:tc>
          <w:tcPr>
            <w:tcW w:type="dxa" w:w="1984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Уровень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Состав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Ответственность</w:t>
            </w:r>
          </w:p>
        </w:tc>
      </w:tr>
      <w:tr>
        <w:tc>
          <w:tcPr>
            <w:tcW w:type="dxa" w:w="1984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Общесистемный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Операционная система, браузер в режиме киоска, локальная служба выдачи файлов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Автоматический запуск, вывод на весь экран, обработка касаний</w:t>
            </w:r>
          </w:p>
        </w:tc>
      </w:tr>
      <w:tr>
        <w:tc>
          <w:tcPr>
            <w:tcW w:type="dxa" w:w="1984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Ядро киоск-приложения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Программный слой, общий для пяти комплексов музея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Реестр экранов, предварительная загрузка ресурсов, плавные переходы, автоматические режимы, языковой слой, режим повышенной доступности, служебная панель, контроль и журнал</w:t>
            </w:r>
          </w:p>
        </w:tc>
      </w:tr>
      <w:tr>
        <w:tc>
          <w:tcPr>
            <w:tcW w:type="dxa" w:w="1984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Приложение комплекса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Точка входа, файл настроек по умолчанию, словари интерфейса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Состав и порядок экранов, значения параметров при поставке</w:t>
            </w:r>
          </w:p>
        </w:tc>
      </w:tr>
      <w:tr>
        <w:tc>
          <w:tcPr>
            <w:tcW w:type="dxa" w:w="1984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Экраны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7 программных модулей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Построение изображения и обработка касаний в пределах одного экрана</w:t>
            </w:r>
          </w:p>
        </w:tc>
      </w:tr>
      <w:tr>
        <w:tc>
          <w:tcPr>
            <w:tcW w:type="dxa" w:w="1984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Данные и медиаданные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Файлы JSON, изображения, шрифты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Содержание комплекса</w:t>
            </w:r>
          </w:p>
        </w:tc>
      </w:tr>
    </w:tbl>
    <w:p>
      <w:pPr>
        <w:spacing w:before="0" w:after="80"/>
      </w:pPr>
    </w:p>
    <w:p>
      <w:pPr>
        <w:spacing w:before="160" w:after="60"/>
        <w:jc w:val="center"/>
      </w:pPr>
      <w:r>
        <w:rPr>
          <w:rFonts w:ascii="Times New Roman" w:hAnsi="Times New Roman" w:cs="Times New Roman" w:eastAsia="Times New Roman"/>
          <w:b w:val="0"/>
          <w:i/>
          <w:color w:val="808080"/>
          <w:sz w:val="22"/>
        </w:rPr>
        <w:t>[ МЕСТО ПОД ИЛЛЮСТРАЦИЮ. Снимок экрана: структурная схема — прилагается отдельным файлом ]</w:t>
      </w:r>
    </w:p>
    <w:p>
      <w:pPr>
        <w:spacing w:before="0" w:after="20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Рисунок 1. Структурная схема программного обеспечения комплекса</w:t>
      </w:r>
    </w:p>
    <w:p>
      <w:pPr>
        <w:pStyle w:val="2"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5"/>
        </w:rPr>
        <w:t>2.3. Ядро киоск-приложения</w:t>
      </w:r>
    </w:p>
    <w:p>
      <w:pPr>
        <w:spacing w:before="0" w:after="1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Ядро — общий программный слой для всех мультимедийных комплексов музея. Оно принимает на себя функции, одинаковые для всех комплексов, и обеспечивает единообразие их поведения.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— Реестр экранов и переключение между ними с плавным переходом изображения без перезагрузки.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— Предварительная загрузка на старте всех данных, изображений и шрифтов с показом заставки готовности; в дальнейшей работе обращений к файловой системе не требуется.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— Автоматические режимы: сброс состояния и режим ожидания с заставкой, ночной перезапуск.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— Языковой слой: строки интерфейса вынесены в словари русского, английского и китайского языков.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— Режим повышенной доступности (для слабовидящих).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— Служебная панель с параметрами показа и журналом работы.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— Контроль работоспособности: если экран перестаёт обновлять изображение, он перезапускается; ошибка внутри одного экрана не приводит к остановке всего Комплекса.</w:t>
      </w:r>
    </w:p>
    <w:p>
      <w:pPr>
        <w:pStyle w:val="2"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5"/>
        </w:rPr>
        <w:t>2.4. Программный интерфейс экрана</w:t>
      </w:r>
    </w:p>
    <w:p>
      <w:pPr>
        <w:spacing w:before="0" w:after="1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Каждый экран Комплекса — программный модуль, реализующий единый интерфейс. Ядро вызывает его методы по мере необходимости.</w:t>
      </w:r>
    </w:p>
    <w:p>
      <w:pPr>
        <w:spacing w:before="160" w:after="60"/>
        <w:jc w:val="right"/>
      </w:pPr>
      <w:r>
        <w:rPr>
          <w:rFonts w:ascii="Times New Roman" w:hAnsi="Times New Roman" w:cs="Times New Roman" w:eastAsia="Times New Roman"/>
          <w:b w:val="0"/>
          <w:i/>
          <w:sz w:val="22"/>
        </w:rPr>
        <w:t>Таблица 3 — Программный интерфейс экрана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24"/>
        <w:gridCol w:w="3324"/>
        <w:gridCol w:w="3324"/>
      </w:tblGrid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Метод</w:t>
            </w:r>
          </w:p>
        </w:tc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Когда вызывается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Что выполняет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mount</w:t>
            </w:r>
          </w:p>
        </w:tc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При первом показе экрана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Построение изображения и подписка на события касания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unmount</w:t>
            </w:r>
          </w:p>
        </w:tc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При выгрузке экрана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Снятие обработчиков и освобождение ресурсов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pause</w:t>
            </w:r>
          </w:p>
        </w:tc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При уходе с экрана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Остановка анимации и таймеров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resume</w:t>
            </w:r>
          </w:p>
        </w:tc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При возврате на экран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Возобновление анимации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reset</w:t>
            </w:r>
          </w:p>
        </w:tc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При автоматическом сбросе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Снятие фильтров и увеличения, закрытие карточек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setLang</w:t>
            </w:r>
          </w:p>
        </w:tc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При смене языка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Перевод подписей экрана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setA11y</w:t>
            </w:r>
          </w:p>
        </w:tc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При включении режима для слабовидящих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Укрупнение элементов, снижение плотности подписей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standby</w:t>
            </w:r>
          </w:p>
        </w:tc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При переходе в режим ожидания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Показ заставки, построенной на материале экрана</w:t>
            </w:r>
          </w:p>
        </w:tc>
      </w:tr>
    </w:tbl>
    <w:p>
      <w:pPr>
        <w:spacing w:before="0" w:after="80"/>
      </w:pPr>
    </w:p>
    <w:p>
      <w:pPr>
        <w:pStyle w:val="2"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5"/>
        </w:rPr>
        <w:t>2.5. Состояния приложения</w:t>
      </w:r>
    </w:p>
    <w:p>
      <w:pPr>
        <w:spacing w:before="160" w:after="60"/>
        <w:jc w:val="right"/>
      </w:pPr>
      <w:r>
        <w:rPr>
          <w:rFonts w:ascii="Times New Roman" w:hAnsi="Times New Roman" w:cs="Times New Roman" w:eastAsia="Times New Roman"/>
          <w:b w:val="0"/>
          <w:i/>
          <w:sz w:val="22"/>
        </w:rPr>
        <w:t>Таблица 4 — Состояния приложения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24"/>
        <w:gridCol w:w="3324"/>
        <w:gridCol w:w="3324"/>
      </w:tblGrid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Состояние</w:t>
            </w:r>
          </w:p>
        </w:tc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Условие перехода</w:t>
            </w:r>
          </w:p>
        </w:tc>
        <w:tc>
          <w:tcPr>
            <w:tcW w:type="dxa" w:w="5102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Поведение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Работа</w:t>
            </w:r>
          </w:p>
        </w:tc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Касание экрана</w:t>
            </w:r>
          </w:p>
        </w:tc>
        <w:tc>
          <w:tcPr>
            <w:tcW w:type="dxa" w:w="5102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Обычная работа, посетитель управляет Комплексом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Сброс</w:t>
            </w:r>
          </w:p>
        </w:tc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90 секунд бездействия</w:t>
            </w:r>
          </w:p>
        </w:tc>
        <w:tc>
          <w:tcPr>
            <w:tcW w:type="dxa" w:w="5102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Состояние экранов возвращается к исходному, язык — к русскому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Ожидание</w:t>
            </w:r>
          </w:p>
        </w:tc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180 секунд бездействия</w:t>
            </w:r>
          </w:p>
        </w:tc>
        <w:tc>
          <w:tcPr>
            <w:tcW w:type="dxa" w:w="5102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Заставка, частота обновления изображения снижена до 10 кадров в секунду, трёхмерные сцены приостановлены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Перезапуск</w:t>
            </w:r>
          </w:p>
        </w:tc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Ежедневно в 04:00</w:t>
            </w:r>
          </w:p>
        </w:tc>
        <w:tc>
          <w:tcPr>
            <w:tcW w:type="dxa" w:w="5102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Перезагрузка приложения для освобождения памяти</w:t>
            </w:r>
          </w:p>
        </w:tc>
      </w:tr>
    </w:tbl>
    <w:p>
      <w:pPr>
        <w:spacing w:before="0" w:after="80"/>
      </w:pPr>
    </w:p>
    <w:p>
      <w:pPr>
        <w:pStyle w:val="2"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5"/>
        </w:rPr>
        <w:t>2.6. Применяемые технологии</w:t>
      </w:r>
    </w:p>
    <w:p>
      <w:pPr>
        <w:spacing w:before="160" w:after="60"/>
        <w:jc w:val="right"/>
      </w:pPr>
      <w:r>
        <w:rPr>
          <w:rFonts w:ascii="Times New Roman" w:hAnsi="Times New Roman" w:cs="Times New Roman" w:eastAsia="Times New Roman"/>
          <w:b w:val="0"/>
          <w:i/>
          <w:sz w:val="22"/>
        </w:rPr>
        <w:t>Таблица 5 — Применяемые технологии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986"/>
        <w:gridCol w:w="4986"/>
      </w:tblGrid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Составляющая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Технология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Разметка и стили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HTML5, CSS3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Программный код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JavaScript стандарта ECMAScript 2022, модульная организация (ES-модули)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Построение изображения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Canvas 2D и вёрстка HTML/CSS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Хранение данных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Файлы JSON в кодировке UTF-8; географические данные — GeoJSON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Картографическая основа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Векторные контуры стран, проекция Винкеля III (единая для всех комплексов музея)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Хранение настроек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Локальное хранилище браузера поверх файла настроек из поставки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Шрифты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WOFF2, OTF — поставляются в составе комплекса</w:t>
            </w:r>
          </w:p>
        </w:tc>
      </w:tr>
    </w:tbl>
    <w:p>
      <w:pPr>
        <w:spacing w:before="0" w:after="80"/>
      </w:pPr>
    </w:p>
    <w:p>
      <w:pPr>
        <w:spacing w:before="0" w:after="1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Сцены комплекса построены средствами Canvas 2D; трёхмерные модели не применяются (см. раздел отступлений).</w:t>
      </w:r>
    </w:p>
    <w:p>
      <w:pPr>
        <w:pStyle w:val="2"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5"/>
        </w:rPr>
        <w:t>2.7. Сторонние компоненты и материалы</w:t>
      </w:r>
    </w:p>
    <w:p>
      <w:pPr>
        <w:spacing w:before="0" w:after="1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Сторонние программные библиотеки и данные включены в поставку в виде файлов и загружаются только из состава Комплекса. Подключение библиотек из сети Интернет (внешних CDN) проектным решением запрещено и в поставке отсутствует.</w:t>
      </w:r>
    </w:p>
    <w:p>
      <w:pPr>
        <w:spacing w:before="160" w:after="60"/>
        <w:jc w:val="right"/>
      </w:pPr>
      <w:r>
        <w:rPr>
          <w:rFonts w:ascii="Times New Roman" w:hAnsi="Times New Roman" w:cs="Times New Roman" w:eastAsia="Times New Roman"/>
          <w:b w:val="0"/>
          <w:i/>
          <w:sz w:val="22"/>
        </w:rPr>
        <w:t>Таблица 6 — Сторонние компоненты и условия их использования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24"/>
        <w:gridCol w:w="3324"/>
        <w:gridCol w:w="3324"/>
      </w:tblGrid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Компонент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Назначение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Условия использования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Natural Earth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Векторные контуры стран для экрана «Карта»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Общественное достояние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geoBoundaries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Административные границы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Лицензия CC BY 4.0</w:t>
            </w:r>
          </w:p>
        </w:tc>
      </w:tr>
    </w:tbl>
    <w:p>
      <w:pPr>
        <w:spacing w:before="0" w:after="80"/>
      </w:pPr>
    </w:p>
    <w:p>
      <w:pPr>
        <w:pStyle w:val="1"/>
        <w:spacing w:before="280" w:after="16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3. Структура файлов поставки</w:t>
      </w:r>
    </w:p>
    <w:p>
      <w:pPr>
        <w:spacing w:before="0" w:after="1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Файлы Комплекса размещаются в одном каталоге и сохраняют структуру, приведённую ниже.</w:t>
      </w:r>
    </w:p>
    <w:p>
      <w:pPr>
        <w:spacing w:before="160" w:after="60"/>
        <w:jc w:val="right"/>
      </w:pPr>
      <w:r>
        <w:rPr>
          <w:rFonts w:ascii="Times New Roman" w:hAnsi="Times New Roman" w:cs="Times New Roman" w:eastAsia="Times New Roman"/>
          <w:b w:val="0"/>
          <w:i/>
          <w:sz w:val="22"/>
        </w:rPr>
        <w:t>Таблица 7 — Структура файлов поставки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986"/>
        <w:gridCol w:w="4986"/>
      </w:tblGrid>
      <w:tr>
        <w:tc>
          <w:tcPr>
            <w:tcW w:type="dxa" w:w="368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Каталог или файл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Содержание</w:t>
            </w:r>
          </w:p>
        </w:tc>
      </w:tr>
      <w:tr>
        <w:tc>
          <w:tcPr>
            <w:tcW w:type="dxa" w:w="368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mtk41-app/index.html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Точка входа приложения</w:t>
            </w:r>
          </w:p>
        </w:tc>
      </w:tr>
      <w:tr>
        <w:tc>
          <w:tcPr>
            <w:tcW w:type="dxa" w:w="368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mtk41-app/app.js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Создание приложения и регистрация экранов</w:t>
            </w:r>
          </w:p>
        </w:tc>
      </w:tr>
      <w:tr>
        <w:tc>
          <w:tcPr>
            <w:tcW w:type="dxa" w:w="368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mtk41-app/kiosk.config.json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Значения параметров показа при поставке</w:t>
            </w:r>
          </w:p>
        </w:tc>
      </w:tr>
      <w:tr>
        <w:tc>
          <w:tcPr>
            <w:tcW w:type="dxa" w:w="368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mtk41-app/i18n/ru.json, en.json, zh.json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Словари строк интерфейса</w:t>
            </w:r>
          </w:p>
        </w:tc>
      </w:tr>
      <w:tr>
        <w:tc>
          <w:tcPr>
            <w:tcW w:type="dxa" w:w="368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mtk41-app/scenes/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Программные модули экранов (7 файлов)</w:t>
            </w:r>
          </w:p>
        </w:tc>
      </w:tr>
      <w:tr>
        <w:tc>
          <w:tcPr>
            <w:tcW w:type="dxa" w:w="368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mtk41-app/styles.css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Стили комплекса</w:t>
            </w:r>
          </w:p>
        </w:tc>
      </w:tr>
      <w:tr>
        <w:tc>
          <w:tcPr>
            <w:tcW w:type="dxa" w:w="368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mtk41-app/fonts/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Шрифты комплекса</w:t>
            </w:r>
          </w:p>
        </w:tc>
      </w:tr>
      <w:tr>
        <w:tc>
          <w:tcPr>
            <w:tcW w:type="dxa" w:w="368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assets/shared/kiosk/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Ядро киоск-приложения</w:t>
            </w:r>
          </w:p>
        </w:tc>
      </w:tr>
      <w:tr>
        <w:tc>
          <w:tcPr>
            <w:tcW w:type="dxa" w:w="368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data/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Файлы данных комплекса</w:t>
            </w:r>
          </w:p>
        </w:tc>
      </w:tr>
      <w:tr>
        <w:tc>
          <w:tcPr>
            <w:tcW w:type="dxa" w:w="368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assets/mtk41/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Изображения комплекса</w:t>
            </w:r>
          </w:p>
        </w:tc>
      </w:tr>
    </w:tbl>
    <w:p>
      <w:pPr>
        <w:spacing w:before="0" w:after="80"/>
      </w:pPr>
    </w:p>
    <w:p>
      <w:pPr>
        <w:pStyle w:val="1"/>
        <w:spacing w:before="280" w:after="16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4. Структура данных</w:t>
      </w:r>
    </w:p>
    <w:p>
      <w:pPr>
        <w:pStyle w:val="2"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5"/>
        </w:rPr>
        <w:t>4.1. Принципы хранения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— Данные хранятся в файлах формата JSON в кодировке UTF-8. Система управления базой данных не применяется: объём данных Комплекса не требует её использования, а файловое хранение позволяет сотруднику музея править содержание в обычном текстовом редакторе и вести историю правок.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— Файл данных состоит из служебной части (наименование, версия, источники, описание полей) и массива записей.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— В большинстве файлов описание полей включено в сам файл в разделе schema; полное описание структуры записей приведено в разделе 4.3 настоящего документа.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— Данные загружаются один раз на старте Комплекса и в процессе работы не изменяются.</w:t>
      </w:r>
    </w:p>
    <w:p>
      <w:pPr>
        <w:pStyle w:val="2"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5"/>
        </w:rPr>
        <w:t>4.2. Состав наборов данных</w:t>
      </w:r>
    </w:p>
    <w:p>
      <w:pPr>
        <w:spacing w:before="160" w:after="60"/>
        <w:jc w:val="right"/>
      </w:pPr>
      <w:r>
        <w:rPr>
          <w:rFonts w:ascii="Times New Roman" w:hAnsi="Times New Roman" w:cs="Times New Roman" w:eastAsia="Times New Roman"/>
          <w:b w:val="0"/>
          <w:i/>
          <w:sz w:val="22"/>
        </w:rPr>
        <w:t>Таблица 8 — Наборы данных комплекса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493"/>
        <w:gridCol w:w="2493"/>
        <w:gridCol w:w="2493"/>
        <w:gridCol w:w="2493"/>
      </w:tblGrid>
      <w:tr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Файл</w:t>
            </w:r>
          </w:p>
        </w:tc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Содержание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Объём</w:t>
            </w:r>
          </w:p>
        </w:tc>
        <w:tc>
          <w:tcPr>
            <w:tcW w:type="dxa" w:w="1417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Размер</w:t>
            </w:r>
          </w:p>
        </w:tc>
      </w:tr>
      <w:tr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data/mtk41.json</w:t>
            </w:r>
          </w:p>
        </w:tc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Корпус памятников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283 записи</w:t>
            </w:r>
          </w:p>
        </w:tc>
        <w:tc>
          <w:tcPr>
            <w:tcW w:type="dxa" w:w="1417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493 КБ</w:t>
            </w:r>
          </w:p>
        </w:tc>
      </w:tr>
      <w:tr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data/ne_110m_countries.geojson</w:t>
            </w:r>
          </w:p>
        </w:tc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Векторная подложка карты мира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177 контуров стран</w:t>
            </w:r>
          </w:p>
        </w:tc>
        <w:tc>
          <w:tcPr>
            <w:tcW w:type="dxa" w:w="1417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996 КБ</w:t>
            </w:r>
          </w:p>
        </w:tc>
      </w:tr>
      <w:tr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assets/mtk41/sources/geoBoundaries-UKR-ADM1_simplified.geojson</w:t>
            </w:r>
          </w:p>
        </w:tc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Дополнительная административная подложка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—</w:t>
            </w:r>
          </w:p>
        </w:tc>
        <w:tc>
          <w:tcPr>
            <w:tcW w:type="dxa" w:w="1417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—</w:t>
            </w:r>
          </w:p>
        </w:tc>
      </w:tr>
    </w:tbl>
    <w:p>
      <w:pPr>
        <w:spacing w:before="0" w:after="80"/>
      </w:pPr>
    </w:p>
    <w:p>
      <w:pPr>
        <w:pStyle w:val="2"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5"/>
        </w:rPr>
        <w:t>4.3. Структура записей</w:t>
      </w:r>
    </w:p>
    <w:p>
      <w:pPr>
        <w:spacing w:before="0" w:after="1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Запись памятника (файл mtk41.json, массив items):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24"/>
        <w:gridCol w:w="3324"/>
        <w:gridCol w:w="3324"/>
      </w:tblGrid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Поле</w:t>
            </w:r>
          </w:p>
        </w:tc>
        <w:tc>
          <w:tcPr>
            <w:tcW w:type="dxa" w:w="1417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Тип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Описание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id</w:t>
            </w:r>
          </w:p>
        </w:tc>
        <w:tc>
          <w:tcPr>
            <w:tcW w:type="dxa" w:w="1417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строка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Идентификатор: город и год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title</w:t>
            </w:r>
          </w:p>
        </w:tc>
        <w:tc>
          <w:tcPr>
            <w:tcW w:type="dxa" w:w="1417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строка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Наименование памятника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year, date</w:t>
            </w:r>
          </w:p>
        </w:tc>
        <w:tc>
          <w:tcPr>
            <w:tcW w:type="dxa" w:w="1417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число / строка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Год установки; точная дата в формате ISO 8601, если известна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city, place, country</w:t>
            </w:r>
          </w:p>
        </w:tc>
        <w:tc>
          <w:tcPr>
            <w:tcW w:type="dxa" w:w="1417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строка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Город, полное место с регионом, страна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lat, lng, coords_verified</w:t>
            </w:r>
          </w:p>
        </w:tc>
        <w:tc>
          <w:tcPr>
            <w:tcW w:type="dxa" w:w="1417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число / логическое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Координаты WGS84; признак того, что это точка памятника, а не центр города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sculptors, architects</w:t>
            </w:r>
          </w:p>
        </w:tc>
        <w:tc>
          <w:tcPr>
            <w:tcW w:type="dxa" w:w="1417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массив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Авторы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status</w:t>
            </w:r>
          </w:p>
        </w:tc>
        <w:tc>
          <w:tcPr>
            <w:tcW w:type="dxa" w:w="1417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строка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Состояние: extant | demolished | relocated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kind, kind_ru</w:t>
            </w:r>
          </w:p>
        </w:tc>
        <w:tc>
          <w:tcPr>
            <w:tcW w:type="dxa" w:w="1417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строка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Вид объекта: скульптура, бюст, барельеф, геоглиф и др.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size_raw</w:t>
            </w:r>
          </w:p>
        </w:tc>
        <w:tc>
          <w:tcPr>
            <w:tcW w:type="dxa" w:w="1417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строка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Исходная запись размеров (фигура, постамент, общая высота)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short_text, note_full</w:t>
            </w:r>
          </w:p>
        </w:tc>
        <w:tc>
          <w:tcPr>
            <w:tcW w:type="dxa" w:w="1417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строка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Краткое и полное примечание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source</w:t>
            </w:r>
          </w:p>
        </w:tc>
        <w:tc>
          <w:tcPr>
            <w:tcW w:type="dxa" w:w="1417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строка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Источник сведений</w:t>
            </w:r>
          </w:p>
        </w:tc>
      </w:tr>
    </w:tbl>
    <w:p>
      <w:pPr>
        <w:spacing w:before="0" w:after="80"/>
      </w:pPr>
    </w:p>
    <w:p>
      <w:pPr>
        <w:pStyle w:val="2"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5"/>
        </w:rPr>
        <w:t>4.4. Справочники и признаки</w:t>
      </w:r>
    </w:p>
    <w:p>
      <w:pPr>
        <w:spacing w:before="0" w:after="1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Значения перечислимых полей (типы объектов, состояния, регионы, эпохи и т. п.) заданы справочниками в самих файлах данных. Это позволяет пополнять справочники без изменения программного кода: новое значение, добавленное в справочник и в записи, отображается Комплексом автоматически.</w:t>
      </w:r>
    </w:p>
    <w:p>
      <w:pPr>
        <w:pStyle w:val="2"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5"/>
        </w:rPr>
        <w:t>4.5. Медиаданные</w:t>
      </w:r>
    </w:p>
    <w:p>
      <w:pPr>
        <w:spacing w:before="160" w:after="60"/>
        <w:jc w:val="right"/>
      </w:pPr>
      <w:r>
        <w:rPr>
          <w:rFonts w:ascii="Times New Roman" w:hAnsi="Times New Roman" w:cs="Times New Roman" w:eastAsia="Times New Roman"/>
          <w:b w:val="0"/>
          <w:i/>
          <w:sz w:val="22"/>
        </w:rPr>
        <w:t>Таблица 9 — Медиаданные комплекса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493"/>
        <w:gridCol w:w="2493"/>
        <w:gridCol w:w="2493"/>
        <w:gridCol w:w="2493"/>
      </w:tblGrid>
      <w:tr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Каталог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Содержание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Объём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Формат</w:t>
            </w:r>
          </w:p>
        </w:tc>
      </w:tr>
      <w:tr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assets/mtk41/&lt;идентификатор объекта&gt;/photos/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Фотографии памятников: по одному каталогу на объект, 289 каталогов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405 файлов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JPEG/PNG</w:t>
            </w:r>
          </w:p>
        </w:tc>
      </w:tr>
    </w:tbl>
    <w:p>
      <w:pPr>
        <w:spacing w:before="0" w:after="80"/>
      </w:pPr>
    </w:p>
    <w:p>
      <w:pPr>
        <w:spacing w:before="0" w:after="1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Связь изображения с записью выполняется по имени файла, указанному в поле записи, либо по совпадению имени каталога с идентификатором записи. Изображения приведены к размерам, достаточным для показа в карточке на экране 3840×2160.</w:t>
      </w:r>
    </w:p>
    <w:p>
      <w:pPr>
        <w:spacing w:before="0" w:after="1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Отдельно от медиаданных хранятся исходные материалы, на основе которых готовилось содержание Комплекса; в работе приложения они не участвуют.</w:t>
      </w:r>
    </w:p>
    <w:p>
      <w:pPr>
        <w:spacing w:before="160" w:after="60"/>
        <w:jc w:val="right"/>
      </w:pPr>
      <w:r>
        <w:rPr>
          <w:rFonts w:ascii="Times New Roman" w:hAnsi="Times New Roman" w:cs="Times New Roman" w:eastAsia="Times New Roman"/>
          <w:b w:val="0"/>
          <w:i/>
          <w:sz w:val="22"/>
        </w:rPr>
        <w:t>Таблица 10 — Исходные материалы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493"/>
        <w:gridCol w:w="2493"/>
        <w:gridCol w:w="2493"/>
        <w:gridCol w:w="2493"/>
      </w:tblGrid>
      <w:tr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Каталог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Содержание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Объём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Формат</w:t>
            </w:r>
          </w:p>
        </w:tc>
      </w:tr>
      <w:tr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assets/mtk41/sources/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Документы куратора со списками памятников; административные границы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6 файлов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DOCX, GeoJSON</w:t>
            </w:r>
          </w:p>
        </w:tc>
      </w:tr>
      <w:tr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assets/mtk41/CATALOG.md, README.md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Опись фотоматериала и правила его пополнения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2 файла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Markdown</w:t>
            </w:r>
          </w:p>
        </w:tc>
      </w:tr>
    </w:tbl>
    <w:p>
      <w:pPr>
        <w:spacing w:before="0" w:after="80"/>
      </w:pPr>
    </w:p>
    <w:p>
      <w:pPr>
        <w:pStyle w:val="2"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5"/>
        </w:rPr>
        <w:t>4.6. Контроль целостности данных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— При загрузке проверяются формат файла, наличие обязательных полей и допустимость значений перечислимых полей.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— Запись с ошибкой пропускается, сведения о ней записываются в служебный журнал; работа Комплекса не прерывается.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— Ссылочная целостность (ссылки между наборами данных — например, записи на справочник или изображение) проверяется при подготовке поставки.</w:t>
      </w:r>
    </w:p>
    <w:p>
      <w:pPr>
        <w:pStyle w:val="1"/>
        <w:spacing w:before="280" w:after="16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5. Интеграции</w:t>
      </w:r>
    </w:p>
    <w:p>
      <w:pPr>
        <w:pStyle w:val="2"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5"/>
        </w:rPr>
        <w:t>5.1. Внешние программные интерфейсы</w:t>
      </w:r>
    </w:p>
    <w:p>
      <w:pPr>
        <w:spacing w:before="0" w:after="1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Комплекс не имеет внешних программных интерфейсов: он не предоставляет и не потребляет программные интерфейсы (API), не обращается к внешним службам, не передаёт и не принимает данные по сети. Это следствие требования полной автономности экспозиционного киоска: отсутствие сети или недоступность внешней службы не должны приводить к остановке показа.</w:t>
      </w:r>
    </w:p>
    <w:p>
      <w:pPr>
        <w:pStyle w:val="2"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5"/>
        </w:rPr>
        <w:t>5.2. Взаимодействие с общесистемным программным обеспечением и оборудованием</w:t>
      </w:r>
    </w:p>
    <w:p>
      <w:pPr>
        <w:spacing w:before="160" w:after="60"/>
        <w:jc w:val="right"/>
      </w:pPr>
      <w:r>
        <w:rPr>
          <w:rFonts w:ascii="Times New Roman" w:hAnsi="Times New Roman" w:cs="Times New Roman" w:eastAsia="Times New Roman"/>
          <w:b w:val="0"/>
          <w:i/>
          <w:sz w:val="22"/>
        </w:rPr>
        <w:t>Таблица 11 — Взаимодействие с общесистемным программным обеспечением и оборудованием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986"/>
        <w:gridCol w:w="4986"/>
      </w:tblGrid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Сопрягаемая часть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Способ взаимодействия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Операционная система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Автоматический запуск Комплекса при входе в систему; ежедневный перезапуск средствами планировщика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Веб-браузер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Запуск в режиме киоска с указанием локального адреса Комплекса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Локальная служба выдачи файлов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Выдача файлов Комплекса по адресу локальной петли (127.0.0.1). Служба принимает соединения только с этого компьютера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Дисплей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Вывод изображения 3840×2160 средствами операционной системы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Сенсорная рамка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Стандартные события касания операционной системы, обрабатываемые браузером; отдельного драйвера Комплекс не требует</w:t>
            </w:r>
          </w:p>
        </w:tc>
      </w:tr>
    </w:tbl>
    <w:p>
      <w:pPr>
        <w:spacing w:before="0" w:after="80"/>
      </w:pPr>
    </w:p>
    <w:p>
      <w:pPr>
        <w:pStyle w:val="2"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5"/>
        </w:rPr>
        <w:t>5.3. Внешние источники данных</w:t>
      </w:r>
    </w:p>
    <w:p>
      <w:pPr>
        <w:spacing w:before="0" w:after="1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Внешние источники использовались только на этапе подготовки содержания. Полученные сведения включены в состав поставки в виде файлов; в процессе работы Комплекс к источникам не обращается.</w:t>
      </w:r>
    </w:p>
    <w:p>
      <w:pPr>
        <w:spacing w:before="160" w:after="60"/>
        <w:jc w:val="right"/>
      </w:pPr>
      <w:r>
        <w:rPr>
          <w:rFonts w:ascii="Times New Roman" w:hAnsi="Times New Roman" w:cs="Times New Roman" w:eastAsia="Times New Roman"/>
          <w:b w:val="0"/>
          <w:i/>
          <w:sz w:val="22"/>
        </w:rPr>
        <w:t>Таблица 12 — Внешние источники данных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24"/>
        <w:gridCol w:w="3324"/>
        <w:gridCol w:w="3324"/>
      </w:tblGrid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Источник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Что получено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Условия использования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Документы и материалы, переданные музеем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Опорные списки объектов, справки, фотографии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Материалы заказчика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Открытые энциклопедические и справочные ресурсы (в том числе Викиданные)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Уточнение датировок, наименований и сведений об объектах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Ссылка на источник сохранена в полях записи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Natural Earth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Векторные контуры стран для карт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Общественное достояние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OpenStreetMap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Геометрия объектов и координаты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Лицензия ODbL, указание авторства выводится на экранах с картами</w:t>
            </w:r>
          </w:p>
        </w:tc>
      </w:tr>
    </w:tbl>
    <w:p>
      <w:pPr>
        <w:spacing w:before="0" w:after="80"/>
      </w:pPr>
    </w:p>
    <w:p>
      <w:pPr>
        <w:spacing w:before="0" w:after="160"/>
        <w:ind w:left="283"/>
        <w:jc w:val="both"/>
      </w:pPr>
      <w:r>
        <w:rPr>
          <w:rFonts w:ascii="Times New Roman" w:hAnsi="Times New Roman" w:cs="Times New Roman" w:eastAsia="Times New Roman"/>
          <w:b w:val="0"/>
          <w:i/>
          <w:sz w:val="22"/>
        </w:rPr>
        <w:t>Приведение фотографий к единому размеру и сверка разнородных списков объектов между собой выполнялись средствами автоматической обработки изображений и данных; результат проверен вручную.</w:t>
      </w:r>
    </w:p>
    <w:p>
      <w:pPr>
        <w:pStyle w:val="2"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5"/>
        </w:rPr>
        <w:t>5.4. Передача обновлений содержания</w:t>
      </w:r>
    </w:p>
    <w:p>
      <w:pPr>
        <w:spacing w:before="0" w:after="1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Обновление содержания выполняется передачей файлов: музей передаёт уточнённые сведения и изображения, изменения вносятся в файлы данных, обновлённый комплект копируется на рабочее место. Порядок замены файлов приведён в пользовательской инструкции.</w:t>
      </w:r>
    </w:p>
    <w:p>
      <w:pPr>
        <w:pStyle w:val="1"/>
        <w:spacing w:before="280" w:after="16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6. Сборка и развёртывание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1) Скопировать каталог поставки на компьютер экспозиции.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2) Установить локальную службу выдачи файлов из состава поставки и запустить её.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3) Создать ярлык запуска браузера в режиме киоска с адресом Комплекса и поместить его в автозагрузку.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4) Задать в служебной панели параметры показа для конкретного рабочего места.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5) Проверить работу на целевом экране 3840×2160 и отключить компьютер от сети передачи данных.</w:t>
      </w:r>
    </w:p>
    <w:p>
      <w:pPr>
        <w:spacing w:before="0" w:after="1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Промежуточная сборка не требуется: поставляемые файлы совпадают с исходными.</w:t>
      </w:r>
    </w:p>
    <w:sectPr w:rsidR="00C00357" w:rsidRPr="00EB6C19">
      <w:pgSz w:w="12240" w:h="15840"/>
      <w:pgMar w:top="1134" w:right="850" w:bottom="1134" w:left="1417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Gungsuh">
    <w:altName w:val="BorjomiC"/>
    <w:charset w:val="00"/>
    <w:family w:val="auto"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0357"/>
    <w:rsid w:val="00C00357"/>
    <w:rsid w:val="00EB6C19"/>
    <w:rsid w:val="00FA1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27C273"/>
  <w15:docId w15:val="{F89FEA15-92E1-44BC-B2E3-A6DB0EDB33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en" w:eastAsia="ko-KR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pPr>
      <w:spacing w:line="276" w:lineRule="auto" w:after="120"/>
    </w:pPr>
    <w:rPr>
      <w:rFonts w:ascii="Times New Roman" w:hAnsi="Times New Roman" w:cs="Times New Roman" w:eastAsia="Times New Roman"/>
      <w:sz w:val="24"/>
    </w:rPr>
  </w:style>
  <w:style w:type="paragraph" w:styleId="1">
    <w:name w:val="heading 1"/>
    <w:basedOn w:val="a"/>
    <w:next w:val="a"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2">
    <w:name w:val="heading 2"/>
    <w:basedOn w:val="a"/>
    <w:next w:val="a"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3">
    <w:name w:val="heading 3"/>
    <w:basedOn w:val="a"/>
    <w:next w:val="a"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4">
    <w:name w:val="heading 4"/>
    <w:basedOn w:val="a"/>
    <w:next w:val="a"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5">
    <w:name w:val="heading 5"/>
    <w:basedOn w:val="a"/>
    <w:next w:val="a"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6">
    <w:name w:val="heading 6"/>
    <w:basedOn w:val="a"/>
    <w:next w:val="a"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a4">
    <w:name w:val="Subtitle"/>
    <w:basedOn w:val="a"/>
    <w:next w:val="a"/>
    <w:rPr>
      <w:rFonts w:ascii="Calibri" w:eastAsia="Calibri" w:hAnsi="Calibri" w:cs="Calibri"/>
      <w:i/>
      <w:iCs/>
      <w:color w:val="4F81BD"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ae">
    <w:name w:val="TOC Heading"/>
    <w:basedOn w:val="1"/>
    <w:next w:val="a"/>
    <w:uiPriority w:val="39"/>
    <w:unhideWhenUsed/>
    <w:qFormat/>
    <w:rsid w:val="00EB6C19"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val="ru-RU"/>
    </w:rPr>
  </w:style>
  <w:style w:type="paragraph" w:styleId="10">
    <w:name w:val="toc 1"/>
    <w:basedOn w:val="a"/>
    <w:next w:val="a"/>
    <w:autoRedefine/>
    <w:uiPriority w:val="39"/>
    <w:unhideWhenUsed/>
    <w:rsid w:val="00EB6C19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EB6C19"/>
    <w:pPr>
      <w:spacing w:after="100"/>
      <w:ind w:left="240"/>
    </w:pPr>
  </w:style>
  <w:style w:type="character" w:styleId="af">
    <w:name w:val="Hyperlink"/>
    <w:basedOn w:val="a0"/>
    <w:uiPriority w:val="99"/>
    <w:unhideWhenUsed/>
    <w:rsid w:val="00EB6C1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13</Pages>
  <Words>2736</Words>
  <Characters>15598</Characters>
  <Application>Microsoft Office Word</Application>
  <DocSecurity>0</DocSecurity>
  <Lines>129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Oleg</cp:lastModifiedBy>
  <cp:revision>2</cp:revision>
  <dcterms:created xsi:type="dcterms:W3CDTF">2026-08-03T13:10:00Z</dcterms:created>
  <dcterms:modified xsi:type="dcterms:W3CDTF">2026-08-03T13:27:00Z</dcterms:modified>
</cp:coreProperties>
</file>