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A185" w14:textId="77777777" w:rsidR="004B2B42" w:rsidRPr="009766E4" w:rsidRDefault="004B2B42" w:rsidP="004B2B42">
      <w:pPr>
        <w:jc w:val="center"/>
        <w:rPr>
          <w:b/>
          <w:color w:val="000000" w:themeColor="text1"/>
          <w:sz w:val="28"/>
          <w:szCs w:val="28"/>
        </w:rPr>
      </w:pPr>
      <w:r w:rsidRPr="009766E4">
        <w:rPr>
          <w:b/>
          <w:color w:val="000000" w:themeColor="text1"/>
          <w:sz w:val="28"/>
          <w:szCs w:val="28"/>
        </w:rPr>
        <w:t>Privacy Policy (Version 1)</w:t>
      </w:r>
      <w:r w:rsidRPr="009766E4">
        <w:rPr>
          <w:b/>
          <w:color w:val="000000" w:themeColor="text1"/>
          <w:sz w:val="28"/>
          <w:szCs w:val="28"/>
        </w:rPr>
        <w:t xml:space="preserve">       </w:t>
      </w:r>
    </w:p>
    <w:p w14:paraId="0A323799" w14:textId="77777777" w:rsidR="004B2B42" w:rsidRPr="009766E4" w:rsidRDefault="004B2B42" w:rsidP="004B2B42">
      <w:pPr>
        <w:jc w:val="center"/>
        <w:rPr>
          <w:color w:val="000000" w:themeColor="text1"/>
        </w:rPr>
      </w:pPr>
    </w:p>
    <w:p w14:paraId="438B989C" w14:textId="77777777" w:rsidR="004B2B42" w:rsidRPr="009766E4" w:rsidRDefault="004B2B42" w:rsidP="004B2B42">
      <w:pPr>
        <w:rPr>
          <w:color w:val="000000" w:themeColor="text1"/>
        </w:rPr>
      </w:pPr>
      <w:r w:rsidRPr="009766E4">
        <w:rPr>
          <w:color w:val="000000" w:themeColor="text1"/>
        </w:rPr>
        <w:t>This privacy policy (herein after "the Policy") applies to the processing of personal data carried out in the process of recommending nearby restaurants to end users of CloverIT.</w:t>
      </w:r>
    </w:p>
    <w:p w14:paraId="5D6A8312" w14:textId="77777777" w:rsidR="004B2B42" w:rsidRPr="009766E4" w:rsidRDefault="004B2B42" w:rsidP="004B2B42">
      <w:pPr>
        <w:rPr>
          <w:color w:val="000000" w:themeColor="text1"/>
        </w:rPr>
      </w:pPr>
    </w:p>
    <w:p w14:paraId="5A3320AE" w14:textId="77777777" w:rsidR="004B2B42" w:rsidRPr="009766E4" w:rsidRDefault="004B2B42" w:rsidP="004B2B42">
      <w:pPr>
        <w:rPr>
          <w:color w:val="000000" w:themeColor="text1"/>
        </w:rPr>
      </w:pPr>
      <w:r w:rsidRPr="009766E4">
        <w:rPr>
          <w:color w:val="000000" w:themeColor="text1"/>
        </w:rPr>
        <w:t>Further to Article 11 and Article 12 of this Regulation, the Institution CloverIT provides the data subjects with the following information:</w:t>
      </w:r>
    </w:p>
    <w:p w14:paraId="76799690" w14:textId="77777777" w:rsidR="004B2B42" w:rsidRPr="009766E4" w:rsidRDefault="004B2B42" w:rsidP="004B2B42">
      <w:pPr>
        <w:rPr>
          <w:color w:val="000000" w:themeColor="text1"/>
        </w:rPr>
      </w:pPr>
    </w:p>
    <w:p w14:paraId="31920CF9" w14:textId="77777777" w:rsidR="004B2B42" w:rsidRPr="009766E4" w:rsidRDefault="004B2B42" w:rsidP="004B2B42">
      <w:pPr>
        <w:rPr>
          <w:color w:val="000000" w:themeColor="text1"/>
        </w:rPr>
      </w:pPr>
    </w:p>
    <w:p w14:paraId="4B086D45" w14:textId="77777777" w:rsidR="004B2B42" w:rsidRPr="009766E4" w:rsidRDefault="004B2B42" w:rsidP="004B2B42">
      <w:pPr>
        <w:numPr>
          <w:ilvl w:val="0"/>
          <w:numId w:val="1"/>
        </w:numPr>
        <w:rPr>
          <w:color w:val="000000" w:themeColor="text1"/>
        </w:rPr>
      </w:pPr>
      <w:r w:rsidRPr="009766E4">
        <w:rPr>
          <w:color w:val="000000" w:themeColor="text1"/>
        </w:rPr>
        <w:t xml:space="preserve">Data Controller: </w:t>
      </w:r>
      <w:r w:rsidRPr="009766E4">
        <w:rPr>
          <w:i/>
          <w:iCs/>
          <w:color w:val="000000" w:themeColor="text1"/>
        </w:rPr>
        <w:t>CloverIT</w:t>
      </w:r>
    </w:p>
    <w:p w14:paraId="1D54CE7A" w14:textId="77777777" w:rsidR="004B2B42" w:rsidRPr="009766E4" w:rsidRDefault="004B2B42" w:rsidP="004B2B42">
      <w:pPr>
        <w:ind w:left="720"/>
        <w:rPr>
          <w:color w:val="000000" w:themeColor="text1"/>
        </w:rPr>
      </w:pPr>
      <w:r w:rsidRPr="009766E4">
        <w:rPr>
          <w:color w:val="000000" w:themeColor="text1"/>
        </w:rPr>
        <w:t xml:space="preserve">Data Protection Officer (herein after “the DPO”): </w:t>
      </w:r>
      <w:r w:rsidRPr="009766E4">
        <w:rPr>
          <w:i/>
          <w:iCs/>
          <w:color w:val="000000" w:themeColor="text1"/>
        </w:rPr>
        <w:t>Mr. Andrea Bouquet</w:t>
      </w:r>
    </w:p>
    <w:p w14:paraId="5981F310" w14:textId="77777777" w:rsidR="004B2B42" w:rsidRPr="009766E4" w:rsidRDefault="004B2B42" w:rsidP="004B2B42">
      <w:pPr>
        <w:ind w:left="720"/>
        <w:rPr>
          <w:color w:val="000000" w:themeColor="text1"/>
          <w:lang w:val="fr-FR"/>
        </w:rPr>
      </w:pPr>
      <w:proofErr w:type="gramStart"/>
      <w:r w:rsidRPr="009766E4">
        <w:rPr>
          <w:color w:val="000000" w:themeColor="text1"/>
          <w:lang w:val="fr-FR"/>
        </w:rPr>
        <w:t>Email:</w:t>
      </w:r>
      <w:proofErr w:type="gramEnd"/>
      <w:r w:rsidRPr="009766E4">
        <w:rPr>
          <w:color w:val="000000" w:themeColor="text1"/>
          <w:lang w:val="fr-FR"/>
        </w:rPr>
        <w:t xml:space="preserve"> </w:t>
      </w:r>
      <w:r w:rsidRPr="009766E4">
        <w:rPr>
          <w:i/>
          <w:iCs/>
          <w:color w:val="000000" w:themeColor="text1"/>
          <w:lang w:val="fr-FR"/>
        </w:rPr>
        <w:t>info@clover-it.com</w:t>
      </w:r>
    </w:p>
    <w:p w14:paraId="6956975C" w14:textId="77777777" w:rsidR="004B2B42" w:rsidRPr="009766E4" w:rsidRDefault="004B2B42" w:rsidP="004B2B42">
      <w:pPr>
        <w:ind w:left="720"/>
        <w:rPr>
          <w:color w:val="000000" w:themeColor="text1"/>
          <w:lang w:val="fr-FR"/>
        </w:rPr>
      </w:pPr>
    </w:p>
    <w:p w14:paraId="39F98980" w14:textId="77777777" w:rsidR="004B2B42" w:rsidRPr="009766E4" w:rsidRDefault="004B2B42" w:rsidP="004B2B42">
      <w:pPr>
        <w:numPr>
          <w:ilvl w:val="0"/>
          <w:numId w:val="1"/>
        </w:numPr>
        <w:rPr>
          <w:color w:val="000000" w:themeColor="text1"/>
        </w:rPr>
      </w:pPr>
      <w:r w:rsidRPr="009766E4">
        <w:rPr>
          <w:color w:val="000000" w:themeColor="text1"/>
        </w:rPr>
        <w:t xml:space="preserve">The purpose of the processing is to provide end users with </w:t>
      </w:r>
      <w:r w:rsidRPr="009766E4">
        <w:rPr>
          <w:color w:val="000000" w:themeColor="text1"/>
          <w:u w:val="single"/>
        </w:rPr>
        <w:t>recommendations of nearby restaurants to visit</w:t>
      </w:r>
      <w:r w:rsidRPr="009766E4">
        <w:rPr>
          <w:color w:val="000000" w:themeColor="text1"/>
        </w:rPr>
        <w:t xml:space="preserve">. As part of our business model, we additionally process personal data to </w:t>
      </w:r>
      <w:r w:rsidRPr="009766E4">
        <w:rPr>
          <w:color w:val="000000" w:themeColor="text1"/>
          <w:u w:val="single"/>
        </w:rPr>
        <w:t>present advertisement</w:t>
      </w:r>
      <w:r w:rsidRPr="009766E4">
        <w:rPr>
          <w:color w:val="000000" w:themeColor="text1"/>
        </w:rPr>
        <w:t xml:space="preserve"> to our customers and </w:t>
      </w:r>
      <w:r w:rsidRPr="009766E4">
        <w:rPr>
          <w:color w:val="000000" w:themeColor="text1"/>
          <w:u w:val="single"/>
        </w:rPr>
        <w:t>perform marketing</w:t>
      </w:r>
      <w:r w:rsidRPr="009766E4">
        <w:rPr>
          <w:color w:val="000000" w:themeColor="text1"/>
        </w:rPr>
        <w:t xml:space="preserve">. To prevent fraud, we process personal data for </w:t>
      </w:r>
      <w:r w:rsidRPr="009766E4">
        <w:rPr>
          <w:color w:val="000000" w:themeColor="text1"/>
          <w:u w:val="single"/>
        </w:rPr>
        <w:t>identity verification</w:t>
      </w:r>
      <w:r w:rsidRPr="009766E4">
        <w:rPr>
          <w:color w:val="000000" w:themeColor="text1"/>
        </w:rPr>
        <w:t xml:space="preserve">. </w:t>
      </w:r>
    </w:p>
    <w:p w14:paraId="351CCE9D" w14:textId="77777777" w:rsidR="004B2B42" w:rsidRPr="009766E4" w:rsidRDefault="004B2B42" w:rsidP="004B2B42">
      <w:pPr>
        <w:ind w:left="360"/>
        <w:rPr>
          <w:color w:val="000000" w:themeColor="text1"/>
        </w:rPr>
      </w:pPr>
    </w:p>
    <w:p w14:paraId="2D2F3215" w14:textId="77777777" w:rsidR="004B2B42" w:rsidRPr="009766E4" w:rsidRDefault="004B2B42" w:rsidP="004B2B42">
      <w:pPr>
        <w:numPr>
          <w:ilvl w:val="0"/>
          <w:numId w:val="1"/>
        </w:numPr>
        <w:rPr>
          <w:color w:val="000000" w:themeColor="text1"/>
        </w:rPr>
      </w:pPr>
      <w:r w:rsidRPr="009766E4">
        <w:rPr>
          <w:color w:val="000000" w:themeColor="text1"/>
        </w:rPr>
        <w:t xml:space="preserve">The categories of data collected and used for the processing operations are: </w:t>
      </w:r>
    </w:p>
    <w:p w14:paraId="06A10954" w14:textId="77777777" w:rsidR="004B2B42" w:rsidRPr="009766E4" w:rsidRDefault="004B2B42" w:rsidP="004B2B42">
      <w:pPr>
        <w:ind w:left="1440"/>
        <w:rPr>
          <w:color w:val="000000" w:themeColor="text1"/>
        </w:rPr>
      </w:pPr>
      <w:r w:rsidRPr="009766E4">
        <w:rPr>
          <w:color w:val="000000" w:themeColor="text1"/>
        </w:rPr>
        <w:t xml:space="preserve">- </w:t>
      </w:r>
      <w:r w:rsidRPr="009766E4">
        <w:rPr>
          <w:color w:val="000000" w:themeColor="text1"/>
          <w:u w:val="single"/>
        </w:rPr>
        <w:t>location data</w:t>
      </w:r>
      <w:r w:rsidRPr="009766E4">
        <w:rPr>
          <w:color w:val="000000" w:themeColor="text1"/>
        </w:rPr>
        <w:t xml:space="preserve"> (GPS location, collected via mobile app)</w:t>
      </w:r>
    </w:p>
    <w:p w14:paraId="6AEF89BE" w14:textId="77777777" w:rsidR="004B2B42" w:rsidRPr="009766E4" w:rsidRDefault="004B2B42" w:rsidP="004B2B42">
      <w:pPr>
        <w:ind w:left="1440"/>
        <w:rPr>
          <w:color w:val="000000" w:themeColor="text1"/>
        </w:rPr>
      </w:pPr>
      <w:r w:rsidRPr="009766E4">
        <w:rPr>
          <w:color w:val="000000" w:themeColor="text1"/>
        </w:rPr>
        <w:t xml:space="preserve">- </w:t>
      </w:r>
      <w:r w:rsidRPr="009766E4">
        <w:rPr>
          <w:color w:val="000000" w:themeColor="text1"/>
          <w:u w:val="single"/>
        </w:rPr>
        <w:t>name data</w:t>
      </w:r>
      <w:r w:rsidRPr="009766E4">
        <w:rPr>
          <w:color w:val="000000" w:themeColor="text1"/>
        </w:rPr>
        <w:t xml:space="preserve"> (name and first name, collected through account creation)</w:t>
      </w:r>
    </w:p>
    <w:p w14:paraId="02844101" w14:textId="77777777" w:rsidR="004B2B42" w:rsidRPr="009766E4" w:rsidRDefault="004B2B42" w:rsidP="004B2B42">
      <w:pPr>
        <w:ind w:left="1440"/>
        <w:rPr>
          <w:color w:val="000000" w:themeColor="text1"/>
        </w:rPr>
      </w:pPr>
      <w:r w:rsidRPr="009766E4">
        <w:rPr>
          <w:color w:val="000000" w:themeColor="text1"/>
        </w:rPr>
        <w:t xml:space="preserve">- </w:t>
      </w:r>
      <w:r w:rsidRPr="009766E4">
        <w:rPr>
          <w:color w:val="000000" w:themeColor="text1"/>
          <w:u w:val="single"/>
        </w:rPr>
        <w:t>fingerprint data</w:t>
      </w:r>
      <w:r w:rsidRPr="009766E4">
        <w:rPr>
          <w:color w:val="000000" w:themeColor="text1"/>
        </w:rPr>
        <w:t xml:space="preserve"> (fingerprint, collected via fingerprint sensor)</w:t>
      </w:r>
    </w:p>
    <w:p w14:paraId="26BE63F5" w14:textId="77777777" w:rsidR="004B2B42" w:rsidRPr="009766E4" w:rsidRDefault="004B2B42" w:rsidP="004B2B42">
      <w:pPr>
        <w:ind w:left="360"/>
        <w:rPr>
          <w:color w:val="000000" w:themeColor="text1"/>
        </w:rPr>
      </w:pPr>
    </w:p>
    <w:p w14:paraId="710D885E" w14:textId="77777777" w:rsidR="004B2B42" w:rsidRPr="009766E4" w:rsidRDefault="004B2B42" w:rsidP="004B2B42">
      <w:pPr>
        <w:numPr>
          <w:ilvl w:val="0"/>
          <w:numId w:val="1"/>
        </w:numPr>
        <w:rPr>
          <w:color w:val="000000" w:themeColor="text1"/>
        </w:rPr>
      </w:pPr>
      <w:r w:rsidRPr="009766E4">
        <w:rPr>
          <w:color w:val="000000" w:themeColor="text1"/>
        </w:rPr>
        <w:t>The recipients of the data are:</w:t>
      </w:r>
    </w:p>
    <w:p w14:paraId="2F35713D" w14:textId="77777777" w:rsidR="004B2B42" w:rsidRPr="009766E4" w:rsidRDefault="004B2B42" w:rsidP="004B2B42">
      <w:pPr>
        <w:ind w:left="1440"/>
        <w:rPr>
          <w:color w:val="000000" w:themeColor="text1"/>
        </w:rPr>
      </w:pPr>
      <w:r w:rsidRPr="009766E4">
        <w:rPr>
          <w:color w:val="000000" w:themeColor="text1"/>
        </w:rPr>
        <w:t xml:space="preserve">- </w:t>
      </w:r>
      <w:r w:rsidRPr="009766E4">
        <w:rPr>
          <w:color w:val="000000" w:themeColor="text1"/>
          <w:u w:val="single"/>
        </w:rPr>
        <w:t>CloverIT Marketing Research Unit</w:t>
      </w:r>
    </w:p>
    <w:p w14:paraId="30460B00" w14:textId="77777777" w:rsidR="004B2B42" w:rsidRPr="009766E4" w:rsidRDefault="004B2B42" w:rsidP="004B2B42">
      <w:pPr>
        <w:ind w:left="1440"/>
        <w:rPr>
          <w:color w:val="000000" w:themeColor="text1"/>
        </w:rPr>
      </w:pPr>
      <w:r w:rsidRPr="009766E4">
        <w:rPr>
          <w:color w:val="000000" w:themeColor="text1"/>
        </w:rPr>
        <w:t xml:space="preserve">- </w:t>
      </w:r>
      <w:r w:rsidRPr="009766E4">
        <w:rPr>
          <w:color w:val="000000" w:themeColor="text1"/>
          <w:u w:val="single"/>
        </w:rPr>
        <w:t>CloverIT Data Science Unit</w:t>
      </w:r>
      <w:r w:rsidRPr="009766E4">
        <w:rPr>
          <w:color w:val="000000" w:themeColor="text1"/>
        </w:rPr>
        <w:t xml:space="preserve"> </w:t>
      </w:r>
    </w:p>
    <w:p w14:paraId="0A20D0AD" w14:textId="77777777" w:rsidR="004B2B42" w:rsidRPr="009766E4" w:rsidRDefault="004B2B42" w:rsidP="004B2B42">
      <w:pPr>
        <w:ind w:left="1440"/>
        <w:rPr>
          <w:color w:val="000000" w:themeColor="text1"/>
          <w:u w:val="single"/>
        </w:rPr>
      </w:pPr>
      <w:r w:rsidRPr="009766E4">
        <w:rPr>
          <w:color w:val="000000" w:themeColor="text1"/>
        </w:rPr>
        <w:t xml:space="preserve">- </w:t>
      </w:r>
      <w:r w:rsidRPr="009766E4">
        <w:rPr>
          <w:color w:val="000000" w:themeColor="text1"/>
          <w:u w:val="single"/>
        </w:rPr>
        <w:t>AdNet-X-Italy</w:t>
      </w:r>
    </w:p>
    <w:p w14:paraId="27F22FE0" w14:textId="77777777" w:rsidR="004B2B42" w:rsidRPr="009766E4" w:rsidRDefault="004B2B42" w:rsidP="004B2B42">
      <w:pPr>
        <w:ind w:left="1440"/>
        <w:rPr>
          <w:color w:val="000000" w:themeColor="text1"/>
        </w:rPr>
      </w:pPr>
    </w:p>
    <w:p w14:paraId="1123729A" w14:textId="77777777" w:rsidR="004B2B42" w:rsidRPr="009766E4" w:rsidRDefault="004B2B42" w:rsidP="004B2B42">
      <w:pPr>
        <w:ind w:left="360"/>
        <w:rPr>
          <w:color w:val="000000" w:themeColor="text1"/>
        </w:rPr>
      </w:pPr>
      <w:r w:rsidRPr="009766E4">
        <w:rPr>
          <w:color w:val="000000" w:themeColor="text1"/>
        </w:rPr>
        <w:t xml:space="preserve">The applicants have the right of access and the right to rectify the data concerning him or her by contacting the person designated as </w:t>
      </w:r>
      <w:proofErr w:type="gramStart"/>
      <w:r w:rsidRPr="009766E4">
        <w:rPr>
          <w:color w:val="000000" w:themeColor="text1"/>
        </w:rPr>
        <w:t>being in charge of</w:t>
      </w:r>
      <w:proofErr w:type="gramEnd"/>
      <w:r w:rsidRPr="009766E4">
        <w:rPr>
          <w:color w:val="000000" w:themeColor="text1"/>
        </w:rPr>
        <w:t xml:space="preserve"> the processing operation. The right of rectification can only apply to factual data processed within the selection procedure. In addition, data related to the admissibility criteria can not be rectified after the closing date of submitting applications. </w:t>
      </w:r>
    </w:p>
    <w:p w14:paraId="17F049B3" w14:textId="77777777" w:rsidR="004B2B42" w:rsidRPr="009766E4" w:rsidRDefault="004B2B42" w:rsidP="004B2B42">
      <w:pPr>
        <w:ind w:left="360"/>
        <w:rPr>
          <w:color w:val="000000" w:themeColor="text1"/>
        </w:rPr>
      </w:pPr>
    </w:p>
    <w:p w14:paraId="78482400" w14:textId="77777777" w:rsidR="004B2B42" w:rsidRPr="009766E4" w:rsidRDefault="004B2B42" w:rsidP="004B2B42">
      <w:pPr>
        <w:numPr>
          <w:ilvl w:val="0"/>
          <w:numId w:val="2"/>
        </w:numPr>
        <w:rPr>
          <w:color w:val="000000" w:themeColor="text1"/>
        </w:rPr>
      </w:pPr>
      <w:r w:rsidRPr="009766E4">
        <w:rPr>
          <w:color w:val="000000" w:themeColor="text1"/>
        </w:rPr>
        <w:t>The legal basis of the processing operation at stake is necessity to perform a contract and consent.</w:t>
      </w:r>
    </w:p>
    <w:p w14:paraId="029A1B40" w14:textId="77777777" w:rsidR="004B2B42" w:rsidRPr="009766E4" w:rsidRDefault="004B2B42" w:rsidP="004B2B42">
      <w:pPr>
        <w:ind w:left="360"/>
        <w:rPr>
          <w:color w:val="000000" w:themeColor="text1"/>
        </w:rPr>
      </w:pPr>
    </w:p>
    <w:p w14:paraId="6D14147A" w14:textId="77777777" w:rsidR="004B2B42" w:rsidRPr="009766E4" w:rsidRDefault="004B2B42" w:rsidP="004B2B42">
      <w:pPr>
        <w:numPr>
          <w:ilvl w:val="0"/>
          <w:numId w:val="2"/>
        </w:numPr>
        <w:rPr>
          <w:color w:val="000000" w:themeColor="text1"/>
        </w:rPr>
      </w:pPr>
      <w:r w:rsidRPr="009766E4">
        <w:rPr>
          <w:color w:val="000000" w:themeColor="text1"/>
        </w:rPr>
        <w:t>The time limits for storing the data are the following:</w:t>
      </w:r>
    </w:p>
    <w:p w14:paraId="36628F4C" w14:textId="77777777" w:rsidR="004B2B42" w:rsidRPr="009766E4" w:rsidRDefault="004B2B42" w:rsidP="004B2B42">
      <w:pPr>
        <w:ind w:left="720" w:firstLine="720"/>
        <w:rPr>
          <w:color w:val="000000" w:themeColor="text1"/>
        </w:rPr>
      </w:pPr>
      <w:r w:rsidRPr="009766E4">
        <w:rPr>
          <w:color w:val="000000" w:themeColor="text1"/>
        </w:rPr>
        <w:t>- location-data for in-situ recommendations</w:t>
      </w:r>
    </w:p>
    <w:p w14:paraId="7E2034A4" w14:textId="77777777" w:rsidR="004B2B42" w:rsidRPr="009766E4" w:rsidRDefault="004B2B42" w:rsidP="004B2B42">
      <w:pPr>
        <w:ind w:left="720" w:firstLine="720"/>
        <w:rPr>
          <w:color w:val="000000" w:themeColor="text1"/>
        </w:rPr>
      </w:pPr>
      <w:r w:rsidRPr="009766E4">
        <w:rPr>
          <w:color w:val="000000" w:themeColor="text1"/>
        </w:rPr>
        <w:t>- name data for the recruited candidates</w:t>
      </w:r>
    </w:p>
    <w:p w14:paraId="34907635" w14:textId="77777777" w:rsidR="004B2B42" w:rsidRPr="009766E4" w:rsidRDefault="004B2B42" w:rsidP="004B2B42">
      <w:pPr>
        <w:ind w:left="720" w:firstLine="720"/>
        <w:rPr>
          <w:color w:val="000000" w:themeColor="text1"/>
        </w:rPr>
      </w:pPr>
      <w:r w:rsidRPr="009766E4">
        <w:rPr>
          <w:color w:val="000000" w:themeColor="text1"/>
        </w:rPr>
        <w:t>- fingerprint for the spontaneous applications</w:t>
      </w:r>
    </w:p>
    <w:p w14:paraId="2513A832" w14:textId="77777777" w:rsidR="004B2B42" w:rsidRPr="009766E4" w:rsidRDefault="004B2B42" w:rsidP="004B2B42">
      <w:pPr>
        <w:ind w:left="720" w:firstLine="720"/>
        <w:rPr>
          <w:color w:val="000000" w:themeColor="text1"/>
        </w:rPr>
      </w:pPr>
    </w:p>
    <w:p w14:paraId="7E2850F0" w14:textId="77777777" w:rsidR="004B2B42" w:rsidRPr="009766E4" w:rsidRDefault="004B2B42" w:rsidP="004B2B42">
      <w:pPr>
        <w:numPr>
          <w:ilvl w:val="0"/>
          <w:numId w:val="2"/>
        </w:numPr>
        <w:rPr>
          <w:color w:val="000000" w:themeColor="text1"/>
        </w:rPr>
      </w:pPr>
      <w:r w:rsidRPr="009766E4">
        <w:rPr>
          <w:color w:val="000000" w:themeColor="text1"/>
        </w:rPr>
        <w:t xml:space="preserve">The candidates have the right to have recourse at any time to the DPO </w:t>
      </w:r>
      <w:hyperlink r:id="rId5" w:history="1">
        <w:r w:rsidRPr="009766E4">
          <w:rPr>
            <w:rStyle w:val="Hyperlink"/>
            <w:color w:val="000000" w:themeColor="text1"/>
          </w:rPr>
          <w:t>info@clover-it.com</w:t>
        </w:r>
      </w:hyperlink>
      <w:r w:rsidRPr="009766E4">
        <w:rPr>
          <w:color w:val="000000" w:themeColor="text1"/>
        </w:rPr>
        <w:t xml:space="preserve"> and to the European Data Protection Supervisor (EDPS) </w:t>
      </w:r>
      <w:hyperlink r:id="rId6" w:history="1">
        <w:r w:rsidRPr="009766E4">
          <w:rPr>
            <w:rStyle w:val="Hyperlink"/>
            <w:color w:val="000000" w:themeColor="text1"/>
          </w:rPr>
          <w:t>edps@edps.europa.eu</w:t>
        </w:r>
      </w:hyperlink>
      <w:r w:rsidRPr="009766E4">
        <w:rPr>
          <w:color w:val="000000" w:themeColor="text1"/>
        </w:rPr>
        <w:t>.</w:t>
      </w:r>
    </w:p>
    <w:p w14:paraId="365C0F99" w14:textId="77777777" w:rsidR="00831789" w:rsidRDefault="00831789"/>
    <w:sectPr w:rsidR="008317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051D"/>
    <w:multiLevelType w:val="hybridMultilevel"/>
    <w:tmpl w:val="CE2AC1A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9C4509"/>
    <w:multiLevelType w:val="hybridMultilevel"/>
    <w:tmpl w:val="717C0DD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807041246">
    <w:abstractNumId w:val="0"/>
  </w:num>
  <w:num w:numId="2" w16cid:durableId="184347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42"/>
    <w:rsid w:val="00071B86"/>
    <w:rsid w:val="004B2B42"/>
    <w:rsid w:val="00831789"/>
  </w:rsids>
  <m:mathPr>
    <m:mathFont m:val="Cambria Math"/>
    <m:brkBin m:val="before"/>
    <m:brkBinSub m:val="--"/>
    <m:smallFrac m:val="0"/>
    <m:dispDef/>
    <m:lMargin m:val="0"/>
    <m:rMargin m:val="0"/>
    <m:defJc m:val="centerGroup"/>
    <m:wrapIndent m:val="1440"/>
    <m:intLim m:val="subSup"/>
    <m:naryLim m:val="undOvr"/>
  </m:mathPr>
  <w:themeFontLang w:val="en-DE"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4F31F2"/>
  <w15:chartTrackingRefBased/>
  <w15:docId w15:val="{CBC22E67-799C-0646-816D-F83C29C5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B42"/>
    <w:pPr>
      <w:jc w:val="both"/>
    </w:pPr>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B2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ps@edps.europa.eu" TargetMode="External"/><Relationship Id="rId5" Type="http://schemas.openxmlformats.org/officeDocument/2006/relationships/hyperlink" Target="mailto:info@clover-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4527233483198081</dc:creator>
  <cp:keywords/>
  <dc:description/>
  <cp:lastModifiedBy>TU-Pseudonym 4527233483198081</cp:lastModifiedBy>
  <cp:revision>1</cp:revision>
  <dcterms:created xsi:type="dcterms:W3CDTF">2022-08-22T15:39:00Z</dcterms:created>
  <dcterms:modified xsi:type="dcterms:W3CDTF">2022-08-22T15:39:00Z</dcterms:modified>
</cp:coreProperties>
</file>