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80"/>
        <w:jc w:val="center"/>
      </w:pPr>
      <w:r>
        <w:rPr>
          <w:rFonts w:ascii="Arial" w:cs="Arial" w:eastAsia="Arial" w:hAnsi="Arial"/>
          <w:color w:val="5A6A85"/>
          <w:spacing w:val="100"/>
          <w:sz w:val="22"/>
          <w:szCs w:val="22"/>
        </w:rPr>
        <w:t xml:space="preserve">MARKET OPPORTUNITY ANALYSIS</w:t>
      </w:r>
    </w:p>
    <w:p>
      <w:pPr>
        <w:spacing w:after="160"/>
        <w:jc w:val="center"/>
      </w:pPr>
      <w:r>
        <w:rPr>
          <w:rFonts w:ascii="Arial" w:cs="Arial" w:eastAsia="Arial" w:hAnsi="Arial"/>
          <w:b/>
          <w:bCs/>
          <w:color w:val="1B2B4D"/>
          <w:sz w:val="80"/>
          <w:szCs w:val="80"/>
        </w:rPr>
        <w:t xml:space="preserve">SAFEGUARD AI</w:t>
      </w:r>
    </w:p>
    <w:p>
      <w:pPr>
        <w:spacing w:after="120"/>
        <w:jc w:val="center"/>
      </w:pPr>
      <w:r>
        <w:rPr>
          <w:rFonts w:ascii="Arial" w:cs="Arial" w:eastAsia="Arial" w:hAnsi="Arial"/>
          <w:color w:val="2563A8"/>
          <w:sz w:val="36"/>
          <w:szCs w:val="36"/>
        </w:rPr>
        <w:t xml:space="preserve">AI-Powered Manufacturing Safety Monitoring</w:t>
      </w:r>
    </w:p>
    <w:p>
      <w:pPr>
        <w:spacing w:after="60"/>
        <w:jc w:val="center"/>
      </w:pPr>
      <w:r>
        <w:rPr>
          <w:rFonts w:ascii="Arial" w:cs="Arial" w:eastAsia="Arial" w:hAnsi="Arial"/>
          <w:i/>
          <w:iCs/>
          <w:color w:val="D95F10"/>
          <w:sz w:val="26"/>
          <w:szCs w:val="26"/>
        </w:rPr>
        <w:t xml:space="preserve">Go-to-Market Strategy, Competitive Landscape &amp; India Market Assessment</w:t>
      </w:r>
    </w:p>
    <w:p>
      <w:pPr>
        <w:pBdr>
          <w:bottom w:val="single" w:color="D95F10" w:sz="6" w:space="1"/>
        </w:pBdr>
        <w:spacing w:before="180" w:after="18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B2B4D" w:val="clear"/>
            <w:tcMar>
              <w:top w:type="dxa" w:w="140"/>
              <w:left w:type="dxa" w:w="120"/>
              <w:bottom w:type="dxa" w:w="140"/>
              <w:right w:type="dxa" w:w="120"/>
            </w:tcMar>
          </w:tcPr>
          <w:p>
            <w:pPr>
              <w:spacing w:after="60"/>
              <w:jc w:val="center"/>
            </w:pPr>
            <w:r>
              <w:rPr>
                <w:rFonts w:ascii="Arial" w:cs="Arial" w:eastAsia="Arial" w:hAnsi="Arial"/>
                <w:b/>
                <w:bCs/>
                <w:color w:val="D95F10"/>
                <w:sz w:val="28"/>
                <w:szCs w:val="28"/>
              </w:rPr>
              <w:t xml:space="preserve">Rs. 1,500 Cr+</w:t>
            </w:r>
          </w:p>
          <w:p>
            <w:pPr>
              <w:jc w:val="center"/>
            </w:pPr>
            <w:r>
              <w:rPr>
                <w:rFonts w:ascii="Arial" w:cs="Arial" w:eastAsia="Arial" w:hAnsi="Arial"/>
                <w:color w:val="AACCEE"/>
                <w:sz w:val="18"/>
                <w:szCs w:val="18"/>
              </w:rPr>
              <w:t xml:space="preserve">India AI Safety
Market by 2028</w:t>
            </w:r>
          </w:p>
        </w:tc>
        <w:tc>
          <w:tcPr>
            <w:tcW w:type="dxa" w:w="2340"/>
            <w:tcBorders>
              <w:top w:val="single" w:color="CBD5E1" w:sz="1"/>
              <w:left w:val="single" w:color="CBD5E1" w:sz="1"/>
              <w:bottom w:val="single" w:color="CBD5E1" w:sz="1"/>
              <w:right w:val="single" w:color="CBD5E1" w:sz="1"/>
            </w:tcBorders>
            <w:shd w:fill="1B2B4D" w:val="clear"/>
            <w:tcMar>
              <w:top w:type="dxa" w:w="140"/>
              <w:left w:type="dxa" w:w="120"/>
              <w:bottom w:type="dxa" w:w="140"/>
              <w:right w:type="dxa" w:w="120"/>
            </w:tcMar>
          </w:tcPr>
          <w:p>
            <w:pPr>
              <w:spacing w:after="60"/>
              <w:jc w:val="center"/>
            </w:pPr>
            <w:r>
              <w:rPr>
                <w:rFonts w:ascii="Arial" w:cs="Arial" w:eastAsia="Arial" w:hAnsi="Arial"/>
                <w:b/>
                <w:bCs/>
                <w:color w:val="D95F10"/>
                <w:sz w:val="28"/>
                <w:szCs w:val="28"/>
              </w:rPr>
              <w:t xml:space="preserve">3 Deaths/Day</w:t>
            </w:r>
          </w:p>
          <w:p>
            <w:pPr>
              <w:jc w:val="center"/>
            </w:pPr>
            <w:r>
              <w:rPr>
                <w:rFonts w:ascii="Arial" w:cs="Arial" w:eastAsia="Arial" w:hAnsi="Arial"/>
                <w:color w:val="AACCEE"/>
                <w:sz w:val="18"/>
                <w:szCs w:val="18"/>
              </w:rPr>
              <w:t xml:space="preserve">In Indian registered
factories (DGFASLI)</w:t>
            </w:r>
          </w:p>
        </w:tc>
        <w:tc>
          <w:tcPr>
            <w:tcW w:type="dxa" w:w="2340"/>
            <w:tcBorders>
              <w:top w:val="single" w:color="CBD5E1" w:sz="1"/>
              <w:left w:val="single" w:color="CBD5E1" w:sz="1"/>
              <w:bottom w:val="single" w:color="CBD5E1" w:sz="1"/>
              <w:right w:val="single" w:color="CBD5E1" w:sz="1"/>
            </w:tcBorders>
            <w:shd w:fill="1B2B4D" w:val="clear"/>
            <w:tcMar>
              <w:top w:type="dxa" w:w="140"/>
              <w:left w:type="dxa" w:w="120"/>
              <w:bottom w:type="dxa" w:w="140"/>
              <w:right w:type="dxa" w:w="120"/>
            </w:tcMar>
          </w:tcPr>
          <w:p>
            <w:pPr>
              <w:spacing w:after="60"/>
              <w:jc w:val="center"/>
            </w:pPr>
            <w:r>
              <w:rPr>
                <w:rFonts w:ascii="Arial" w:cs="Arial" w:eastAsia="Arial" w:hAnsi="Arial"/>
                <w:b/>
                <w:bCs/>
                <w:color w:val="D95F10"/>
                <w:sz w:val="28"/>
                <w:szCs w:val="28"/>
              </w:rPr>
              <w:t xml:space="preserve">363,000+</w:t>
            </w:r>
          </w:p>
          <w:p>
            <w:pPr>
              <w:jc w:val="center"/>
            </w:pPr>
            <w:r>
              <w:rPr>
                <w:rFonts w:ascii="Arial" w:cs="Arial" w:eastAsia="Arial" w:hAnsi="Arial"/>
                <w:color w:val="AACCEE"/>
                <w:sz w:val="18"/>
                <w:szCs w:val="18"/>
              </w:rPr>
              <w:t xml:space="preserve">Registered factories
in India</w:t>
            </w:r>
          </w:p>
        </w:tc>
        <w:tc>
          <w:tcPr>
            <w:tcW w:type="dxa" w:w="2340"/>
            <w:tcBorders>
              <w:top w:val="single" w:color="CBD5E1" w:sz="1"/>
              <w:left w:val="single" w:color="CBD5E1" w:sz="1"/>
              <w:bottom w:val="single" w:color="CBD5E1" w:sz="1"/>
              <w:right w:val="single" w:color="CBD5E1" w:sz="1"/>
            </w:tcBorders>
            <w:shd w:fill="1B2B4D" w:val="clear"/>
            <w:tcMar>
              <w:top w:type="dxa" w:w="140"/>
              <w:left w:type="dxa" w:w="120"/>
              <w:bottom w:type="dxa" w:w="140"/>
              <w:right w:type="dxa" w:w="120"/>
            </w:tcMar>
          </w:tcPr>
          <w:p>
            <w:pPr>
              <w:spacing w:after="60"/>
              <w:jc w:val="center"/>
            </w:pPr>
            <w:r>
              <w:rPr>
                <w:rFonts w:ascii="Arial" w:cs="Arial" w:eastAsia="Arial" w:hAnsi="Arial"/>
                <w:b/>
                <w:bCs/>
                <w:color w:val="D95F10"/>
                <w:sz w:val="28"/>
                <w:szCs w:val="28"/>
              </w:rPr>
              <w:t xml:space="preserve">40% CAGR</w:t>
            </w:r>
          </w:p>
          <w:p>
            <w:pPr>
              <w:jc w:val="center"/>
            </w:pPr>
            <w:r>
              <w:rPr>
                <w:rFonts w:ascii="Arial" w:cs="Arial" w:eastAsia="Arial" w:hAnsi="Arial"/>
                <w:color w:val="AACCEE"/>
                <w:sz w:val="18"/>
                <w:szCs w:val="18"/>
              </w:rPr>
              <w:t xml:space="preserve">Machine vision
growth 2025–2030</w:t>
            </w:r>
          </w:p>
        </w:tc>
      </w:tr>
    </w:tbl>
    <w:p>
      <w:pPr>
        <w:spacing w:after="60"/>
      </w:pPr>
    </w:p>
    <w:p>
      <w:pPr>
        <w:spacing w:after="60"/>
      </w:pPr>
    </w:p>
    <w:p>
      <w:pPr>
        <w:jc w:val="center"/>
      </w:pPr>
      <w:r>
        <w:rPr>
          <w:rFonts w:ascii="Arial" w:cs="Arial" w:eastAsia="Arial" w:hAnsi="Arial"/>
          <w:color w:val="5A6A85"/>
          <w:sz w:val="20"/>
          <w:szCs w:val="20"/>
        </w:rPr>
        <w:t xml:space="preserve">Confidential  |  For Internal Use &amp; Investor Presentation  |  2026</w:t>
      </w:r>
    </w:p>
    <w:p>
      <w:r>
        <w:br w:type="page"/>
      </w:r>
    </w:p>
    <w:p>
      <w:pPr>
        <w:pStyle w:val="Heading1"/>
        <w:spacing w:before="400" w:after="200"/>
      </w:pPr>
      <w:r>
        <w:rPr>
          <w:rFonts w:ascii="Arial" w:cs="Arial" w:eastAsia="Arial" w:hAnsi="Arial"/>
          <w:b/>
          <w:bCs/>
          <w:color w:val="1B2B4D"/>
          <w:sz w:val="34"/>
          <w:szCs w:val="34"/>
        </w:rPr>
        <w:t xml:space="preserve">1. Executive Summary</w:t>
      </w:r>
    </w:p>
    <w:p>
      <w:pPr>
        <w:spacing w:after="120"/>
      </w:pPr>
      <w:r>
        <w:rPr>
          <w:rFonts w:ascii="Arial" w:cs="Arial" w:eastAsia="Arial" w:hAnsi="Arial"/>
          <w:sz w:val="22"/>
          <w:szCs w:val="22"/>
        </w:rPr>
        <w:t xml:space="preserve">India's manufacturing sector faces a workplace safety crisis of national proportions. Official government data from DGFASLI records an average of 1,109 factory deaths and over 4,000 injuries per year in registered factories alone — widely acknowledged as a severe undercount of the true toll. SafeGuard AI addresses this crisis with a real-time, camera-based AI safety monitoring platform powered by Claude Vision AI, purpose-built for the Indian industrial environment.</w:t>
      </w:r>
    </w:p>
    <w:p>
      <w:pPr>
        <w:spacing w:after="120"/>
      </w:pPr>
      <w:r>
        <w:rPr>
          <w:rFonts w:ascii="Arial" w:cs="Arial" w:eastAsia="Arial" w:hAnsi="Arial"/>
          <w:sz w:val="22"/>
          <w:szCs w:val="22"/>
        </w:rPr>
        <w:t xml:space="preserve">This document presents the market opportunity, target customer analysis, competitive landscape, go-to-market strategy, and positioning for SafeGuard AI in the Indian market.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4FB" w:val="clear"/>
            <w:tcMar>
              <w:top w:type="dxa" w:w="160"/>
              <w:left w:type="dxa" w:w="240"/>
              <w:bottom w:type="dxa" w:w="160"/>
              <w:right w:type="dxa" w:w="240"/>
            </w:tcMar>
          </w:tcPr>
          <w:p>
            <w:pPr>
              <w:spacing w:after="100"/>
            </w:pPr>
            <w:r>
              <w:rPr>
                <w:rFonts w:ascii="Arial" w:cs="Arial" w:eastAsia="Arial" w:hAnsi="Arial"/>
                <w:b/>
                <w:bCs/>
                <w:color w:val="1B2B4D"/>
                <w:sz w:val="24"/>
                <w:szCs w:val="24"/>
              </w:rPr>
              <w:t xml:space="preserve">Key Findings at a Glance</w:t>
            </w:r>
          </w:p>
          <w:p>
            <w:pPr>
              <w:spacing w:after="80"/>
            </w:pPr>
            <w:r>
              <w:rPr>
                <w:rFonts w:ascii="Arial" w:cs="Arial" w:eastAsia="Arial" w:hAnsi="Arial"/>
                <w:sz w:val="21"/>
                <w:szCs w:val="21"/>
              </w:rPr>
              <w:t xml:space="preserve">  India AI-powered safety market projected to exceed USD 1.2 billion (Rs. 10,000 Cr) by 2028</w:t>
            </w:r>
          </w:p>
          <w:p>
            <w:pPr>
              <w:spacing w:after="80"/>
            </w:pPr>
            <w:r>
              <w:rPr>
                <w:rFonts w:ascii="Arial" w:cs="Arial" w:eastAsia="Arial" w:hAnsi="Arial"/>
                <w:sz w:val="21"/>
                <w:szCs w:val="21"/>
              </w:rPr>
              <w:t xml:space="preserve">  363,000+ registered factories employ 20.3 million workers — most without any automated safety monitoring</w:t>
            </w:r>
          </w:p>
          <w:p>
            <w:pPr>
              <w:spacing w:after="80"/>
            </w:pPr>
            <w:r>
              <w:rPr>
                <w:rFonts w:ascii="Arial" w:cs="Arial" w:eastAsia="Arial" w:hAnsi="Arial"/>
                <w:sz w:val="21"/>
                <w:szCs w:val="21"/>
              </w:rPr>
              <w:t xml:space="preserve">  Machine vision in India growing at 13.5% CAGR; safety/surveillance is a primary vertical driver</w:t>
            </w:r>
          </w:p>
          <w:p>
            <w:pPr>
              <w:spacing w:after="80"/>
            </w:pPr>
            <w:r>
              <w:rPr>
                <w:rFonts w:ascii="Arial" w:cs="Arial" w:eastAsia="Arial" w:hAnsi="Arial"/>
                <w:sz w:val="21"/>
                <w:szCs w:val="21"/>
              </w:rPr>
              <w:t xml:space="preserve">  Competitors price at USD 100–300 per camera per month; SafeGuard AI targets Rs. 2,000–5,000 per camera per month</w:t>
            </w:r>
          </w:p>
          <w:p>
            <w:pPr>
              <w:spacing w:after="0"/>
            </w:pPr>
            <w:r>
              <w:rPr>
                <w:rFonts w:ascii="Arial" w:cs="Arial" w:eastAsia="Arial" w:hAnsi="Arial"/>
                <w:b/>
                <w:bCs/>
                <w:color w:val="D95F10"/>
                <w:sz w:val="21"/>
                <w:szCs w:val="21"/>
              </w:rPr>
              <w:t xml:space="preserve">  No dominant India-first, LLM-powered safety vision platform exists — a clear white space opportunity</w:t>
            </w:r>
          </w:p>
        </w:tc>
      </w:tr>
    </w:tbl>
    <w:p>
      <w:r>
        <w:br w:type="page"/>
      </w:r>
    </w:p>
    <w:p>
      <w:pPr>
        <w:pStyle w:val="Heading1"/>
        <w:spacing w:before="400" w:after="200"/>
      </w:pPr>
      <w:r>
        <w:rPr>
          <w:rFonts w:ascii="Arial" w:cs="Arial" w:eastAsia="Arial" w:hAnsi="Arial"/>
          <w:b/>
          <w:bCs/>
          <w:color w:val="1B2B4D"/>
          <w:sz w:val="34"/>
          <w:szCs w:val="34"/>
        </w:rPr>
        <w:t xml:space="preserve">2. The Market Opportunity in India</w:t>
      </w:r>
    </w:p>
    <w:p>
      <w:pPr>
        <w:spacing w:after="60"/>
      </w:pPr>
    </w:p>
    <w:p>
      <w:pPr>
        <w:pStyle w:val="Heading2"/>
        <w:spacing w:before="300" w:after="140"/>
      </w:pPr>
      <w:r>
        <w:rPr>
          <w:rFonts w:ascii="Arial" w:cs="Arial" w:eastAsia="Arial" w:hAnsi="Arial"/>
          <w:b/>
          <w:bCs/>
          <w:color w:val="2563A8"/>
          <w:sz w:val="26"/>
          <w:szCs w:val="26"/>
        </w:rPr>
        <w:t xml:space="preserve">2.1 The Scale of the Problem</w:t>
      </w:r>
    </w:p>
    <w:p>
      <w:pPr>
        <w:spacing w:after="120"/>
      </w:pPr>
      <w:r>
        <w:rPr>
          <w:rFonts w:ascii="Arial" w:cs="Arial" w:eastAsia="Arial" w:hAnsi="Arial"/>
          <w:sz w:val="22"/>
          <w:szCs w:val="22"/>
        </w:rPr>
        <w:t xml:space="preserve">India's industrial safety record is among the worst in the world. Data from the Ministry of Labour and Employment and independent research organisations paint a stark picture: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32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Statistic</w:t>
            </w:r>
          </w:p>
        </w:tc>
        <w:tc>
          <w:tcPr>
            <w:tcW w:type="dxa" w:w="316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Average factory deaths per year (registered factories only)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1,109 fatalities / year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DGFASLI Ministry of Labour (2017–2020 avg)</w:t>
            </w:r>
          </w:p>
        </w:tc>
      </w:tr>
      <w:tr>
        <w:tc>
          <w:tcPr>
            <w:tcW w:type="dxa" w:w="3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Average factory injuries per year</w:t>
            </w:r>
          </w:p>
        </w:tc>
        <w:tc>
          <w:tcPr>
            <w:tcW w:type="dxa" w:w="3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4,000+ injuries / year</w:t>
            </w:r>
          </w:p>
        </w:tc>
        <w:tc>
          <w:tcPr>
            <w:tcW w:type="dxa" w:w="31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DGFASLI, RTI data via IndiaSpend 2022</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Daily rate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 deaths + 11 injuries every single day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DGFASLI / IndiaSpend analysis</w:t>
            </w:r>
          </w:p>
        </w:tc>
      </w:tr>
      <w:tr>
        <w:tc>
          <w:tcPr>
            <w:tcW w:type="dxa" w:w="3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2024 recorded workplace deaths (manufacturing, mining, energy)</w:t>
            </w:r>
          </w:p>
        </w:tc>
        <w:tc>
          <w:tcPr>
            <w:tcW w:type="dxa" w:w="3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400+ fatalities; 850+ serious injuries</w:t>
            </w:r>
          </w:p>
        </w:tc>
        <w:tc>
          <w:tcPr>
            <w:tcW w:type="dxa" w:w="31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IndustriALL Global Union, Dec 2024</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Accident rate (estimated)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8,700 accidents per 100,000 workers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Independent estimate cited in IIAS report 2024</w:t>
            </w:r>
          </w:p>
        </w:tc>
      </w:tr>
      <w:tr>
        <w:tc>
          <w:tcPr>
            <w:tcW w:type="dxa" w:w="3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Registered factories in India (2020)</w:t>
            </w:r>
          </w:p>
        </w:tc>
        <w:tc>
          <w:tcPr>
            <w:tcW w:type="dxa" w:w="3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363,442 factories; 20.3 million workers</w:t>
            </w:r>
          </w:p>
        </w:tc>
        <w:tc>
          <w:tcPr>
            <w:tcW w:type="dxa" w:w="31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DGFASLI Annual Report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Prosecution rate for Factories Act violations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Only 14 imprisoned for 3,331 deaths (2018–2020)</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RTI response, IndiaSpend</w:t>
            </w:r>
          </w:p>
        </w:tc>
      </w:tr>
      <w:tr>
        <w:tc>
          <w:tcPr>
            <w:tcW w:type="dxa" w:w="3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Underreporting factor</w:t>
            </w:r>
          </w:p>
        </w:tc>
        <w:tc>
          <w:tcPr>
            <w:tcW w:type="dxa" w:w="3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Official numbers likely less than 6% of actual incidents</w:t>
            </w:r>
          </w:p>
        </w:tc>
        <w:tc>
          <w:tcPr>
            <w:tcW w:type="dxa" w:w="31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Safe In India Foundation CRUSHED 2024</w:t>
            </w:r>
          </w:p>
        </w:tc>
      </w:tr>
    </w:tbl>
    <w:p>
      <w:pPr>
        <w:spacing w:after="60"/>
      </w:pPr>
    </w:p>
    <w:p>
      <w:pPr>
        <w:spacing w:after="120"/>
      </w:pPr>
      <w:r>
        <w:rPr>
          <w:rFonts w:ascii="Arial" w:cs="Arial" w:eastAsia="Arial" w:hAnsi="Arial"/>
          <w:color w:val="0E7490"/>
          <w:sz w:val="22"/>
          <w:szCs w:val="22"/>
        </w:rPr>
        <w:t xml:space="preserve">The underreporting problem is structural: most factories do not have automated monitoring, incidents go undocumented, and enforcement is weak. This creates a massive latent demand for an affordable, always-on safety monitoring solution.</w:t>
      </w:r>
    </w:p>
    <w:p>
      <w:pPr>
        <w:spacing w:after="60"/>
      </w:pPr>
    </w:p>
    <w:p>
      <w:pPr>
        <w:pStyle w:val="Heading2"/>
        <w:spacing w:before="300" w:after="140"/>
      </w:pPr>
      <w:r>
        <w:rPr>
          <w:rFonts w:ascii="Arial" w:cs="Arial" w:eastAsia="Arial" w:hAnsi="Arial"/>
          <w:b/>
          <w:bCs/>
          <w:color w:val="2563A8"/>
          <w:sz w:val="26"/>
          <w:szCs w:val="26"/>
        </w:rPr>
        <w:t xml:space="preserve">2.2 Market Size — India AI Safety &amp; Computer Vision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1000"/>
        <w:gridCol w:w="2960"/>
      </w:tblGrid>
      <w:tr>
        <w:trPr>
          <w:tblHeader/>
        </w:trPr>
        <w:tc>
          <w:tcPr>
            <w:tcW w:type="dxa" w:w="22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Market Segment</w:t>
            </w:r>
          </w:p>
        </w:tc>
        <w:tc>
          <w:tcPr>
            <w:tcW w:type="dxa" w:w="20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2024 Size</w:t>
            </w:r>
          </w:p>
        </w:tc>
        <w:tc>
          <w:tcPr>
            <w:tcW w:type="dxa" w:w="22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2028–2033 Projection</w:t>
            </w:r>
          </w:p>
        </w:tc>
        <w:tc>
          <w:tcPr>
            <w:tcW w:type="dxa" w:w="10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CAGR</w:t>
            </w:r>
          </w:p>
        </w:tc>
        <w:tc>
          <w:tcPr>
            <w:tcW w:type="dxa" w:w="296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India Computer Vision (overall)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USD 1.80 Bn (Rs. 15,000 Cr)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USD 3.00 Bn by 2033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4.9%</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IMARC Group 2024</w:t>
            </w:r>
          </w:p>
        </w:tc>
      </w:tr>
      <w:tr>
        <w:tc>
          <w:tcPr>
            <w:tcW w:type="dxa" w:w="2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India Machine Vision (industrial)</w:t>
            </w:r>
          </w:p>
        </w:tc>
        <w:tc>
          <w:tcPr>
            <w:tcW w:type="dxa" w:w="2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USD 592 Mn (Rs. 4,900 Cr)</w:t>
            </w:r>
          </w:p>
        </w:tc>
        <w:tc>
          <w:tcPr>
            <w:tcW w:type="dxa" w:w="2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USD 1.02 Bn by 2033</w:t>
            </w:r>
          </w:p>
        </w:tc>
        <w:tc>
          <w:tcPr>
            <w:tcW w:type="dxa" w:w="1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5.8%</w:t>
            </w:r>
          </w:p>
        </w:tc>
        <w:tc>
          <w:tcPr>
            <w:tcW w:type="dxa" w:w="29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IMARC Group 2024</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India AI Computer Vision (AI-specific)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USD 743 Mn (Rs. 6,200 Cr)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USD 3.00 Bn by 2035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13.5%</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MRFR 2025</w:t>
            </w:r>
          </w:p>
        </w:tc>
      </w:tr>
      <w:tr>
        <w:tc>
          <w:tcPr>
            <w:tcW w:type="dxa" w:w="2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AI-driven Safety market India (est.)</w:t>
            </w:r>
          </w:p>
        </w:tc>
        <w:tc>
          <w:tcPr>
            <w:tcW w:type="dxa" w:w="2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USD 200 Mn (Rs. 1,670 Cr)</w:t>
            </w:r>
          </w:p>
        </w:tc>
        <w:tc>
          <w:tcPr>
            <w:tcW w:type="dxa" w:w="2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USD 1.2 Bn+ by 2028</w:t>
            </w:r>
          </w:p>
        </w:tc>
        <w:tc>
          <w:tcPr>
            <w:tcW w:type="dxa" w:w="1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~50%</w:t>
            </w:r>
          </w:p>
        </w:tc>
        <w:tc>
          <w:tcPr>
            <w:tcW w:type="dxa" w:w="29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NASSCOM / Invest India est.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Global Computer Vision market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USD 19.82 Bn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USD 58.29 Bn by 2030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19.8%</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Grand View Research 2025</w:t>
            </w:r>
          </w:p>
        </w:tc>
      </w:tr>
    </w:tbl>
    <w:p>
      <w:pPr>
        <w:spacing w:after="60"/>
      </w:pPr>
    </w:p>
    <w:p>
      <w:pPr>
        <w:pStyle w:val="Heading2"/>
        <w:spacing w:before="300" w:after="140"/>
      </w:pPr>
      <w:r>
        <w:rPr>
          <w:rFonts w:ascii="Arial" w:cs="Arial" w:eastAsia="Arial" w:hAnsi="Arial"/>
          <w:b/>
          <w:bCs/>
          <w:color w:val="2563A8"/>
          <w:sz w:val="26"/>
          <w:szCs w:val="26"/>
        </w:rPr>
        <w:t xml:space="preserve">2.3 Target Industries in India</w:t>
      </w:r>
    </w:p>
    <w:p>
      <w:pPr>
        <w:spacing w:after="120"/>
      </w:pPr>
      <w:r>
        <w:rPr>
          <w:rFonts w:ascii="Arial" w:cs="Arial" w:eastAsia="Arial" w:hAnsi="Arial"/>
          <w:sz w:val="22"/>
          <w:szCs w:val="22"/>
        </w:rPr>
        <w:t xml:space="preserve">SafeGuard AI's eight-category safety analysis covers the highest-risk industrial sectors in India, which together account for the majority of factory accidents: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300"/>
        <w:gridCol w:w="2600"/>
        <w:gridCol w:w="2060"/>
      </w:tblGrid>
      <w:tr>
        <w:trPr>
          <w:tblHeader/>
        </w:trPr>
        <w:tc>
          <w:tcPr>
            <w:tcW w:type="dxa" w:w="1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Industry</w:t>
            </w:r>
          </w:p>
        </w:tc>
        <w:tc>
          <w:tcPr>
            <w:tcW w:type="dxa" w:w="16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Registered Plants (est.)</w:t>
            </w:r>
          </w:p>
        </w:tc>
        <w:tc>
          <w:tcPr>
            <w:tcW w:type="dxa" w:w="13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Safety Risk Level</w:t>
            </w:r>
          </w:p>
        </w:tc>
        <w:tc>
          <w:tcPr>
            <w:tcW w:type="dxa" w:w="26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Hazard Types</w:t>
            </w:r>
          </w:p>
        </w:tc>
        <w:tc>
          <w:tcPr>
            <w:tcW w:type="dxa" w:w="206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Market Readiness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Automobile &amp; Auto Components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12,000+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CRITICAL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Power press injuries, metal cutting, assembly line falls</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 — ISO 45001 mandated by OEMs</w:t>
            </w:r>
          </w:p>
        </w:tc>
      </w:tr>
      <w:tr>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Chemical &amp; Pharmaceutical</w:t>
            </w:r>
          </w:p>
        </w:tc>
        <w:tc>
          <w:tcPr>
            <w:tcW w:type="dxa" w:w="16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8,500+</w:t>
            </w:r>
          </w:p>
        </w:tc>
        <w:tc>
          <w:tcPr>
            <w:tcW w:type="dxa" w:w="13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CRITICAL</w:t>
            </w:r>
          </w:p>
        </w:tc>
        <w:tc>
          <w:tcPr>
            <w:tcW w:type="dxa" w:w="26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Fire, explosion, toxic gas, chemical exposure</w:t>
            </w:r>
          </w:p>
        </w:tc>
        <w:tc>
          <w:tcPr>
            <w:tcW w:type="dxa" w:w="20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HIGH — PESO / CPCB compliance pressure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Steel &amp; Metal Processing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6,000+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Molten metal, crane hazards, heat stress, PPE gaps</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 — SAIL, JSW, Tata Steel piloting AI</w:t>
            </w:r>
          </w:p>
        </w:tc>
      </w:tr>
      <w:tr>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Food &amp; Beverage</w:t>
            </w:r>
          </w:p>
        </w:tc>
        <w:tc>
          <w:tcPr>
            <w:tcW w:type="dxa" w:w="16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15,000+</w:t>
            </w:r>
          </w:p>
        </w:tc>
        <w:tc>
          <w:tcPr>
            <w:tcW w:type="dxa" w:w="13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MEDIUM</w:t>
            </w:r>
          </w:p>
        </w:tc>
        <w:tc>
          <w:tcPr>
            <w:tcW w:type="dxa" w:w="26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Slips/falls, machinery entanglement, cold storage</w:t>
            </w:r>
          </w:p>
        </w:tc>
        <w:tc>
          <w:tcPr>
            <w:tcW w:type="dxa" w:w="20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MEDIUM — growing safety awareness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Textiles &amp; Apparel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25,000+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Loom entanglement, chemical dyes, overcrowding</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MEDIUM — export buyer ESG requirements</w:t>
            </w:r>
          </w:p>
        </w:tc>
      </w:tr>
      <w:tr>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Construction Materials (Cement, Glass)</w:t>
            </w:r>
          </w:p>
        </w:tc>
        <w:tc>
          <w:tcPr>
            <w:tcW w:type="dxa" w:w="16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3,000+</w:t>
            </w:r>
          </w:p>
        </w:tc>
        <w:tc>
          <w:tcPr>
            <w:tcW w:type="dxa" w:w="13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HIGH</w:t>
            </w:r>
          </w:p>
        </w:tc>
        <w:tc>
          <w:tcPr>
            <w:tcW w:type="dxa" w:w="26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Dust inhalation, heavy equipment, height hazards</w:t>
            </w:r>
          </w:p>
        </w:tc>
        <w:tc>
          <w:tcPr>
            <w:tcW w:type="dxa" w:w="20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MEDIUM</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Electronics &amp; EMS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4,000+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MEDIUM</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ESD, chemical handling, ergonomic strain</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 — global customer compliance audits</w:t>
            </w:r>
          </w:p>
        </w:tc>
      </w:tr>
      <w:tr>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Logistics &amp; Warehousing</w:t>
            </w:r>
          </w:p>
        </w:tc>
        <w:tc>
          <w:tcPr>
            <w:tcW w:type="dxa" w:w="16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20,000+</w:t>
            </w:r>
          </w:p>
        </w:tc>
        <w:tc>
          <w:tcPr>
            <w:tcW w:type="dxa" w:w="13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HIGH</w:t>
            </w:r>
          </w:p>
        </w:tc>
        <w:tc>
          <w:tcPr>
            <w:tcW w:type="dxa" w:w="26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Forklift accidents, racking collapse, loading bay risks</w:t>
            </w:r>
          </w:p>
        </w:tc>
        <w:tc>
          <w:tcPr>
            <w:tcW w:type="dxa" w:w="20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HIGH — rapidly scaling with e-commerce</w:t>
            </w:r>
          </w:p>
        </w:tc>
      </w:tr>
    </w:tbl>
    <w:p>
      <w:r>
        <w:br w:type="page"/>
      </w:r>
    </w:p>
    <w:p>
      <w:pPr>
        <w:pStyle w:val="Heading1"/>
        <w:spacing w:before="400" w:after="200"/>
      </w:pPr>
      <w:r>
        <w:rPr>
          <w:rFonts w:ascii="Arial" w:cs="Arial" w:eastAsia="Arial" w:hAnsi="Arial"/>
          <w:b/>
          <w:bCs/>
          <w:color w:val="1B2B4D"/>
          <w:sz w:val="34"/>
          <w:szCs w:val="34"/>
        </w:rPr>
        <w:t xml:space="preserve">3. Target Customer Profiles</w:t>
      </w:r>
    </w:p>
    <w:p>
      <w:pPr>
        <w:spacing w:after="60"/>
      </w:pPr>
    </w:p>
    <w:p>
      <w:pPr>
        <w:pStyle w:val="Heading2"/>
        <w:spacing w:before="300" w:after="140"/>
      </w:pPr>
      <w:r>
        <w:rPr>
          <w:rFonts w:ascii="Arial" w:cs="Arial" w:eastAsia="Arial" w:hAnsi="Arial"/>
          <w:b/>
          <w:bCs/>
          <w:color w:val="2563A8"/>
          <w:sz w:val="26"/>
          <w:szCs w:val="26"/>
        </w:rPr>
        <w:t xml:space="preserve">3.1 Primary Buyer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000"/>
        <w:gridCol w:w="1760"/>
      </w:tblGrid>
      <w:tr>
        <w:trPr>
          <w:tblHeader/>
        </w:trPr>
        <w:tc>
          <w:tcPr>
            <w:tcW w:type="dxa" w:w="16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Persona</w:t>
            </w:r>
          </w:p>
        </w:tc>
        <w:tc>
          <w:tcPr>
            <w:tcW w:type="dxa" w:w="1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2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Pain Points</w:t>
            </w:r>
          </w:p>
        </w:tc>
        <w:tc>
          <w:tcPr>
            <w:tcW w:type="dxa" w:w="20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They Need</w:t>
            </w:r>
          </w:p>
        </w:tc>
        <w:tc>
          <w:tcPr>
            <w:tcW w:type="dxa" w:w="176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Willingness to Pay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The Compliance-Driven HSE Head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Head of HSE / EHS Manager at a mid-large plant (500+ workers)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Factories Act compliance, ISO 45001 audit, manual incident reporting, pressure from corporate ESG team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Automated incident documentation, real-time alerts, audit-ready reports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3,000–6,000/camera/month SaaS</w:t>
            </w:r>
          </w:p>
        </w:tc>
      </w:tr>
      <w:tr>
        <w:tc>
          <w:tcPr>
            <w:tcW w:type="dxa" w:w="16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The Operations / Plant Manager</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Plant Manager or VP Operations at a Tier-1 auto or pharma plant</w:t>
            </w:r>
          </w:p>
        </w:tc>
        <w:tc>
          <w:tcPr>
            <w:tcW w:type="dxa" w:w="2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Production downtime from accidents, labour turnover, OEM supplier audits requiring safety certification</w:t>
            </w:r>
          </w:p>
        </w:tc>
        <w:tc>
          <w:tcPr>
            <w:tcW w:type="dxa" w:w="2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Dashboard visibility, supervisor alerts, shift-level safety trends</w:t>
            </w:r>
          </w:p>
        </w:tc>
        <w:tc>
          <w:tcPr>
            <w:tcW w:type="dxa" w:w="17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5,000–8,000/camera/month if ROI clear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The Group CHRO / CSO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Corporate Safety or HR head across multi-plant enterprise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Consolidated safety reporting, ESG disclosures, liability exposure, reputational risk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Multi-plant central dashboard, benchmark reports, regulatory evidence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Enterprise license Rs. 20–50L/year</w:t>
            </w:r>
          </w:p>
        </w:tc>
      </w:tr>
      <w:tr>
        <w:tc>
          <w:tcPr>
            <w:tcW w:type="dxa" w:w="16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The SME Factory Owner</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Owner of a 50–200 worker factory in Ludhiana / Pune / Surat</w:t>
            </w:r>
          </w:p>
        </w:tc>
        <w:tc>
          <w:tcPr>
            <w:tcW w:type="dxa" w:w="2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Cost pressure, no dedicated safety team, fear of DGFASLI inspection, insurance costs</w:t>
            </w:r>
          </w:p>
        </w:tc>
        <w:tc>
          <w:tcPr>
            <w:tcW w:type="dxa" w:w="2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Affordable plug-and-play solution, minimal IT overhead, Hindi language support</w:t>
            </w:r>
          </w:p>
        </w:tc>
        <w:tc>
          <w:tcPr>
            <w:tcW w:type="dxa" w:w="17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1,500–3,000/camera/month</w:t>
            </w:r>
          </w:p>
        </w:tc>
      </w:tr>
    </w:tbl>
    <w:p>
      <w:pPr>
        <w:spacing w:after="60"/>
      </w:pPr>
    </w:p>
    <w:p>
      <w:pPr>
        <w:pStyle w:val="Heading2"/>
        <w:spacing w:before="300" w:after="140"/>
      </w:pPr>
      <w:r>
        <w:rPr>
          <w:rFonts w:ascii="Arial" w:cs="Arial" w:eastAsia="Arial" w:hAnsi="Arial"/>
          <w:b/>
          <w:bCs/>
          <w:color w:val="2563A8"/>
          <w:sz w:val="26"/>
          <w:szCs w:val="26"/>
        </w:rPr>
        <w:t xml:space="preserve">3.2 Geography — Priority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rPr>
          <w:tblHeader/>
        </w:trPr>
        <w:tc>
          <w:tcPr>
            <w:tcW w:type="dxa" w:w="24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State / Cluster</w:t>
            </w:r>
          </w:p>
        </w:tc>
        <w:tc>
          <w:tcPr>
            <w:tcW w:type="dxa" w:w="22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Industrial Base</w:t>
            </w:r>
          </w:p>
        </w:tc>
        <w:tc>
          <w:tcPr>
            <w:tcW w:type="dxa" w:w="20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 Verticals</w:t>
            </w:r>
          </w:p>
        </w:tc>
        <w:tc>
          <w:tcPr>
            <w:tcW w:type="dxa" w:w="276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Maharashtra (Pune, Mumbai, Nashik, Aurangabad)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 pharma, engineering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Automotive OEM/Tier-1, chemical, pharma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Largest number of Tier-1 auto plants; strong ESG awareness</w:t>
            </w:r>
          </w:p>
        </w:tc>
      </w:tr>
      <w:tr>
        <w:tc>
          <w:tcPr>
            <w:tcW w:type="dxa" w:w="24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Gujarat (Ahmedabad, Surat, Vadodara, Vapi)</w:t>
            </w:r>
          </w:p>
        </w:tc>
        <w:tc>
          <w:tcPr>
            <w:tcW w:type="dxa" w:w="2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Chemical, pharma, textiles, diamond</w:t>
            </w:r>
          </w:p>
        </w:tc>
        <w:tc>
          <w:tcPr>
            <w:tcW w:type="dxa" w:w="2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Chemical, pharma, SME manufacturing</w:t>
            </w:r>
          </w:p>
        </w:tc>
        <w:tc>
          <w:tcPr>
            <w:tcW w:type="dxa" w:w="27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Chemical corridor (GIDC) — highest explosion risk nationally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Haryana (Manesar, Faridabad, Panipat)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 supply chain, textiles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 components, power press operations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Ground zero for crush injuries per Safe In India Foundation data</w:t>
            </w:r>
          </w:p>
        </w:tc>
      </w:tr>
      <w:tr>
        <w:tc>
          <w:tcPr>
            <w:tcW w:type="dxa" w:w="24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Tamil Nadu (Chennai, Coimbatore, Hosur)</w:t>
            </w:r>
          </w:p>
        </w:tc>
        <w:tc>
          <w:tcPr>
            <w:tcW w:type="dxa" w:w="2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Auto OEM, electronics, engineering</w:t>
            </w:r>
          </w:p>
        </w:tc>
        <w:tc>
          <w:tcPr>
            <w:tcW w:type="dxa" w:w="2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Automotive, electronics, EMS</w:t>
            </w:r>
          </w:p>
        </w:tc>
        <w:tc>
          <w:tcPr>
            <w:tcW w:type="dxa" w:w="27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Hyundai, Renault-Nissan, Foxconn suppliers — export-oriented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Karnataka (Bengaluru, Hubli, Mysuru)</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Aerospace, electronics, engineering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Electronics, aerospace, IT/hardware MFG</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Tech-savvy buyers; KIADB industrial zones</w:t>
            </w:r>
          </w:p>
        </w:tc>
      </w:tr>
      <w:tr>
        <w:tc>
          <w:tcPr>
            <w:tcW w:type="dxa" w:w="24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Uttar Pradesh (Noida, Greater Noida, Kanpur)</w:t>
            </w:r>
          </w:p>
        </w:tc>
        <w:tc>
          <w:tcPr>
            <w:tcW w:type="dxa" w:w="2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Leather, textiles, pharma, FMCG</w:t>
            </w:r>
          </w:p>
        </w:tc>
        <w:tc>
          <w:tcPr>
            <w:tcW w:type="dxa" w:w="2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Pharma, FMCG, logistics</w:t>
            </w:r>
          </w:p>
        </w:tc>
        <w:tc>
          <w:tcPr>
            <w:tcW w:type="dxa" w:w="27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Rapid growth under UP Industrial Policy 2022</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Odisha / Jharkhand / Chhattisgarh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Steel, mining, heavy engineering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Steel, mining</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 fatality rates; government JSW/SAIL plants</w:t>
            </w:r>
          </w:p>
        </w:tc>
      </w:tr>
    </w:tbl>
    <w:p>
      <w:r>
        <w:br w:type="page"/>
      </w:r>
    </w:p>
    <w:p>
      <w:pPr>
        <w:pStyle w:val="Heading1"/>
        <w:spacing w:before="400" w:after="200"/>
      </w:pPr>
      <w:r>
        <w:rPr>
          <w:rFonts w:ascii="Arial" w:cs="Arial" w:eastAsia="Arial" w:hAnsi="Arial"/>
          <w:b/>
          <w:bCs/>
          <w:color w:val="1B2B4D"/>
          <w:sz w:val="34"/>
          <w:szCs w:val="34"/>
        </w:rPr>
        <w:t xml:space="preserve">4. Competitive Landscape</w:t>
      </w:r>
    </w:p>
    <w:p>
      <w:pPr>
        <w:spacing w:after="120"/>
      </w:pPr>
      <w:r>
        <w:rPr>
          <w:rFonts w:ascii="Arial" w:cs="Arial" w:eastAsia="Arial" w:hAnsi="Arial"/>
          <w:sz w:val="22"/>
          <w:szCs w:val="22"/>
        </w:rPr>
        <w:t xml:space="preserve">The AI-powered workplace safety monitoring market is emerging but fragmenting rapidly. Competitors span global SaaS platforms, Indian deep-tech startups, embedded hardware vendors, and manual/traditional safety consultancies. SafeGuard AI occupies a differentiated position as an India-first, LLM-vision-powered solution with a low-cost, open-camera architecture.</w:t>
      </w:r>
    </w:p>
    <w:p>
      <w:pPr>
        <w:spacing w:after="60"/>
      </w:pPr>
    </w:p>
    <w:p>
      <w:pPr>
        <w:pStyle w:val="Heading2"/>
        <w:spacing w:before="300" w:after="140"/>
      </w:pPr>
      <w:r>
        <w:rPr>
          <w:rFonts w:ascii="Arial" w:cs="Arial" w:eastAsia="Arial" w:hAnsi="Arial"/>
          <w:b/>
          <w:bCs/>
          <w:color w:val="2563A8"/>
          <w:sz w:val="26"/>
          <w:szCs w:val="26"/>
        </w:rPr>
        <w:t xml:space="preserve">4.1 Competitor Matrix</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100"/>
        <w:gridCol w:w="1800"/>
        <w:gridCol w:w="1300"/>
        <w:gridCol w:w="1500"/>
        <w:gridCol w:w="2060"/>
      </w:tblGrid>
      <w:tr>
        <w:trPr>
          <w:tblHeader/>
        </w:trPr>
        <w:tc>
          <w:tcPr>
            <w:tcW w:type="dxa" w:w="14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Company</w:t>
            </w:r>
          </w:p>
        </w:tc>
        <w:tc>
          <w:tcPr>
            <w:tcW w:type="dxa" w:w="14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Headquarters</w:t>
            </w:r>
          </w:p>
        </w:tc>
        <w:tc>
          <w:tcPr>
            <w:tcW w:type="dxa" w:w="11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w:t>
            </w:r>
          </w:p>
        </w:tc>
        <w:tc>
          <w:tcPr>
            <w:tcW w:type="dxa" w:w="1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AI Approach</w:t>
            </w:r>
          </w:p>
        </w:tc>
        <w:tc>
          <w:tcPr>
            <w:tcW w:type="dxa" w:w="13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India Presence</w:t>
            </w:r>
          </w:p>
        </w:tc>
        <w:tc>
          <w:tcPr>
            <w:tcW w:type="dxa" w:w="15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 Pricing</w:t>
            </w:r>
          </w:p>
        </w:tc>
        <w:tc>
          <w:tcPr>
            <w:tcW w:type="dxa" w:w="206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Weakness vs SafeGuard AI</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Intenseye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USA / Turkey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Enterprise SaaS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 CV models, 50+ detection scenarios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Limited — enterprise only, USD pricing</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Contact only (est. USD 200–400/cam/mo)</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USD pricing unaffordable for Indian SMEs; no LLM reasoning; no Hindi support</w:t>
            </w:r>
          </w:p>
        </w:tc>
      </w:tr>
      <w:tr>
        <w:tc>
          <w:tcPr>
            <w:tcW w:type="dxa" w:w="14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Visionify</w:t>
            </w:r>
          </w:p>
        </w:tc>
        <w:tc>
          <w:tcPr>
            <w:tcW w:type="dxa" w:w="14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USA (Phoenix)</w:t>
            </w:r>
          </w:p>
        </w:tc>
        <w:tc>
          <w:tcPr>
            <w:tcW w:type="dxa" w:w="11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SaaS + Edge</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Computer vision on existing CCTV; privacy-first</w:t>
            </w:r>
          </w:p>
        </w:tc>
        <w:tc>
          <w:tcPr>
            <w:tcW w:type="dxa" w:w="13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Indirect via resellers</w:t>
            </w:r>
          </w:p>
        </w:tc>
        <w:tc>
          <w:tcPr>
            <w:tcW w:type="dxa" w:w="15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USD 100–300/cam/mo</w:t>
            </w:r>
          </w:p>
        </w:tc>
        <w:tc>
          <w:tcPr>
            <w:tcW w:type="dxa" w:w="20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Foreign currency SaaS; no India-specific compliance; limited Indian support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Wobot.ai</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India (Gurugram)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SaaS (Zero-Code)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YOLOv8 / TensorFlow on cloud CCTV; no-code setup</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Strong — 100+ enterprise clients India</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2,000–4,000/cam/mo (est.)</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LLM general reasoning; limited to pre-trained scenarios; no custom prompt tuning</w:t>
            </w:r>
          </w:p>
        </w:tc>
      </w:tr>
      <w:tr>
        <w:tc>
          <w:tcPr>
            <w:tcW w:type="dxa" w:w="14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Awiros (Video AI OS)</w:t>
            </w:r>
          </w:p>
        </w:tc>
        <w:tc>
          <w:tcPr>
            <w:tcW w:type="dxa" w:w="14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India (Noida)</w:t>
            </w:r>
          </w:p>
        </w:tc>
        <w:tc>
          <w:tcPr>
            <w:tcW w:type="dxa" w:w="11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Platform OS</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Multi-app video AI OS; modular safety apps</w:t>
            </w:r>
          </w:p>
        </w:tc>
        <w:tc>
          <w:tcPr>
            <w:tcW w:type="dxa" w:w="13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Strong — smart city + manufacturing</w:t>
            </w:r>
          </w:p>
        </w:tc>
        <w:tc>
          <w:tcPr>
            <w:tcW w:type="dxa" w:w="15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Custom enterprise pricing</w:t>
            </w:r>
          </w:p>
        </w:tc>
        <w:tc>
          <w:tcPr>
            <w:tcW w:type="dxa" w:w="20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Complex deployment; not safety-specific; requires dedicated hardware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Prama Hikvision India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India (Ahmedabad)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Embedded hardware AI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AI chips built into cameras; edge inference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Very strong — 5,000+ AI cameras deployed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Hardware-bundled (Rs. 15,000–30,000/camera)</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AI limited to embedded models; cannot use advanced LLM; no cloud dashboard</w:t>
            </w:r>
          </w:p>
        </w:tc>
      </w:tr>
      <w:tr>
        <w:tc>
          <w:tcPr>
            <w:tcW w:type="dxa" w:w="14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Uncanny Vision</w:t>
            </w:r>
          </w:p>
        </w:tc>
        <w:tc>
          <w:tcPr>
            <w:tcW w:type="dxa" w:w="14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India (Bengaluru)</w:t>
            </w:r>
          </w:p>
        </w:tc>
        <w:tc>
          <w:tcPr>
            <w:tcW w:type="dxa" w:w="11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Edge AI</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In-camera CUDA/TensorFlow Lite; &lt;100ms latency</w:t>
            </w:r>
          </w:p>
        </w:tc>
        <w:tc>
          <w:tcPr>
            <w:tcW w:type="dxa" w:w="13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Strong</w:t>
            </w:r>
          </w:p>
        </w:tc>
        <w:tc>
          <w:tcPr>
            <w:tcW w:type="dxa" w:w="15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Custom / enterprise</w:t>
            </w:r>
          </w:p>
        </w:tc>
        <w:tc>
          <w:tcPr>
            <w:tcW w:type="dxa" w:w="20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No general-purpose LLM reasoning; requires camera hardware replacement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SafetyCulture (iAuditor)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Australia</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Mobile SaaS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Checklist + audit tool; limited real-time AI</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Growing India presence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USD 24/user/mo</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camera-based real-time monitoring; manual process; not AI-vision</w:t>
            </w:r>
          </w:p>
        </w:tc>
      </w:tr>
      <w:tr>
        <w:tc>
          <w:tcPr>
            <w:tcW w:type="dxa" w:w="14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Honeywell / Bosch BVMS</w:t>
            </w:r>
          </w:p>
        </w:tc>
        <w:tc>
          <w:tcPr>
            <w:tcW w:type="dxa" w:w="14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Global</w:t>
            </w:r>
          </w:p>
        </w:tc>
        <w:tc>
          <w:tcPr>
            <w:tcW w:type="dxa" w:w="11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Enterprise CCTV + Analytics</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Pre-trained CV models bundled with VMS</w:t>
            </w:r>
          </w:p>
        </w:tc>
        <w:tc>
          <w:tcPr>
            <w:tcW w:type="dxa" w:w="13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Very strong (MNC channel)</w:t>
            </w:r>
          </w:p>
        </w:tc>
        <w:tc>
          <w:tcPr>
            <w:tcW w:type="dxa" w:w="15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Enterprise — Rs. 50L+ project cost</w:t>
            </w:r>
          </w:p>
        </w:tc>
        <w:tc>
          <w:tcPr>
            <w:tcW w:type="dxa" w:w="20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Extremely expensive; IT-heavy integration; no LLM; not SME accessible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Traditional Safety Consultants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Pan-India</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Human audit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Manual inspection visits; non-real-time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Ubiquitous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50,000–2L per audit</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Not continuous; human error; slow; no digital trail; not 24/7</w:t>
            </w:r>
          </w:p>
        </w:tc>
      </w:tr>
    </w:tbl>
    <w:p>
      <w:pPr>
        <w:spacing w:after="60"/>
      </w:pPr>
    </w:p>
    <w:p>
      <w:pPr>
        <w:pStyle w:val="Heading2"/>
        <w:spacing w:before="300" w:after="140"/>
      </w:pPr>
      <w:r>
        <w:rPr>
          <w:rFonts w:ascii="Arial" w:cs="Arial" w:eastAsia="Arial" w:hAnsi="Arial"/>
          <w:b/>
          <w:bCs/>
          <w:color w:val="2563A8"/>
          <w:sz w:val="26"/>
          <w:szCs w:val="26"/>
        </w:rPr>
        <w:t xml:space="preserve">4.2 Feature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1000"/>
        <w:gridCol w:w="1000"/>
        <w:gridCol w:w="1000"/>
        <w:gridCol w:w="1360"/>
      </w:tblGrid>
      <w:tr>
        <w:trPr>
          <w:tblHeader/>
        </w:trPr>
        <w:tc>
          <w:tcPr>
            <w:tcW w:type="dxa" w:w="20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10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SafeGuard AI</w:t>
            </w:r>
          </w:p>
        </w:tc>
        <w:tc>
          <w:tcPr>
            <w:tcW w:type="dxa" w:w="10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Intenseye</w:t>
            </w:r>
          </w:p>
        </w:tc>
        <w:tc>
          <w:tcPr>
            <w:tcW w:type="dxa" w:w="10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Wobot.ai</w:t>
            </w:r>
          </w:p>
        </w:tc>
        <w:tc>
          <w:tcPr>
            <w:tcW w:type="dxa" w:w="10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Visionify</w:t>
            </w:r>
          </w:p>
        </w:tc>
        <w:tc>
          <w:tcPr>
            <w:tcW w:type="dxa" w:w="10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Prama (Edge)</w:t>
            </w:r>
          </w:p>
        </w:tc>
        <w:tc>
          <w:tcPr>
            <w:tcW w:type="dxa" w:w="10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Awiros</w:t>
            </w:r>
          </w:p>
        </w:tc>
        <w:tc>
          <w:tcPr>
            <w:tcW w:type="dxa" w:w="136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SafetyCulture</w:t>
            </w:r>
          </w:p>
        </w:tc>
      </w:tr>
      <w:tr>
        <w:tc>
          <w:tcPr>
            <w:tcW w:type="dxa" w:w="2000"/>
            <w:tcBorders>
              <w:top w:val="single" w:color="CBD5E1" w:sz="1"/>
              <w:left w:val="single" w:color="CBD5E1" w:sz="1"/>
              <w:bottom w:val="single" w:color="CBD5E1" w:sz="1"/>
              <w:right w:val="single" w:color="CBD5E1" w:sz="1"/>
            </w:tcBorders>
            <w:shd w:fill="EFF4FB" w:val="clear"/>
            <w:tcMar>
              <w:top w:type="dxa" w:w="60"/>
              <w:left w:type="dxa" w:w="120"/>
              <w:bottom w:type="dxa" w:w="60"/>
              <w:right w:type="dxa" w:w="120"/>
            </w:tcMar>
          </w:tcPr>
          <w:p>
            <w:r>
              <w:rPr>
                <w:rFonts w:ascii="Arial" w:cs="Arial" w:eastAsia="Arial" w:hAnsi="Arial"/>
                <w:b/>
                <w:bCs/>
                <w:sz w:val="19"/>
                <w:szCs w:val="19"/>
              </w:rPr>
              <w:t xml:space="preserve">Real-time camera analysis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36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sz w:val="19"/>
                <w:szCs w:val="19"/>
              </w:rPr>
              <w:t xml:space="preserve">LLM / GPT-class vision AI</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36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r>
      <w:tr>
        <w:tc>
          <w:tcPr>
            <w:tcW w:type="dxa" w:w="2000"/>
            <w:tcBorders>
              <w:top w:val="single" w:color="CBD5E1" w:sz="1"/>
              <w:left w:val="single" w:color="CBD5E1" w:sz="1"/>
              <w:bottom w:val="single" w:color="CBD5E1" w:sz="1"/>
              <w:right w:val="single" w:color="CBD5E1" w:sz="1"/>
            </w:tcBorders>
            <w:shd w:fill="EFF4FB" w:val="clear"/>
            <w:tcMar>
              <w:top w:type="dxa" w:w="60"/>
              <w:left w:type="dxa" w:w="120"/>
              <w:bottom w:type="dxa" w:w="60"/>
              <w:right w:type="dxa" w:w="120"/>
            </w:tcMar>
          </w:tcPr>
          <w:p>
            <w:r>
              <w:rPr>
                <w:rFonts w:ascii="Arial" w:cs="Arial" w:eastAsia="Arial" w:hAnsi="Arial"/>
                <w:b/>
                <w:bCs/>
                <w:sz w:val="19"/>
                <w:szCs w:val="19"/>
              </w:rPr>
              <w:t xml:space="preserve">Works on existing cameras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360"/>
            <w:tcBorders>
              <w:top w:val="single" w:color="CBD5E1" w:sz="1"/>
              <w:left w:val="single" w:color="CBD5E1" w:sz="1"/>
              <w:bottom w:val="single" w:color="CBD5E1" w:sz="1"/>
              <w:right w:val="single" w:color="CBD5E1" w:sz="1"/>
            </w:tcBorders>
            <w:shd w:fill="F3F4F6" w:val="clear"/>
            <w:tcMar>
              <w:top w:type="dxa" w:w="60"/>
              <w:left w:type="dxa" w:w="80"/>
              <w:bottom w:type="dxa" w:w="60"/>
              <w:right w:type="dxa" w:w="80"/>
            </w:tcMar>
            <w:vAlign w:val="center"/>
          </w:tcPr>
          <w:p>
            <w:pPr>
              <w:jc w:val="center"/>
            </w:pPr>
            <w:r>
              <w:rPr>
                <w:rFonts w:ascii="Arial" w:cs="Arial" w:eastAsia="Arial" w:hAnsi="Arial"/>
                <w:b w:val="false"/>
                <w:bCs w:val="false"/>
                <w:color w:val="374151"/>
                <w:sz w:val="18"/>
                <w:szCs w:val="18"/>
              </w:rPr>
              <w:t xml:space="preserve">n/a</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sz w:val="19"/>
                <w:szCs w:val="19"/>
              </w:rPr>
              <w:t xml:space="preserve">India pricing (INR SaaS)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F9C3" w:val="clear"/>
            <w:tcMar>
              <w:top w:type="dxa" w:w="60"/>
              <w:left w:type="dxa" w:w="80"/>
              <w:bottom w:type="dxa" w:w="60"/>
              <w:right w:type="dxa" w:w="80"/>
            </w:tcMar>
            <w:vAlign w:val="center"/>
          </w:tcPr>
          <w:p>
            <w:pPr>
              <w:jc w:val="center"/>
            </w:pPr>
            <w:r>
              <w:rPr>
                <w:rFonts w:ascii="Arial" w:cs="Arial" w:eastAsia="Arial" w:hAnsi="Arial"/>
                <w:b w:val="false"/>
                <w:bCs w:val="false"/>
                <w:color w:val="374151"/>
                <w:sz w:val="18"/>
                <w:szCs w:val="18"/>
              </w:rPr>
              <w:t xml:space="preserve">Hardware only</w:t>
            </w:r>
          </w:p>
        </w:tc>
        <w:tc>
          <w:tcPr>
            <w:tcW w:type="dxa" w:w="1000"/>
            <w:tcBorders>
              <w:top w:val="single" w:color="CBD5E1" w:sz="1"/>
              <w:left w:val="single" w:color="CBD5E1" w:sz="1"/>
              <w:bottom w:val="single" w:color="CBD5E1" w:sz="1"/>
              <w:right w:val="single" w:color="CBD5E1" w:sz="1"/>
            </w:tcBorders>
            <w:shd w:fill="FEF9C3" w:val="clear"/>
            <w:tcMar>
              <w:top w:type="dxa" w:w="60"/>
              <w:left w:type="dxa" w:w="80"/>
              <w:bottom w:type="dxa" w:w="60"/>
              <w:right w:type="dxa" w:w="80"/>
            </w:tcMar>
            <w:vAlign w:val="center"/>
          </w:tcPr>
          <w:p>
            <w:pPr>
              <w:jc w:val="center"/>
            </w:pPr>
            <w:r>
              <w:rPr>
                <w:rFonts w:ascii="Arial" w:cs="Arial" w:eastAsia="Arial" w:hAnsi="Arial"/>
                <w:b w:val="false"/>
                <w:bCs w:val="false"/>
                <w:color w:val="374151"/>
                <w:sz w:val="18"/>
                <w:szCs w:val="18"/>
              </w:rPr>
              <w:t xml:space="preserve">Custom</w:t>
            </w:r>
          </w:p>
        </w:tc>
        <w:tc>
          <w:tcPr>
            <w:tcW w:type="dxa" w:w="136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r>
      <w:tr>
        <w:tc>
          <w:tcPr>
            <w:tcW w:type="dxa" w:w="2000"/>
            <w:tcBorders>
              <w:top w:val="single" w:color="CBD5E1" w:sz="1"/>
              <w:left w:val="single" w:color="CBD5E1" w:sz="1"/>
              <w:bottom w:val="single" w:color="CBD5E1" w:sz="1"/>
              <w:right w:val="single" w:color="CBD5E1" w:sz="1"/>
            </w:tcBorders>
            <w:shd w:fill="EFF4FB" w:val="clear"/>
            <w:tcMar>
              <w:top w:type="dxa" w:w="60"/>
              <w:left w:type="dxa" w:w="120"/>
              <w:bottom w:type="dxa" w:w="60"/>
              <w:right w:type="dxa" w:w="120"/>
            </w:tcMar>
          </w:tcPr>
          <w:p>
            <w:r>
              <w:rPr>
                <w:rFonts w:ascii="Arial" w:cs="Arial" w:eastAsia="Arial" w:hAnsi="Arial"/>
                <w:b/>
                <w:bCs/>
                <w:sz w:val="19"/>
                <w:szCs w:val="19"/>
              </w:rPr>
              <w:t xml:space="preserve">Hindi language support</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36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sz w:val="19"/>
                <w:szCs w:val="19"/>
              </w:rPr>
              <w:t xml:space="preserve">Zero hardware replacement</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F9C3" w:val="clear"/>
            <w:tcMar>
              <w:top w:type="dxa" w:w="60"/>
              <w:left w:type="dxa" w:w="80"/>
              <w:bottom w:type="dxa" w:w="60"/>
              <w:right w:type="dxa" w:w="80"/>
            </w:tcMar>
            <w:vAlign w:val="center"/>
          </w:tcPr>
          <w:p>
            <w:pPr>
              <w:jc w:val="center"/>
            </w:pPr>
            <w:r>
              <w:rPr>
                <w:rFonts w:ascii="Arial" w:cs="Arial" w:eastAsia="Arial" w:hAnsi="Arial"/>
                <w:b w:val="false"/>
                <w:bCs w:val="false"/>
                <w:color w:val="374151"/>
                <w:sz w:val="18"/>
                <w:szCs w:val="18"/>
              </w:rPr>
              <w:t xml:space="preserve">Partial</w:t>
            </w:r>
          </w:p>
        </w:tc>
        <w:tc>
          <w:tcPr>
            <w:tcW w:type="dxa" w:w="136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r>
      <w:tr>
        <w:tc>
          <w:tcPr>
            <w:tcW w:type="dxa" w:w="2000"/>
            <w:tcBorders>
              <w:top w:val="single" w:color="CBD5E1" w:sz="1"/>
              <w:left w:val="single" w:color="CBD5E1" w:sz="1"/>
              <w:bottom w:val="single" w:color="CBD5E1" w:sz="1"/>
              <w:right w:val="single" w:color="CBD5E1" w:sz="1"/>
            </w:tcBorders>
            <w:shd w:fill="EFF4FB" w:val="clear"/>
            <w:tcMar>
              <w:top w:type="dxa" w:w="60"/>
              <w:left w:type="dxa" w:w="120"/>
              <w:bottom w:type="dxa" w:w="60"/>
              <w:right w:type="dxa" w:w="120"/>
            </w:tcMar>
          </w:tcPr>
          <w:p>
            <w:r>
              <w:rPr>
                <w:rFonts w:ascii="Arial" w:cs="Arial" w:eastAsia="Arial" w:hAnsi="Arial"/>
                <w:b/>
                <w:bCs/>
                <w:sz w:val="19"/>
                <w:szCs w:val="19"/>
              </w:rPr>
              <w:t xml:space="preserve">Factories Act compliance reports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F9C3" w:val="clear"/>
            <w:tcMar>
              <w:top w:type="dxa" w:w="60"/>
              <w:left w:type="dxa" w:w="80"/>
              <w:bottom w:type="dxa" w:w="60"/>
              <w:right w:type="dxa" w:w="80"/>
            </w:tcMar>
            <w:vAlign w:val="center"/>
          </w:tcPr>
          <w:p>
            <w:pPr>
              <w:jc w:val="center"/>
            </w:pPr>
            <w:r>
              <w:rPr>
                <w:rFonts w:ascii="Arial" w:cs="Arial" w:eastAsia="Arial" w:hAnsi="Arial"/>
                <w:b w:val="false"/>
                <w:bCs w:val="false"/>
                <w:color w:val="374151"/>
                <w:sz w:val="18"/>
                <w:szCs w:val="18"/>
              </w:rPr>
              <w:t xml:space="preserve">Partial</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360"/>
            <w:tcBorders>
              <w:top w:val="single" w:color="CBD5E1" w:sz="1"/>
              <w:left w:val="single" w:color="CBD5E1" w:sz="1"/>
              <w:bottom w:val="single" w:color="CBD5E1" w:sz="1"/>
              <w:right w:val="single" w:color="CBD5E1" w:sz="1"/>
            </w:tcBorders>
            <w:shd w:fill="FEF9C3" w:val="clear"/>
            <w:tcMar>
              <w:top w:type="dxa" w:w="60"/>
              <w:left w:type="dxa" w:w="80"/>
              <w:bottom w:type="dxa" w:w="60"/>
              <w:right w:type="dxa" w:w="80"/>
            </w:tcMar>
            <w:vAlign w:val="center"/>
          </w:tcPr>
          <w:p>
            <w:pPr>
              <w:jc w:val="center"/>
            </w:pPr>
            <w:r>
              <w:rPr>
                <w:rFonts w:ascii="Arial" w:cs="Arial" w:eastAsia="Arial" w:hAnsi="Arial"/>
                <w:b w:val="false"/>
                <w:bCs w:val="false"/>
                <w:color w:val="374151"/>
                <w:sz w:val="18"/>
                <w:szCs w:val="18"/>
              </w:rPr>
              <w:t xml:space="preserve">Partial</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sz w:val="19"/>
                <w:szCs w:val="19"/>
              </w:rPr>
              <w:t xml:space="preserve">General hazard reasoning</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FEF9C3" w:val="clear"/>
            <w:tcMar>
              <w:top w:type="dxa" w:w="60"/>
              <w:left w:type="dxa" w:w="80"/>
              <w:bottom w:type="dxa" w:w="60"/>
              <w:right w:type="dxa" w:w="80"/>
            </w:tcMar>
            <w:vAlign w:val="center"/>
          </w:tcPr>
          <w:p>
            <w:pPr>
              <w:jc w:val="center"/>
            </w:pPr>
            <w:r>
              <w:rPr>
                <w:rFonts w:ascii="Arial" w:cs="Arial" w:eastAsia="Arial" w:hAnsi="Arial"/>
                <w:b w:val="false"/>
                <w:bCs w:val="false"/>
                <w:color w:val="374151"/>
                <w:sz w:val="18"/>
                <w:szCs w:val="18"/>
              </w:rPr>
              <w:t xml:space="preserve">Partial</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F9C3" w:val="clear"/>
            <w:tcMar>
              <w:top w:type="dxa" w:w="60"/>
              <w:left w:type="dxa" w:w="80"/>
              <w:bottom w:type="dxa" w:w="60"/>
              <w:right w:type="dxa" w:w="80"/>
            </w:tcMar>
            <w:vAlign w:val="center"/>
          </w:tcPr>
          <w:p>
            <w:pPr>
              <w:jc w:val="center"/>
            </w:pPr>
            <w:r>
              <w:rPr>
                <w:rFonts w:ascii="Arial" w:cs="Arial" w:eastAsia="Arial" w:hAnsi="Arial"/>
                <w:b w:val="false"/>
                <w:bCs w:val="false"/>
                <w:color w:val="374151"/>
                <w:sz w:val="18"/>
                <w:szCs w:val="18"/>
              </w:rPr>
              <w:t xml:space="preserve">Partial</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36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r>
      <w:tr>
        <w:tc>
          <w:tcPr>
            <w:tcW w:type="dxa" w:w="2000"/>
            <w:tcBorders>
              <w:top w:val="single" w:color="CBD5E1" w:sz="1"/>
              <w:left w:val="single" w:color="CBD5E1" w:sz="1"/>
              <w:bottom w:val="single" w:color="CBD5E1" w:sz="1"/>
              <w:right w:val="single" w:color="CBD5E1" w:sz="1"/>
            </w:tcBorders>
            <w:shd w:fill="EFF4FB" w:val="clear"/>
            <w:tcMar>
              <w:top w:type="dxa" w:w="60"/>
              <w:left w:type="dxa" w:w="120"/>
              <w:bottom w:type="dxa" w:w="60"/>
              <w:right w:type="dxa" w:w="120"/>
            </w:tcMar>
          </w:tcPr>
          <w:p>
            <w:r>
              <w:rPr>
                <w:rFonts w:ascii="Arial" w:cs="Arial" w:eastAsia="Arial" w:hAnsi="Arial"/>
                <w:b/>
                <w:bCs/>
                <w:sz w:val="19"/>
                <w:szCs w:val="19"/>
              </w:rPr>
              <w:t xml:space="preserve">Open camera RTSP support</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360"/>
            <w:tcBorders>
              <w:top w:val="single" w:color="CBD5E1" w:sz="1"/>
              <w:left w:val="single" w:color="CBD5E1" w:sz="1"/>
              <w:bottom w:val="single" w:color="CBD5E1" w:sz="1"/>
              <w:right w:val="single" w:color="CBD5E1" w:sz="1"/>
            </w:tcBorders>
            <w:shd w:fill="F3F4F6" w:val="clear"/>
            <w:tcMar>
              <w:top w:type="dxa" w:w="60"/>
              <w:left w:type="dxa" w:w="80"/>
              <w:bottom w:type="dxa" w:w="60"/>
              <w:right w:type="dxa" w:w="80"/>
            </w:tcMar>
            <w:vAlign w:val="center"/>
          </w:tcPr>
          <w:p>
            <w:pPr>
              <w:jc w:val="center"/>
            </w:pPr>
            <w:r>
              <w:rPr>
                <w:rFonts w:ascii="Arial" w:cs="Arial" w:eastAsia="Arial" w:hAnsi="Arial"/>
                <w:b w:val="false"/>
                <w:bCs w:val="false"/>
                <w:color w:val="374151"/>
                <w:sz w:val="18"/>
                <w:szCs w:val="18"/>
              </w:rPr>
              <w:t xml:space="preserve">n/a</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sz w:val="19"/>
                <w:szCs w:val="19"/>
              </w:rPr>
              <w:t xml:space="preserve">SME-friendly pricing</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F9C3" w:val="clear"/>
            <w:tcMar>
              <w:top w:type="dxa" w:w="60"/>
              <w:left w:type="dxa" w:w="80"/>
              <w:bottom w:type="dxa" w:w="60"/>
              <w:right w:type="dxa" w:w="80"/>
            </w:tcMar>
            <w:vAlign w:val="center"/>
          </w:tcPr>
          <w:p>
            <w:pPr>
              <w:jc w:val="center"/>
            </w:pPr>
            <w:r>
              <w:rPr>
                <w:rFonts w:ascii="Arial" w:cs="Arial" w:eastAsia="Arial" w:hAnsi="Arial"/>
                <w:b w:val="false"/>
                <w:bCs w:val="false"/>
                <w:color w:val="374151"/>
                <w:sz w:val="18"/>
                <w:szCs w:val="18"/>
              </w:rPr>
              <w:t xml:space="preserve">Partial</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FEF9C3" w:val="clear"/>
            <w:tcMar>
              <w:top w:type="dxa" w:w="60"/>
              <w:left w:type="dxa" w:w="80"/>
              <w:bottom w:type="dxa" w:w="60"/>
              <w:right w:type="dxa" w:w="80"/>
            </w:tcMar>
            <w:vAlign w:val="center"/>
          </w:tcPr>
          <w:p>
            <w:pPr>
              <w:jc w:val="center"/>
            </w:pPr>
            <w:r>
              <w:rPr>
                <w:rFonts w:ascii="Arial" w:cs="Arial" w:eastAsia="Arial" w:hAnsi="Arial"/>
                <w:b w:val="false"/>
                <w:bCs w:val="false"/>
                <w:color w:val="374151"/>
                <w:sz w:val="18"/>
                <w:szCs w:val="18"/>
              </w:rPr>
              <w:t xml:space="preserve">YES (HW)</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36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r>
      <w:tr>
        <w:tc>
          <w:tcPr>
            <w:tcW w:type="dxa" w:w="2000"/>
            <w:tcBorders>
              <w:top w:val="single" w:color="CBD5E1" w:sz="1"/>
              <w:left w:val="single" w:color="CBD5E1" w:sz="1"/>
              <w:bottom w:val="single" w:color="CBD5E1" w:sz="1"/>
              <w:right w:val="single" w:color="CBD5E1" w:sz="1"/>
            </w:tcBorders>
            <w:shd w:fill="EFF4FB" w:val="clear"/>
            <w:tcMar>
              <w:top w:type="dxa" w:w="60"/>
              <w:left w:type="dxa" w:w="120"/>
              <w:bottom w:type="dxa" w:w="60"/>
              <w:right w:type="dxa" w:w="120"/>
            </w:tcMar>
          </w:tcPr>
          <w:p>
            <w:r>
              <w:rPr>
                <w:rFonts w:ascii="Arial" w:cs="Arial" w:eastAsia="Arial" w:hAnsi="Arial"/>
                <w:b/>
                <w:bCs/>
                <w:sz w:val="19"/>
                <w:szCs w:val="19"/>
              </w:rPr>
              <w:t xml:space="preserve">Multi-plant dashboard</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36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sz w:val="19"/>
                <w:szCs w:val="19"/>
              </w:rPr>
              <w:t xml:space="preserve">API / webhook integration</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vAlign w:val="center"/>
          </w:tcPr>
          <w:p>
            <w:pPr>
              <w:jc w:val="center"/>
            </w:pPr>
            <w:r>
              <w:rPr>
                <w:rFonts w:ascii="Arial" w:cs="Arial" w:eastAsia="Arial" w:hAnsi="Arial"/>
                <w:b w:val="false"/>
                <w:bCs w:val="false"/>
                <w:color w:val="991B1B"/>
                <w:sz w:val="18"/>
                <w:szCs w:val="18"/>
              </w:rPr>
              <w:t xml:space="preserve">NO</w:t>
            </w:r>
          </w:p>
        </w:tc>
        <w:tc>
          <w:tcPr>
            <w:tcW w:type="dxa" w:w="100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c>
          <w:tcPr>
            <w:tcW w:type="dxa" w:w="1360"/>
            <w:tcBorders>
              <w:top w:val="single" w:color="CBD5E1" w:sz="1"/>
              <w:left w:val="single" w:color="CBD5E1" w:sz="1"/>
              <w:bottom w:val="single" w:color="CBD5E1" w:sz="1"/>
              <w:right w:val="single" w:color="CBD5E1" w:sz="1"/>
            </w:tcBorders>
            <w:shd w:fill="D1FAE5" w:val="clear"/>
            <w:tcMar>
              <w:top w:type="dxa" w:w="60"/>
              <w:left w:type="dxa" w:w="80"/>
              <w:bottom w:type="dxa" w:w="60"/>
              <w:right w:type="dxa" w:w="80"/>
            </w:tcMar>
            <w:vAlign w:val="center"/>
          </w:tcPr>
          <w:p>
            <w:pPr>
              <w:jc w:val="center"/>
            </w:pPr>
            <w:r>
              <w:rPr>
                <w:rFonts w:ascii="Arial" w:cs="Arial" w:eastAsia="Arial" w:hAnsi="Arial"/>
                <w:b/>
                <w:bCs/>
                <w:color w:val="166534"/>
                <w:sz w:val="18"/>
                <w:szCs w:val="18"/>
              </w:rPr>
              <w:t xml:space="preserve">YES</w:t>
            </w:r>
          </w:p>
        </w:tc>
      </w:tr>
    </w:tbl>
    <w:p>
      <w:pPr>
        <w:spacing w:after="60"/>
      </w:pPr>
    </w:p>
    <w:p>
      <w:pPr>
        <w:pStyle w:val="Heading2"/>
        <w:spacing w:before="300" w:after="140"/>
      </w:pPr>
      <w:r>
        <w:rPr>
          <w:rFonts w:ascii="Arial" w:cs="Arial" w:eastAsia="Arial" w:hAnsi="Arial"/>
          <w:b/>
          <w:bCs/>
          <w:color w:val="2563A8"/>
          <w:sz w:val="26"/>
          <w:szCs w:val="26"/>
        </w:rPr>
        <w:t xml:space="preserve">4.3 Competitive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5F10" w:sz="4"/>
              <w:left w:val="single" w:color="D95F10" w:sz="4"/>
              <w:bottom w:val="single" w:color="D95F10" w:sz="4"/>
              <w:right w:val="single" w:color="D95F10" w:sz="4"/>
            </w:tcBorders>
            <w:shd w:fill="FFF7ED" w:val="clear"/>
            <w:tcMar>
              <w:top w:type="dxa" w:w="200"/>
              <w:left w:type="dxa" w:w="280"/>
              <w:bottom w:type="dxa" w:w="200"/>
              <w:right w:type="dxa" w:w="280"/>
            </w:tcMar>
          </w:tcPr>
          <w:p>
            <w:pPr>
              <w:spacing w:after="80"/>
            </w:pPr>
            <w:r>
              <w:rPr>
                <w:rFonts w:ascii="Arial" w:cs="Arial" w:eastAsia="Arial" w:hAnsi="Arial"/>
                <w:i/>
                <w:iCs/>
                <w:color w:val="5A6A85"/>
                <w:sz w:val="20"/>
                <w:szCs w:val="20"/>
              </w:rPr>
              <w:t xml:space="preserve">For Indian manufacturing plant managers and HSE leaders</w:t>
            </w:r>
          </w:p>
          <w:p>
            <w:pPr>
              <w:spacing w:after="80"/>
            </w:pPr>
            <w:r>
              <w:rPr>
                <w:rFonts w:ascii="Arial" w:cs="Arial" w:eastAsia="Arial" w:hAnsi="Arial"/>
                <w:i/>
                <w:iCs/>
                <w:color w:val="5A6A85"/>
                <w:sz w:val="20"/>
                <w:szCs w:val="20"/>
              </w:rPr>
              <w:t xml:space="preserve">who need affordable, always-on safety monitoring without replacing existing cameras,</w:t>
            </w:r>
          </w:p>
          <w:p>
            <w:pPr>
              <w:spacing w:after="80"/>
            </w:pPr>
            <w:r>
              <w:rPr>
                <w:rFonts w:ascii="Arial" w:cs="Arial" w:eastAsia="Arial" w:hAnsi="Arial"/>
                <w:b/>
                <w:bCs/>
                <w:color w:val="1B2B4D"/>
                <w:sz w:val="22"/>
                <w:szCs w:val="22"/>
              </w:rPr>
              <w:t xml:space="preserve">SafeGuard AI is the only LLM-vision safety platform</w:t>
            </w:r>
          </w:p>
          <w:p>
            <w:pPr>
              <w:spacing w:after="80"/>
            </w:pPr>
            <w:r>
              <w:rPr>
                <w:rFonts w:ascii="Arial" w:cs="Arial" w:eastAsia="Arial" w:hAnsi="Arial"/>
                <w:color w:val="1B2B4D"/>
                <w:sz w:val="20"/>
                <w:szCs w:val="20"/>
              </w:rPr>
              <w:t xml:space="preserve">that combines real-time CCTV analysis with general-purpose AI reasoning to detect unsafe behaviours across all eight DGFASLI hazard categories,</w:t>
            </w:r>
          </w:p>
          <w:p>
            <w:pPr>
              <w:spacing w:after="0"/>
            </w:pPr>
            <w:r>
              <w:rPr>
                <w:rFonts w:ascii="Arial" w:cs="Arial" w:eastAsia="Arial" w:hAnsi="Arial"/>
                <w:b/>
                <w:bCs/>
                <w:color w:val="D95F10"/>
                <w:sz w:val="20"/>
                <w:szCs w:val="20"/>
              </w:rPr>
              <w:t xml:space="preserve">at Indian SME-friendly pricing with Factories Act compliance reporting — unlike international SaaS tools priced in USD or hardware-only edge AI vendors.</w:t>
            </w:r>
          </w:p>
        </w:tc>
      </w:tr>
    </w:tbl>
    <w:p>
      <w:r>
        <w:br w:type="page"/>
      </w:r>
    </w:p>
    <w:p>
      <w:pPr>
        <w:pStyle w:val="Heading1"/>
        <w:spacing w:before="400" w:after="200"/>
      </w:pPr>
      <w:r>
        <w:rPr>
          <w:rFonts w:ascii="Arial" w:cs="Arial" w:eastAsia="Arial" w:hAnsi="Arial"/>
          <w:b/>
          <w:bCs/>
          <w:color w:val="1B2B4D"/>
          <w:sz w:val="34"/>
          <w:szCs w:val="34"/>
        </w:rPr>
        <w:t xml:space="preserve">5. SWOT Analysis — SafeGuard AI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after="100"/>
            </w:pPr>
            <w:r>
              <w:rPr>
                <w:rFonts w:ascii="Arial" w:cs="Arial" w:eastAsia="Arial" w:hAnsi="Arial"/>
                <w:b/>
                <w:bCs/>
                <w:color w:val="166534"/>
                <w:sz w:val="22"/>
                <w:szCs w:val="22"/>
              </w:rPr>
              <w:t xml:space="preserve">STRENGTHS</w:t>
            </w:r>
          </w:p>
          <w:p>
            <w:pPr>
              <w:pStyle w:val="ListParagraph"/>
              <w:numPr>
                <w:ilvl w:val="0"/>
                <w:numId w:val="2"/>
              </w:numPr>
              <w:spacing w:after="60"/>
            </w:pPr>
            <w:r>
              <w:rPr>
                <w:rFonts w:ascii="Arial" w:cs="Arial" w:eastAsia="Arial" w:hAnsi="Arial"/>
                <w:sz w:val="20"/>
                <w:szCs w:val="20"/>
              </w:rPr>
              <w:t xml:space="preserve">LLM-class vision AI (Claude) gives far richer reasoning than YOLO-based competitors</w:t>
            </w:r>
          </w:p>
          <w:p>
            <w:pPr>
              <w:pStyle w:val="ListParagraph"/>
              <w:numPr>
                <w:ilvl w:val="0"/>
                <w:numId w:val="2"/>
              </w:numPr>
              <w:spacing w:after="60"/>
            </w:pPr>
            <w:r>
              <w:rPr>
                <w:rFonts w:ascii="Arial" w:cs="Arial" w:eastAsia="Arial" w:hAnsi="Arial"/>
                <w:sz w:val="20"/>
                <w:szCs w:val="20"/>
              </w:rPr>
              <w:t xml:space="preserve">Works on any existing RTSP camera — zero hardware replacement cost</w:t>
            </w:r>
          </w:p>
          <w:p>
            <w:pPr>
              <w:pStyle w:val="ListParagraph"/>
              <w:numPr>
                <w:ilvl w:val="0"/>
                <w:numId w:val="2"/>
              </w:numPr>
              <w:spacing w:after="60"/>
            </w:pPr>
            <w:r>
              <w:rPr>
                <w:rFonts w:ascii="Arial" w:cs="Arial" w:eastAsia="Arial" w:hAnsi="Arial"/>
                <w:sz w:val="20"/>
                <w:szCs w:val="20"/>
              </w:rPr>
              <w:t xml:space="preserve">India-first pricing in INR; Hindi language support planned</w:t>
            </w:r>
          </w:p>
          <w:p>
            <w:pPr>
              <w:pStyle w:val="ListParagraph"/>
              <w:numPr>
                <w:ilvl w:val="0"/>
                <w:numId w:val="2"/>
              </w:numPr>
              <w:spacing w:after="60"/>
            </w:pPr>
            <w:r>
              <w:rPr>
                <w:rFonts w:ascii="Arial" w:cs="Arial" w:eastAsia="Arial" w:hAnsi="Arial"/>
                <w:sz w:val="20"/>
                <w:szCs w:val="20"/>
              </w:rPr>
              <w:t xml:space="preserve">Covers all 8 DGFASLI hazard categories out of the box</w:t>
            </w:r>
          </w:p>
          <w:p>
            <w:pPr>
              <w:pStyle w:val="ListParagraph"/>
              <w:numPr>
                <w:ilvl w:val="0"/>
                <w:numId w:val="2"/>
              </w:numPr>
              <w:spacing w:after="60"/>
            </w:pPr>
            <w:r>
              <w:rPr>
                <w:rFonts w:ascii="Arial" w:cs="Arial" w:eastAsia="Arial" w:hAnsi="Arial"/>
                <w:sz w:val="20"/>
                <w:szCs w:val="20"/>
              </w:rPr>
              <w:t xml:space="preserve">Factories Act Form 18-compatible incident reports</w:t>
            </w:r>
          </w:p>
          <w:p>
            <w:pPr>
              <w:pStyle w:val="ListParagraph"/>
              <w:numPr>
                <w:ilvl w:val="0"/>
                <w:numId w:val="2"/>
              </w:numPr>
              <w:spacing w:after="60"/>
            </w:pPr>
            <w:r>
              <w:rPr>
                <w:rFonts w:ascii="Arial" w:cs="Arial" w:eastAsia="Arial" w:hAnsi="Arial"/>
                <w:sz w:val="20"/>
                <w:szCs w:val="20"/>
              </w:rPr>
              <w:t xml:space="preserve">Continuous monitoring (every 15 seconds) vs. periodic human audits</w:t>
            </w:r>
          </w:p>
          <w:p>
            <w:pPr>
              <w:pStyle w:val="ListParagraph"/>
              <w:numPr>
                <w:ilvl w:val="0"/>
                <w:numId w:val="2"/>
              </w:numPr>
              <w:spacing w:after="60"/>
            </w:pPr>
            <w:r>
              <w:rPr>
                <w:rFonts w:ascii="Arial" w:cs="Arial" w:eastAsia="Arial" w:hAnsi="Arial"/>
                <w:sz w:val="20"/>
                <w:szCs w:val="20"/>
              </w:rPr>
              <w:t xml:space="preserve">Low CapEx deployment — Rs. 8–11 lakhs total for 32-camera plant</w:t>
            </w:r>
          </w:p>
        </w:tc>
        <w:tc>
          <w:tcPr>
            <w:tcW w:type="dxa" w:w="4680"/>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pPr>
              <w:spacing w:after="100"/>
            </w:pPr>
            <w:r>
              <w:rPr>
                <w:rFonts w:ascii="Arial" w:cs="Arial" w:eastAsia="Arial" w:hAnsi="Arial"/>
                <w:b/>
                <w:bCs/>
                <w:color w:val="991B1B"/>
                <w:sz w:val="22"/>
                <w:szCs w:val="22"/>
              </w:rPr>
              <w:t xml:space="preserve">WEAKNESSES</w:t>
            </w:r>
          </w:p>
          <w:p>
            <w:pPr>
              <w:pStyle w:val="ListParagraph"/>
              <w:numPr>
                <w:ilvl w:val="0"/>
                <w:numId w:val="2"/>
              </w:numPr>
              <w:spacing w:after="60"/>
            </w:pPr>
            <w:r>
              <w:rPr>
                <w:rFonts w:ascii="Arial" w:cs="Arial" w:eastAsia="Arial" w:hAnsi="Arial"/>
                <w:sz w:val="20"/>
                <w:szCs w:val="20"/>
              </w:rPr>
              <w:t xml:space="preserve">Dependence on Anthropic API — external vendor risk and per-token cost</w:t>
            </w:r>
          </w:p>
          <w:p>
            <w:pPr>
              <w:pStyle w:val="ListParagraph"/>
              <w:numPr>
                <w:ilvl w:val="0"/>
                <w:numId w:val="2"/>
              </w:numPr>
              <w:spacing w:after="60"/>
            </w:pPr>
            <w:r>
              <w:rPr>
                <w:rFonts w:ascii="Arial" w:cs="Arial" w:eastAsia="Arial" w:hAnsi="Arial"/>
                <w:sz w:val="20"/>
                <w:szCs w:val="20"/>
              </w:rPr>
              <w:t xml:space="preserve">Requires reliable internet (100 Mbps leased line) — challenging in some industrial zones</w:t>
            </w:r>
          </w:p>
          <w:p>
            <w:pPr>
              <w:pStyle w:val="ListParagraph"/>
              <w:numPr>
                <w:ilvl w:val="0"/>
                <w:numId w:val="2"/>
              </w:numPr>
              <w:spacing w:after="60"/>
            </w:pPr>
            <w:r>
              <w:rPr>
                <w:rFonts w:ascii="Arial" w:cs="Arial" w:eastAsia="Arial" w:hAnsi="Arial"/>
                <w:sz w:val="20"/>
                <w:szCs w:val="20"/>
              </w:rPr>
              <w:t xml:space="preserve">15-second analysis interval; not sub-second like edge AI cameras</w:t>
            </w:r>
          </w:p>
          <w:p>
            <w:pPr>
              <w:pStyle w:val="ListParagraph"/>
              <w:numPr>
                <w:ilvl w:val="0"/>
                <w:numId w:val="2"/>
              </w:numPr>
              <w:spacing w:after="60"/>
            </w:pPr>
            <w:r>
              <w:rPr>
                <w:rFonts w:ascii="Arial" w:cs="Arial" w:eastAsia="Arial" w:hAnsi="Arial"/>
                <w:sz w:val="20"/>
                <w:szCs w:val="20"/>
              </w:rPr>
              <w:t xml:space="preserve">New entrant — no installed base or reference customers yet</w:t>
            </w:r>
          </w:p>
          <w:p>
            <w:pPr>
              <w:pStyle w:val="ListParagraph"/>
              <w:numPr>
                <w:ilvl w:val="0"/>
                <w:numId w:val="2"/>
              </w:numPr>
              <w:spacing w:after="60"/>
            </w:pPr>
            <w:r>
              <w:rPr>
                <w:rFonts w:ascii="Arial" w:cs="Arial" w:eastAsia="Arial" w:hAnsi="Arial"/>
                <w:sz w:val="20"/>
                <w:szCs w:val="20"/>
              </w:rPr>
              <w:t xml:space="preserve">Privacy concerns in workforce with limited digital literacy</w:t>
            </w:r>
          </w:p>
          <w:p>
            <w:pPr>
              <w:pStyle w:val="ListParagraph"/>
              <w:numPr>
                <w:ilvl w:val="0"/>
                <w:numId w:val="2"/>
              </w:numPr>
              <w:spacing w:after="60"/>
            </w:pPr>
            <w:r>
              <w:rPr>
                <w:rFonts w:ascii="Arial" w:cs="Arial" w:eastAsia="Arial" w:hAnsi="Arial"/>
                <w:sz w:val="20"/>
                <w:szCs w:val="20"/>
              </w:rPr>
              <w:t xml:space="preserve">No embedded/offline mode currently available</w:t>
            </w:r>
          </w:p>
        </w:tc>
      </w:tr>
      <w:tr>
        <w:tc>
          <w:tcPr>
            <w:tcW w:type="dxa" w:w="468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100"/>
            </w:pPr>
            <w:r>
              <w:rPr>
                <w:rFonts w:ascii="Arial" w:cs="Arial" w:eastAsia="Arial" w:hAnsi="Arial"/>
                <w:b/>
                <w:bCs/>
                <w:color w:val="1E3A8A"/>
                <w:sz w:val="22"/>
                <w:szCs w:val="22"/>
              </w:rPr>
              <w:t xml:space="preserve">OPPORTUNITIES</w:t>
            </w:r>
          </w:p>
          <w:p>
            <w:pPr>
              <w:pStyle w:val="ListParagraph"/>
              <w:numPr>
                <w:ilvl w:val="0"/>
                <w:numId w:val="2"/>
              </w:numPr>
              <w:spacing w:after="60"/>
            </w:pPr>
            <w:r>
              <w:rPr>
                <w:rFonts w:ascii="Arial" w:cs="Arial" w:eastAsia="Arial" w:hAnsi="Arial"/>
                <w:sz w:val="20"/>
                <w:szCs w:val="20"/>
              </w:rPr>
              <w:t xml:space="preserve">363,000+ registered factories — largely unmonitored; massive greenfield market</w:t>
            </w:r>
          </w:p>
          <w:p>
            <w:pPr>
              <w:pStyle w:val="ListParagraph"/>
              <w:numPr>
                <w:ilvl w:val="0"/>
                <w:numId w:val="2"/>
              </w:numPr>
              <w:spacing w:after="60"/>
            </w:pPr>
            <w:r>
              <w:rPr>
                <w:rFonts w:ascii="Arial" w:cs="Arial" w:eastAsia="Arial" w:hAnsi="Arial"/>
                <w:sz w:val="20"/>
                <w:szCs w:val="20"/>
              </w:rPr>
              <w:t xml:space="preserve">Tightening Factories Act enforcement and ESG reporting requirements</w:t>
            </w:r>
          </w:p>
          <w:p>
            <w:pPr>
              <w:pStyle w:val="ListParagraph"/>
              <w:numPr>
                <w:ilvl w:val="0"/>
                <w:numId w:val="2"/>
              </w:numPr>
              <w:spacing w:after="60"/>
            </w:pPr>
            <w:r>
              <w:rPr>
                <w:rFonts w:ascii="Arial" w:cs="Arial" w:eastAsia="Arial" w:hAnsi="Arial"/>
                <w:sz w:val="20"/>
                <w:szCs w:val="20"/>
              </w:rPr>
              <w:t xml:space="preserve">OEM supplier audit requirements driving Tier-2/3 auto plants to adopt safety tech</w:t>
            </w:r>
          </w:p>
          <w:p>
            <w:pPr>
              <w:pStyle w:val="ListParagraph"/>
              <w:numPr>
                <w:ilvl w:val="0"/>
                <w:numId w:val="2"/>
              </w:numPr>
              <w:spacing w:after="60"/>
            </w:pPr>
            <w:r>
              <w:rPr>
                <w:rFonts w:ascii="Arial" w:cs="Arial" w:eastAsia="Arial" w:hAnsi="Arial"/>
                <w:sz w:val="20"/>
                <w:szCs w:val="20"/>
              </w:rPr>
              <w:t xml:space="preserve">Make in India / PLI scheme factories need safety certification for global buyers</w:t>
            </w:r>
          </w:p>
          <w:p>
            <w:pPr>
              <w:pStyle w:val="ListParagraph"/>
              <w:numPr>
                <w:ilvl w:val="0"/>
                <w:numId w:val="2"/>
              </w:numPr>
              <w:spacing w:after="60"/>
            </w:pPr>
            <w:r>
              <w:rPr>
                <w:rFonts w:ascii="Arial" w:cs="Arial" w:eastAsia="Arial" w:hAnsi="Arial"/>
                <w:sz w:val="20"/>
                <w:szCs w:val="20"/>
              </w:rPr>
              <w:t xml:space="preserve">ESIC insurance premium discounts possible with demonstrated safety improvement</w:t>
            </w:r>
          </w:p>
          <w:p>
            <w:pPr>
              <w:pStyle w:val="ListParagraph"/>
              <w:numPr>
                <w:ilvl w:val="0"/>
                <w:numId w:val="2"/>
              </w:numPr>
              <w:spacing w:after="60"/>
            </w:pPr>
            <w:r>
              <w:rPr>
                <w:rFonts w:ascii="Arial" w:cs="Arial" w:eastAsia="Arial" w:hAnsi="Arial"/>
                <w:sz w:val="20"/>
                <w:szCs w:val="20"/>
              </w:rPr>
              <w:t xml:space="preserve">India's USD 1.2 Bn AI safety market by 2028 — fastest growing globally</w:t>
            </w:r>
          </w:p>
          <w:p>
            <w:pPr>
              <w:pStyle w:val="ListParagraph"/>
              <w:numPr>
                <w:ilvl w:val="0"/>
                <w:numId w:val="2"/>
              </w:numPr>
              <w:spacing w:after="60"/>
            </w:pPr>
            <w:r>
              <w:rPr>
                <w:rFonts w:ascii="Arial" w:cs="Arial" w:eastAsia="Arial" w:hAnsi="Arial"/>
                <w:sz w:val="20"/>
                <w:szCs w:val="20"/>
              </w:rPr>
              <w:t xml:space="preserve">Channel partnerships with Hikvision/CP Plus dealers (50,000+ outlets India)</w:t>
            </w:r>
          </w:p>
          <w:p>
            <w:pPr>
              <w:pStyle w:val="ListParagraph"/>
              <w:numPr>
                <w:ilvl w:val="0"/>
                <w:numId w:val="2"/>
              </w:numPr>
              <w:spacing w:after="60"/>
            </w:pPr>
            <w:r>
              <w:rPr>
                <w:rFonts w:ascii="Arial" w:cs="Arial" w:eastAsia="Arial" w:hAnsi="Arial"/>
                <w:sz w:val="20"/>
                <w:szCs w:val="20"/>
              </w:rPr>
              <w:t xml:space="preserve">Government DGFASLI digital monitoring initiatives creating pull demand</w:t>
            </w:r>
          </w:p>
        </w:tc>
        <w:tc>
          <w:tcPr>
            <w:tcW w:type="dxa" w:w="4680"/>
            <w:tcBorders>
              <w:top w:val="single" w:color="CBD5E1" w:sz="1"/>
              <w:left w:val="single" w:color="CBD5E1" w:sz="1"/>
              <w:bottom w:val="single" w:color="CBD5E1" w:sz="1"/>
              <w:right w:val="single" w:color="CBD5E1" w:sz="1"/>
            </w:tcBorders>
            <w:shd w:fill="FEF9C3" w:val="clear"/>
            <w:tcMar>
              <w:top w:type="dxa" w:w="120"/>
              <w:left w:type="dxa" w:w="200"/>
              <w:bottom w:type="dxa" w:w="120"/>
              <w:right w:type="dxa" w:w="200"/>
            </w:tcMar>
          </w:tcPr>
          <w:p>
            <w:pPr>
              <w:spacing w:after="100"/>
            </w:pPr>
            <w:r>
              <w:rPr>
                <w:rFonts w:ascii="Arial" w:cs="Arial" w:eastAsia="Arial" w:hAnsi="Arial"/>
                <w:b/>
                <w:bCs/>
                <w:color w:val="713F12"/>
                <w:sz w:val="22"/>
                <w:szCs w:val="22"/>
              </w:rPr>
              <w:t xml:space="preserve">THREATS</w:t>
            </w:r>
          </w:p>
          <w:p>
            <w:pPr>
              <w:pStyle w:val="ListParagraph"/>
              <w:numPr>
                <w:ilvl w:val="0"/>
                <w:numId w:val="2"/>
              </w:numPr>
              <w:spacing w:after="60"/>
            </w:pPr>
            <w:r>
              <w:rPr>
                <w:rFonts w:ascii="Arial" w:cs="Arial" w:eastAsia="Arial" w:hAnsi="Arial"/>
                <w:sz w:val="20"/>
                <w:szCs w:val="20"/>
              </w:rPr>
              <w:t xml:space="preserve">Wobot.ai and Awiros already have India enterprise traction and VC funding</w:t>
            </w:r>
          </w:p>
          <w:p>
            <w:pPr>
              <w:pStyle w:val="ListParagraph"/>
              <w:numPr>
                <w:ilvl w:val="0"/>
                <w:numId w:val="2"/>
              </w:numPr>
              <w:spacing w:after="60"/>
            </w:pPr>
            <w:r>
              <w:rPr>
                <w:rFonts w:ascii="Arial" w:cs="Arial" w:eastAsia="Arial" w:hAnsi="Arial"/>
                <w:sz w:val="20"/>
                <w:szCs w:val="20"/>
              </w:rPr>
              <w:t xml:space="preserve">Prama (Hikvision India) can embed AI directly into cameras at mass scale</w:t>
            </w:r>
          </w:p>
          <w:p>
            <w:pPr>
              <w:pStyle w:val="ListParagraph"/>
              <w:numPr>
                <w:ilvl w:val="0"/>
                <w:numId w:val="2"/>
              </w:numPr>
              <w:spacing w:after="60"/>
            </w:pPr>
            <w:r>
              <w:rPr>
                <w:rFonts w:ascii="Arial" w:cs="Arial" w:eastAsia="Arial" w:hAnsi="Arial"/>
                <w:sz w:val="20"/>
                <w:szCs w:val="20"/>
              </w:rPr>
              <w:t xml:space="preserve">Anthropic API pricing changes could erode unit economics</w:t>
            </w:r>
          </w:p>
          <w:p>
            <w:pPr>
              <w:pStyle w:val="ListParagraph"/>
              <w:numPr>
                <w:ilvl w:val="0"/>
                <w:numId w:val="2"/>
              </w:numPr>
              <w:spacing w:after="60"/>
            </w:pPr>
            <w:r>
              <w:rPr>
                <w:rFonts w:ascii="Arial" w:cs="Arial" w:eastAsia="Arial" w:hAnsi="Arial"/>
                <w:sz w:val="20"/>
                <w:szCs w:val="20"/>
              </w:rPr>
              <w:t xml:space="preserve">Large SIs (TCS, Infosys) could build competing solutions for enterprise clients</w:t>
            </w:r>
          </w:p>
          <w:p>
            <w:pPr>
              <w:pStyle w:val="ListParagraph"/>
              <w:numPr>
                <w:ilvl w:val="0"/>
                <w:numId w:val="2"/>
              </w:numPr>
              <w:spacing w:after="60"/>
            </w:pPr>
            <w:r>
              <w:rPr>
                <w:rFonts w:ascii="Arial" w:cs="Arial" w:eastAsia="Arial" w:hAnsi="Arial"/>
                <w:sz w:val="20"/>
                <w:szCs w:val="20"/>
              </w:rPr>
              <w:t xml:space="preserve">Worker unions may resist continuous video surveillance</w:t>
            </w:r>
          </w:p>
          <w:p>
            <w:pPr>
              <w:pStyle w:val="ListParagraph"/>
              <w:numPr>
                <w:ilvl w:val="0"/>
                <w:numId w:val="2"/>
              </w:numPr>
              <w:spacing w:after="60"/>
            </w:pPr>
            <w:r>
              <w:rPr>
                <w:rFonts w:ascii="Arial" w:cs="Arial" w:eastAsia="Arial" w:hAnsi="Arial"/>
                <w:sz w:val="20"/>
                <w:szCs w:val="20"/>
              </w:rPr>
              <w:t xml:space="preserve">Low awareness of AI safety tools among SME factory owners</w:t>
            </w:r>
          </w:p>
          <w:p>
            <w:pPr>
              <w:pStyle w:val="ListParagraph"/>
              <w:numPr>
                <w:ilvl w:val="0"/>
                <w:numId w:val="2"/>
              </w:numPr>
              <w:spacing w:after="60"/>
            </w:pPr>
            <w:r>
              <w:rPr>
                <w:rFonts w:ascii="Arial" w:cs="Arial" w:eastAsia="Arial" w:hAnsi="Arial"/>
                <w:sz w:val="20"/>
                <w:szCs w:val="20"/>
              </w:rPr>
              <w:t xml:space="preserve">Competing priorities — many SMEs prioritise cost over safety</w:t>
            </w:r>
          </w:p>
        </w:tc>
      </w:tr>
    </w:tbl>
    <w:p>
      <w:r>
        <w:br w:type="page"/>
      </w:r>
    </w:p>
    <w:p>
      <w:pPr>
        <w:pStyle w:val="Heading1"/>
        <w:spacing w:before="400" w:after="200"/>
      </w:pPr>
      <w:r>
        <w:rPr>
          <w:rFonts w:ascii="Arial" w:cs="Arial" w:eastAsia="Arial" w:hAnsi="Arial"/>
          <w:b/>
          <w:bCs/>
          <w:color w:val="1B2B4D"/>
          <w:sz w:val="34"/>
          <w:szCs w:val="34"/>
        </w:rPr>
        <w:t xml:space="preserve">6. Pricing Strategy</w:t>
      </w:r>
    </w:p>
    <w:p>
      <w:pPr>
        <w:spacing w:after="120"/>
      </w:pPr>
      <w:r>
        <w:rPr>
          <w:rFonts w:ascii="Arial" w:cs="Arial" w:eastAsia="Arial" w:hAnsi="Arial"/>
          <w:sz w:val="22"/>
          <w:szCs w:val="22"/>
        </w:rPr>
        <w:t xml:space="preserve">SafeGuard AI uses a per-camera SaaS model billed monthly or annually, with a tiered structure to serve both SME factories and large enterprises. All prices are in INR and exclude GST.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1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Cameras</w:t>
            </w:r>
          </w:p>
        </w:tc>
        <w:tc>
          <w:tcPr>
            <w:tcW w:type="dxa" w:w="1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Monthly / Camera</w:t>
            </w:r>
          </w:p>
        </w:tc>
        <w:tc>
          <w:tcPr>
            <w:tcW w:type="dxa" w:w="1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Annual / Camera</w:t>
            </w:r>
          </w:p>
        </w:tc>
        <w:tc>
          <w:tcPr>
            <w:tcW w:type="dxa" w:w="216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Inclusions</w:t>
            </w:r>
          </w:p>
        </w:tc>
      </w:tr>
      <w:tr>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bCs/>
                <w:color w:val="374151"/>
                <w:sz w:val="20"/>
                <w:szCs w:val="20"/>
              </w:rPr>
              <w:t xml:space="preserve">Starter</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color w:val="374151"/>
                <w:sz w:val="20"/>
                <w:szCs w:val="20"/>
              </w:rPr>
              <w:t xml:space="preserve">Up to 4</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color w:val="374151"/>
                <w:sz w:val="20"/>
                <w:szCs w:val="20"/>
              </w:rPr>
              <w:t xml:space="preserve">Rs. 2,500</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color w:val="374151"/>
                <w:sz w:val="20"/>
                <w:szCs w:val="20"/>
              </w:rPr>
              <w:t xml:space="preserve">Rs. 25,000</w:t>
            </w:r>
          </w:p>
        </w:tc>
        <w:tc>
          <w:tcPr>
            <w:tcW w:type="dxa" w:w="21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color w:val="374151"/>
                <w:sz w:val="20"/>
                <w:szCs w:val="20"/>
              </w:rPr>
              <w:t xml:space="preserve">Dashboard, alerts, 30-day log, email support, basic reports</w:t>
            </w:r>
          </w:p>
        </w:tc>
      </w:tr>
      <w:tr>
        <w:tc>
          <w:tcPr>
            <w:tcW w:type="dxa" w:w="1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E3A8A"/>
                <w:sz w:val="20"/>
                <w:szCs w:val="20"/>
              </w:rPr>
              <w:t xml:space="preserve">Professional</w:t>
            </w:r>
          </w:p>
        </w:tc>
        <w:tc>
          <w:tcPr>
            <w:tcW w:type="dxa" w:w="1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val="false"/>
                <w:bCs w:val="false"/>
                <w:color w:val="1E3A8A"/>
                <w:sz w:val="20"/>
                <w:szCs w:val="20"/>
              </w:rPr>
              <w:t xml:space="preserve">5–16</w:t>
            </w:r>
          </w:p>
        </w:tc>
        <w:tc>
          <w:tcPr>
            <w:tcW w:type="dxa" w:w="1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val="false"/>
                <w:bCs w:val="false"/>
                <w:color w:val="1E3A8A"/>
                <w:sz w:val="20"/>
                <w:szCs w:val="20"/>
              </w:rPr>
              <w:t xml:space="preserve">Rs. 2,000</w:t>
            </w:r>
          </w:p>
        </w:tc>
        <w:tc>
          <w:tcPr>
            <w:tcW w:type="dxa" w:w="1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val="false"/>
                <w:bCs w:val="false"/>
                <w:color w:val="1E3A8A"/>
                <w:sz w:val="20"/>
                <w:szCs w:val="20"/>
              </w:rPr>
              <w:t xml:space="preserve">Rs. 20,000</w:t>
            </w:r>
          </w:p>
        </w:tc>
        <w:tc>
          <w:tcPr>
            <w:tcW w:type="dxa" w:w="2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val="false"/>
                <w:bCs w:val="false"/>
                <w:color w:val="1E3A8A"/>
                <w:sz w:val="20"/>
                <w:szCs w:val="20"/>
              </w:rPr>
              <w:t xml:space="preserve">Everything in Starter + SMS alerts (MSG91), 90-day archive, Factories Act report export, priority support</w:t>
            </w:r>
          </w:p>
        </w:tc>
      </w:tr>
      <w:tr>
        <w:tc>
          <w:tcPr>
            <w:tcW w:type="dxa" w:w="180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r>
              <w:rPr>
                <w:rFonts w:ascii="Arial" w:cs="Arial" w:eastAsia="Arial" w:hAnsi="Arial"/>
                <w:b/>
                <w:bCs/>
                <w:color w:val="166534"/>
                <w:sz w:val="20"/>
                <w:szCs w:val="20"/>
              </w:rPr>
              <w:t xml:space="preserve">Enterprise</w:t>
            </w:r>
          </w:p>
        </w:tc>
        <w:tc>
          <w:tcPr>
            <w:tcW w:type="dxa" w:w="180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r>
              <w:rPr>
                <w:rFonts w:ascii="Arial" w:cs="Arial" w:eastAsia="Arial" w:hAnsi="Arial"/>
                <w:b w:val="false"/>
                <w:bCs w:val="false"/>
                <w:color w:val="166534"/>
                <w:sz w:val="20"/>
                <w:szCs w:val="20"/>
              </w:rPr>
              <w:t xml:space="preserve">17–32</w:t>
            </w:r>
          </w:p>
        </w:tc>
        <w:tc>
          <w:tcPr>
            <w:tcW w:type="dxa" w:w="180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r>
              <w:rPr>
                <w:rFonts w:ascii="Arial" w:cs="Arial" w:eastAsia="Arial" w:hAnsi="Arial"/>
                <w:b w:val="false"/>
                <w:bCs w:val="false"/>
                <w:color w:val="166534"/>
                <w:sz w:val="20"/>
                <w:szCs w:val="20"/>
              </w:rPr>
              <w:t xml:space="preserve">Rs. 1,600</w:t>
            </w:r>
          </w:p>
        </w:tc>
        <w:tc>
          <w:tcPr>
            <w:tcW w:type="dxa" w:w="180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r>
              <w:rPr>
                <w:rFonts w:ascii="Arial" w:cs="Arial" w:eastAsia="Arial" w:hAnsi="Arial"/>
                <w:b w:val="false"/>
                <w:bCs w:val="false"/>
                <w:color w:val="166534"/>
                <w:sz w:val="20"/>
                <w:szCs w:val="20"/>
              </w:rPr>
              <w:t xml:space="preserve">Rs. 16,000</w:t>
            </w:r>
          </w:p>
        </w:tc>
        <w:tc>
          <w:tcPr>
            <w:tcW w:type="dxa" w:w="216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r>
              <w:rPr>
                <w:rFonts w:ascii="Arial" w:cs="Arial" w:eastAsia="Arial" w:hAnsi="Arial"/>
                <w:b w:val="false"/>
                <w:bCs w:val="false"/>
                <w:color w:val="166534"/>
                <w:sz w:val="20"/>
                <w:szCs w:val="20"/>
              </w:rPr>
              <w:t xml:space="preserve">Everything in Professional + multi-plant dashboard, API/webhook, LDAP/AD auth, SLA 99.5%, dedicated CSM</w:t>
            </w:r>
          </w:p>
        </w:tc>
      </w:tr>
      <w:tr>
        <w:tc>
          <w:tcPr>
            <w:tcW w:type="dxa" w:w="1800"/>
            <w:tcBorders>
              <w:top w:val="single" w:color="CBD5E1" w:sz="1"/>
              <w:left w:val="single" w:color="CBD5E1" w:sz="1"/>
              <w:bottom w:val="single" w:color="CBD5E1" w:sz="1"/>
              <w:right w:val="single" w:color="CBD5E1" w:sz="1"/>
            </w:tcBorders>
            <w:shd w:fill="FFF7ED" w:val="clear"/>
            <w:tcMar>
              <w:top w:type="dxa" w:w="80"/>
              <w:left w:type="dxa" w:w="140"/>
              <w:bottom w:type="dxa" w:w="80"/>
              <w:right w:type="dxa" w:w="140"/>
            </w:tcMar>
          </w:tcPr>
          <w:p>
            <w:r>
              <w:rPr>
                <w:rFonts w:ascii="Arial" w:cs="Arial" w:eastAsia="Arial" w:hAnsi="Arial"/>
                <w:b/>
                <w:bCs/>
                <w:color w:val="92400E"/>
                <w:sz w:val="20"/>
                <w:szCs w:val="20"/>
              </w:rPr>
              <w:t xml:space="preserve">Group / Multi-Plant</w:t>
            </w:r>
          </w:p>
        </w:tc>
        <w:tc>
          <w:tcPr>
            <w:tcW w:type="dxa" w:w="1800"/>
            <w:tcBorders>
              <w:top w:val="single" w:color="CBD5E1" w:sz="1"/>
              <w:left w:val="single" w:color="CBD5E1" w:sz="1"/>
              <w:bottom w:val="single" w:color="CBD5E1" w:sz="1"/>
              <w:right w:val="single" w:color="CBD5E1" w:sz="1"/>
            </w:tcBorders>
            <w:shd w:fill="FFF7ED" w:val="clear"/>
            <w:tcMar>
              <w:top w:type="dxa" w:w="80"/>
              <w:left w:type="dxa" w:w="140"/>
              <w:bottom w:type="dxa" w:w="80"/>
              <w:right w:type="dxa" w:w="140"/>
            </w:tcMar>
          </w:tcPr>
          <w:p>
            <w:r>
              <w:rPr>
                <w:rFonts w:ascii="Arial" w:cs="Arial" w:eastAsia="Arial" w:hAnsi="Arial"/>
                <w:b w:val="false"/>
                <w:bCs w:val="false"/>
                <w:color w:val="92400E"/>
                <w:sz w:val="20"/>
                <w:szCs w:val="20"/>
              </w:rPr>
              <w:t xml:space="preserve">33+</w:t>
            </w:r>
          </w:p>
        </w:tc>
        <w:tc>
          <w:tcPr>
            <w:tcW w:type="dxa" w:w="1800"/>
            <w:tcBorders>
              <w:top w:val="single" w:color="CBD5E1" w:sz="1"/>
              <w:left w:val="single" w:color="CBD5E1" w:sz="1"/>
              <w:bottom w:val="single" w:color="CBD5E1" w:sz="1"/>
              <w:right w:val="single" w:color="CBD5E1" w:sz="1"/>
            </w:tcBorders>
            <w:shd w:fill="FFF7ED" w:val="clear"/>
            <w:tcMar>
              <w:top w:type="dxa" w:w="80"/>
              <w:left w:type="dxa" w:w="140"/>
              <w:bottom w:type="dxa" w:w="80"/>
              <w:right w:type="dxa" w:w="140"/>
            </w:tcMar>
          </w:tcPr>
          <w:p>
            <w:r>
              <w:rPr>
                <w:rFonts w:ascii="Arial" w:cs="Arial" w:eastAsia="Arial" w:hAnsi="Arial"/>
                <w:b w:val="false"/>
                <w:bCs w:val="false"/>
                <w:color w:val="92400E"/>
                <w:sz w:val="20"/>
                <w:szCs w:val="20"/>
              </w:rPr>
              <w:t xml:space="preserve">Rs. 1,200</w:t>
            </w:r>
          </w:p>
        </w:tc>
        <w:tc>
          <w:tcPr>
            <w:tcW w:type="dxa" w:w="1800"/>
            <w:tcBorders>
              <w:top w:val="single" w:color="CBD5E1" w:sz="1"/>
              <w:left w:val="single" w:color="CBD5E1" w:sz="1"/>
              <w:bottom w:val="single" w:color="CBD5E1" w:sz="1"/>
              <w:right w:val="single" w:color="CBD5E1" w:sz="1"/>
            </w:tcBorders>
            <w:shd w:fill="FFF7ED" w:val="clear"/>
            <w:tcMar>
              <w:top w:type="dxa" w:w="80"/>
              <w:left w:type="dxa" w:w="140"/>
              <w:bottom w:type="dxa" w:w="80"/>
              <w:right w:type="dxa" w:w="140"/>
            </w:tcMar>
          </w:tcPr>
          <w:p>
            <w:r>
              <w:rPr>
                <w:rFonts w:ascii="Arial" w:cs="Arial" w:eastAsia="Arial" w:hAnsi="Arial"/>
                <w:b w:val="false"/>
                <w:bCs w:val="false"/>
                <w:color w:val="92400E"/>
                <w:sz w:val="20"/>
                <w:szCs w:val="20"/>
              </w:rPr>
              <w:t xml:space="preserve">Rs. 12,000</w:t>
            </w:r>
          </w:p>
        </w:tc>
        <w:tc>
          <w:tcPr>
            <w:tcW w:type="dxa" w:w="2160"/>
            <w:tcBorders>
              <w:top w:val="single" w:color="CBD5E1" w:sz="1"/>
              <w:left w:val="single" w:color="CBD5E1" w:sz="1"/>
              <w:bottom w:val="single" w:color="CBD5E1" w:sz="1"/>
              <w:right w:val="single" w:color="CBD5E1" w:sz="1"/>
            </w:tcBorders>
            <w:shd w:fill="FFF7ED" w:val="clear"/>
            <w:tcMar>
              <w:top w:type="dxa" w:w="80"/>
              <w:left w:type="dxa" w:w="140"/>
              <w:bottom w:type="dxa" w:w="80"/>
              <w:right w:type="dxa" w:w="140"/>
            </w:tcMar>
          </w:tcPr>
          <w:p>
            <w:r>
              <w:rPr>
                <w:rFonts w:ascii="Arial" w:cs="Arial" w:eastAsia="Arial" w:hAnsi="Arial"/>
                <w:b w:val="false"/>
                <w:bCs w:val="false"/>
                <w:color w:val="92400E"/>
                <w:sz w:val="20"/>
                <w:szCs w:val="20"/>
              </w:rPr>
              <w:t xml:space="preserve">Custom deployment, white-label option, on-premise edge AI pilot, quarterly business review</w:t>
            </w:r>
          </w:p>
        </w:tc>
      </w:tr>
    </w:tbl>
    <w:p>
      <w:pPr>
        <w:spacing w:after="60"/>
      </w:pPr>
    </w:p>
    <w:p>
      <w:pPr>
        <w:pStyle w:val="Heading2"/>
        <w:spacing w:before="300" w:after="140"/>
      </w:pPr>
      <w:r>
        <w:rPr>
          <w:rFonts w:ascii="Arial" w:cs="Arial" w:eastAsia="Arial" w:hAnsi="Arial"/>
          <w:b/>
          <w:bCs/>
          <w:color w:val="2563A8"/>
          <w:sz w:val="26"/>
          <w:szCs w:val="26"/>
        </w:rPr>
        <w:t xml:space="preserve">6.1 Unit Economics (Professional Tier, 16 cameras)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BD5E1" w:sz="1"/>
              <w:left w:val="single" w:color="CBD5E1" w:sz="1"/>
              <w:bottom w:val="single" w:color="CBD5E1" w:sz="1"/>
              <w:right w:val="single" w:color="CBD5E1" w:sz="1"/>
            </w:tcBorders>
            <w:shd w:fill="0E7490" w:val="clear"/>
            <w:tcMar>
              <w:top w:type="dxa" w:w="100"/>
              <w:left w:type="dxa" w:w="140"/>
              <w:bottom w:type="dxa" w:w="100"/>
              <w:right w:type="dxa" w:w="140"/>
            </w:tcMar>
            <w:vAlign w:val="center"/>
          </w:tcPr>
          <w:p>
            <w:r>
              <w:rPr>
                <w:rFonts w:ascii="Arial" w:cs="Arial" w:eastAsia="Arial" w:hAnsi="Arial"/>
                <w:b/>
                <w:bCs/>
                <w:color w:val="FFFFFF"/>
                <w:sz w:val="20"/>
                <w:szCs w:val="20"/>
              </w:rPr>
              <w:t xml:space="preserve">Item</w:t>
            </w:r>
          </w:p>
        </w:tc>
        <w:tc>
          <w:tcPr>
            <w:tcW w:type="dxa" w:w="2680"/>
            <w:tcBorders>
              <w:top w:val="single" w:color="CBD5E1" w:sz="1"/>
              <w:left w:val="single" w:color="CBD5E1" w:sz="1"/>
              <w:bottom w:val="single" w:color="CBD5E1" w:sz="1"/>
              <w:right w:val="single" w:color="CBD5E1" w:sz="1"/>
            </w:tcBorders>
            <w:shd w:fill="0E7490"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Monthly (INR)</w:t>
            </w:r>
          </w:p>
        </w:tc>
        <w:tc>
          <w:tcPr>
            <w:tcW w:type="dxa" w:w="2680"/>
            <w:tcBorders>
              <w:top w:val="single" w:color="CBD5E1" w:sz="1"/>
              <w:left w:val="single" w:color="CBD5E1" w:sz="1"/>
              <w:bottom w:val="single" w:color="CBD5E1" w:sz="1"/>
              <w:right w:val="single" w:color="CBD5E1" w:sz="1"/>
            </w:tcBorders>
            <w:shd w:fill="0E7490" w:val="clear"/>
            <w:tcMar>
              <w:top w:type="dxa" w:w="100"/>
              <w:left w:type="dxa" w:w="140"/>
              <w:bottom w:type="dxa" w:w="100"/>
              <w:right w:type="dxa" w:w="140"/>
            </w:tcMar>
            <w:vAlign w:val="center"/>
          </w:tcPr>
          <w:p>
            <w:r>
              <w:rPr>
                <w:rFonts w:ascii="Arial" w:cs="Arial" w:eastAsia="Arial" w:hAnsi="Arial"/>
                <w:b/>
                <w:bCs/>
                <w:color w:val="FFFFFF"/>
                <w:sz w:val="20"/>
                <w:szCs w:val="20"/>
              </w:rPr>
              <w:t xml:space="preserve">Annual (INR)</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Revenue (16 cameras x Rs. 2,000)</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32,000</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3,84,000</w:t>
            </w:r>
          </w:p>
        </w:tc>
      </w:tr>
      <w:tr>
        <w:tc>
          <w:tcPr>
            <w:tcW w:type="dxa" w:w="4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Anthropic API cost (est. 16 cameras)</w:t>
            </w:r>
          </w:p>
        </w:tc>
        <w:tc>
          <w:tcPr>
            <w:tcW w:type="dxa" w:w="268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2,800</w:t>
            </w:r>
          </w:p>
        </w:tc>
        <w:tc>
          <w:tcPr>
            <w:tcW w:type="dxa" w:w="268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33,600</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AWS S3 + infra</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500</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6,000</w:t>
            </w:r>
          </w:p>
        </w:tc>
      </w:tr>
      <w:tr>
        <w:tc>
          <w:tcPr>
            <w:tcW w:type="dxa" w:w="4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Customer support (apportioned)</w:t>
            </w:r>
          </w:p>
        </w:tc>
        <w:tc>
          <w:tcPr>
            <w:tcW w:type="dxa" w:w="268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1,500</w:t>
            </w:r>
          </w:p>
        </w:tc>
        <w:tc>
          <w:tcPr>
            <w:tcW w:type="dxa" w:w="268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18,000</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Gross Profit</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27,200</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3,26,400</w:t>
            </w:r>
          </w:p>
        </w:tc>
      </w:tr>
      <w:tr>
        <w:tc>
          <w:tcPr>
            <w:tcW w:type="dxa" w:w="40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Gross Margin</w:t>
            </w:r>
          </w:p>
        </w:tc>
        <w:tc>
          <w:tcPr>
            <w:tcW w:type="dxa" w:w="268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85%</w:t>
            </w:r>
          </w:p>
        </w:tc>
        <w:tc>
          <w:tcPr>
            <w:tcW w:type="dxa" w:w="268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85%</w:t>
            </w:r>
          </w:p>
        </w:tc>
      </w:tr>
    </w:tbl>
    <w:p>
      <w:pPr>
        <w:spacing w:after="60"/>
      </w:pPr>
    </w:p>
    <w:p>
      <w:pPr>
        <w:pStyle w:val="Heading2"/>
        <w:spacing w:before="300" w:after="140"/>
      </w:pPr>
      <w:r>
        <w:rPr>
          <w:rFonts w:ascii="Arial" w:cs="Arial" w:eastAsia="Arial" w:hAnsi="Arial"/>
          <w:b/>
          <w:bCs/>
          <w:color w:val="2563A8"/>
          <w:sz w:val="26"/>
          <w:szCs w:val="26"/>
        </w:rPr>
        <w:t xml:space="preserve">6.2 Competitive Price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800"/>
        <w:gridCol w:w="2260"/>
      </w:tblGrid>
      <w:tr>
        <w:trPr>
          <w:tblHeader/>
        </w:trPr>
        <w:tc>
          <w:tcPr>
            <w:tcW w:type="dxa" w:w="25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Competitor</w:t>
            </w:r>
          </w:p>
        </w:tc>
        <w:tc>
          <w:tcPr>
            <w:tcW w:type="dxa" w:w="2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Pricing (per camera/month)</w:t>
            </w:r>
          </w:p>
        </w:tc>
        <w:tc>
          <w:tcPr>
            <w:tcW w:type="dxa" w:w="1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Currency</w:t>
            </w:r>
          </w:p>
        </w:tc>
        <w:tc>
          <w:tcPr>
            <w:tcW w:type="dxa" w:w="226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India Accessible?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Intenseye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USD 200–400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USD (Rs. 16,700–33,400)</w:t>
            </w:r>
          </w:p>
        </w:tc>
        <w:tc>
          <w:tcPr>
            <w:tcW w:type="dxa" w:w="2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 enterprise only</w:t>
            </w:r>
          </w:p>
        </w:tc>
      </w:tr>
      <w:tr>
        <w:tc>
          <w:tcPr>
            <w:tcW w:type="dxa" w:w="25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Visionify</w:t>
            </w:r>
          </w:p>
        </w:tc>
        <w:tc>
          <w:tcPr>
            <w:tcW w:type="dxa" w:w="2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USD 100–300</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USD (Rs. 8,400–25,100)</w:t>
            </w:r>
          </w:p>
        </w:tc>
        <w:tc>
          <w:tcPr>
            <w:tcW w:type="dxa" w:w="22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NO — USD invoiced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Wobot.ai (est.)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2,000–4,000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INR</w:t>
            </w:r>
          </w:p>
        </w:tc>
        <w:tc>
          <w:tcPr>
            <w:tcW w:type="dxa" w:w="2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 — closest competitor</w:t>
            </w:r>
          </w:p>
        </w:tc>
      </w:tr>
      <w:tr>
        <w:tc>
          <w:tcPr>
            <w:tcW w:type="dxa" w:w="25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Honeywell / Bosch</w:t>
            </w:r>
          </w:p>
        </w:tc>
        <w:tc>
          <w:tcPr>
            <w:tcW w:type="dxa" w:w="2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5,000+ (bundled)</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INR (project-based)</w:t>
            </w:r>
          </w:p>
        </w:tc>
        <w:tc>
          <w:tcPr>
            <w:tcW w:type="dxa" w:w="22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YES — large enterprise only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SafeGuard AI (Starter)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2,500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INR</w:t>
            </w:r>
          </w:p>
        </w:tc>
        <w:tc>
          <w:tcPr>
            <w:tcW w:type="dxa" w:w="2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 — all segments</w:t>
            </w:r>
          </w:p>
        </w:tc>
      </w:tr>
      <w:tr>
        <w:tc>
          <w:tcPr>
            <w:tcW w:type="dxa" w:w="25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SafeGuard AI (Enterprise)</w:t>
            </w:r>
          </w:p>
        </w:tc>
        <w:tc>
          <w:tcPr>
            <w:tcW w:type="dxa" w:w="2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1,600</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INR</w:t>
            </w:r>
          </w:p>
        </w:tc>
        <w:tc>
          <w:tcPr>
            <w:tcW w:type="dxa" w:w="22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YES — competitive vs Wobot</w:t>
            </w:r>
          </w:p>
        </w:tc>
      </w:tr>
    </w:tbl>
    <w:p>
      <w:r>
        <w:br w:type="page"/>
      </w:r>
    </w:p>
    <w:p>
      <w:pPr>
        <w:pStyle w:val="Heading1"/>
        <w:spacing w:before="400" w:after="200"/>
      </w:pPr>
      <w:r>
        <w:rPr>
          <w:rFonts w:ascii="Arial" w:cs="Arial" w:eastAsia="Arial" w:hAnsi="Arial"/>
          <w:b/>
          <w:bCs/>
          <w:color w:val="1B2B4D"/>
          <w:sz w:val="34"/>
          <w:szCs w:val="34"/>
        </w:rPr>
        <w:t xml:space="preserve">7. Go-to-Market Strategy</w:t>
      </w:r>
    </w:p>
    <w:p>
      <w:pPr>
        <w:spacing w:after="60"/>
      </w:pPr>
    </w:p>
    <w:p>
      <w:pPr>
        <w:pStyle w:val="Heading2"/>
        <w:spacing w:before="300" w:after="140"/>
      </w:pPr>
      <w:r>
        <w:rPr>
          <w:rFonts w:ascii="Arial" w:cs="Arial" w:eastAsia="Arial" w:hAnsi="Arial"/>
          <w:b/>
          <w:bCs/>
          <w:color w:val="2563A8"/>
          <w:sz w:val="26"/>
          <w:szCs w:val="26"/>
        </w:rPr>
        <w:t xml:space="preserve">7.1 Phase 1 — Beachhead Market (Months 1–6)</w:t>
      </w:r>
    </w:p>
    <w:p>
      <w:pPr>
        <w:spacing w:after="120"/>
      </w:pPr>
      <w:r>
        <w:rPr>
          <w:rFonts w:ascii="Arial" w:cs="Arial" w:eastAsia="Arial" w:hAnsi="Arial"/>
          <w:sz w:val="22"/>
          <w:szCs w:val="22"/>
        </w:rPr>
        <w:t xml:space="preserve">Focus on a single vertical and geography to establish reference customers, case studies, and measurable safety impact data before scaling.</w:t>
      </w:r>
    </w:p>
    <w:p>
      <w:pPr>
        <w:pStyle w:val="ListParagraph"/>
        <w:numPr>
          <w:ilvl w:val="0"/>
          <w:numId w:val="2"/>
        </w:numPr>
        <w:spacing w:after="80"/>
      </w:pPr>
      <w:r>
        <w:rPr>
          <w:rFonts w:ascii="Arial" w:cs="Arial" w:eastAsia="Arial" w:hAnsi="Arial"/>
          <w:b w:val="false"/>
          <w:bCs w:val="false"/>
          <w:sz w:val="22"/>
          <w:szCs w:val="22"/>
        </w:rPr>
        <w:t xml:space="preserve">Target vertical: Automotive Tier-2 / Tier-3 components manufacturers in Haryana (Manesar / Faridabad / Rohtak corridor)</w:t>
      </w:r>
    </w:p>
    <w:p>
      <w:pPr>
        <w:pStyle w:val="ListParagraph"/>
        <w:numPr>
          <w:ilvl w:val="0"/>
          <w:numId w:val="2"/>
        </w:numPr>
        <w:spacing w:after="80"/>
      </w:pPr>
      <w:r>
        <w:rPr>
          <w:rFonts w:ascii="Arial" w:cs="Arial" w:eastAsia="Arial" w:hAnsi="Arial"/>
          <w:b w:val="false"/>
          <w:bCs w:val="false"/>
          <w:sz w:val="22"/>
          <w:szCs w:val="22"/>
        </w:rPr>
        <w:t xml:space="preserve">Rationale: Highest documented crush injury rate in India; OEM supplier audit pressure creates strong pull; 5,000+ factories in the belt</w:t>
      </w:r>
    </w:p>
    <w:p>
      <w:pPr>
        <w:pStyle w:val="ListParagraph"/>
        <w:numPr>
          <w:ilvl w:val="0"/>
          <w:numId w:val="2"/>
        </w:numPr>
        <w:spacing w:after="80"/>
      </w:pPr>
      <w:r>
        <w:rPr>
          <w:rFonts w:ascii="Arial" w:cs="Arial" w:eastAsia="Arial" w:hAnsi="Arial"/>
          <w:b w:val="false"/>
          <w:bCs w:val="false"/>
          <w:sz w:val="22"/>
          <w:szCs w:val="22"/>
        </w:rPr>
        <w:t xml:space="preserve">Target deal size: 3–5 pilot customers; 8–16 cameras each; 3-month free pilot followed by paid conversion</w:t>
      </w:r>
    </w:p>
    <w:p>
      <w:pPr>
        <w:pStyle w:val="ListParagraph"/>
        <w:numPr>
          <w:ilvl w:val="0"/>
          <w:numId w:val="2"/>
        </w:numPr>
        <w:spacing w:after="80"/>
      </w:pPr>
      <w:r>
        <w:rPr>
          <w:rFonts w:ascii="Arial" w:cs="Arial" w:eastAsia="Arial" w:hAnsi="Arial"/>
          <w:b w:val="false"/>
          <w:bCs w:val="false"/>
          <w:sz w:val="22"/>
          <w:szCs w:val="22"/>
        </w:rPr>
        <w:t xml:space="preserve">Sales motion: Direct outreach to HSE Managers via LinkedIn India; referrals from EHS consultants; ACMA (Automotive Component Manufacturers Association) industry events</w:t>
      </w:r>
    </w:p>
    <w:p>
      <w:pPr>
        <w:spacing w:after="60"/>
      </w:pPr>
    </w:p>
    <w:p>
      <w:pPr>
        <w:pStyle w:val="Heading2"/>
        <w:spacing w:before="300" w:after="140"/>
      </w:pPr>
      <w:r>
        <w:rPr>
          <w:rFonts w:ascii="Arial" w:cs="Arial" w:eastAsia="Arial" w:hAnsi="Arial"/>
          <w:b/>
          <w:bCs/>
          <w:color w:val="2563A8"/>
          <w:sz w:val="26"/>
          <w:szCs w:val="26"/>
        </w:rPr>
        <w:t xml:space="preserve">7.2 Phase 2 — Vertical Expansion (Months 7–18)</w:t>
      </w:r>
    </w:p>
    <w:p>
      <w:pPr>
        <w:pStyle w:val="ListParagraph"/>
        <w:numPr>
          <w:ilvl w:val="0"/>
          <w:numId w:val="2"/>
        </w:numPr>
        <w:spacing w:after="80"/>
      </w:pPr>
      <w:r>
        <w:rPr>
          <w:rFonts w:ascii="Arial" w:cs="Arial" w:eastAsia="Arial" w:hAnsi="Arial"/>
          <w:b w:val="false"/>
          <w:bCs w:val="false"/>
          <w:sz w:val="22"/>
          <w:szCs w:val="22"/>
        </w:rPr>
        <w:t xml:space="preserve">Expand to Gujarat chemical corridor (Vapi, Ankleshwar, Bharuch) — highest explosion/fire risk</w:t>
      </w:r>
    </w:p>
    <w:p>
      <w:pPr>
        <w:pStyle w:val="ListParagraph"/>
        <w:numPr>
          <w:ilvl w:val="0"/>
          <w:numId w:val="2"/>
        </w:numPr>
        <w:spacing w:after="80"/>
      </w:pPr>
      <w:r>
        <w:rPr>
          <w:rFonts w:ascii="Arial" w:cs="Arial" w:eastAsia="Arial" w:hAnsi="Arial"/>
          <w:b w:val="false"/>
          <w:bCs w:val="false"/>
          <w:sz w:val="22"/>
          <w:szCs w:val="22"/>
        </w:rPr>
        <w:t xml:space="preserve">Enter Maharashtra pharma belt (Pune, Nashik, Navi Mumbai) — strong ESG audit pressure from global pharma buyers</w:t>
      </w:r>
    </w:p>
    <w:p>
      <w:pPr>
        <w:pStyle w:val="ListParagraph"/>
        <w:numPr>
          <w:ilvl w:val="0"/>
          <w:numId w:val="2"/>
        </w:numPr>
        <w:spacing w:after="80"/>
      </w:pPr>
      <w:r>
        <w:rPr>
          <w:rFonts w:ascii="Arial" w:cs="Arial" w:eastAsia="Arial" w:hAnsi="Arial"/>
          <w:b w:val="false"/>
          <w:bCs w:val="false"/>
          <w:sz w:val="22"/>
          <w:szCs w:val="22"/>
        </w:rPr>
        <w:t xml:space="preserve">Launch channel partner programme with 5–10 regional IT/AV integrators who already sell CCTV to factories</w:t>
      </w:r>
    </w:p>
    <w:p>
      <w:pPr>
        <w:pStyle w:val="ListParagraph"/>
        <w:numPr>
          <w:ilvl w:val="0"/>
          <w:numId w:val="2"/>
        </w:numPr>
        <w:spacing w:after="80"/>
      </w:pPr>
      <w:r>
        <w:rPr>
          <w:rFonts w:ascii="Arial" w:cs="Arial" w:eastAsia="Arial" w:hAnsi="Arial"/>
          <w:b w:val="false"/>
          <w:bCs w:val="false"/>
          <w:sz w:val="22"/>
          <w:szCs w:val="22"/>
        </w:rPr>
        <w:t xml:space="preserve">Target large enterprise accounts (500+ worker plants) for multi-plant group deals at Enterprise/Group tier</w:t>
      </w:r>
    </w:p>
    <w:p>
      <w:pPr>
        <w:spacing w:after="60"/>
      </w:pPr>
    </w:p>
    <w:p>
      <w:pPr>
        <w:pStyle w:val="Heading2"/>
        <w:spacing w:before="300" w:after="140"/>
      </w:pPr>
      <w:r>
        <w:rPr>
          <w:rFonts w:ascii="Arial" w:cs="Arial" w:eastAsia="Arial" w:hAnsi="Arial"/>
          <w:b/>
          <w:bCs/>
          <w:color w:val="2563A8"/>
          <w:sz w:val="26"/>
          <w:szCs w:val="26"/>
        </w:rPr>
        <w:t xml:space="preserve">7.3 Phase 3 — National Scale (Months 19–36)</w:t>
      </w:r>
    </w:p>
    <w:p>
      <w:pPr>
        <w:pStyle w:val="ListParagraph"/>
        <w:numPr>
          <w:ilvl w:val="0"/>
          <w:numId w:val="2"/>
        </w:numPr>
        <w:spacing w:after="80"/>
      </w:pPr>
      <w:r>
        <w:rPr>
          <w:rFonts w:ascii="Arial" w:cs="Arial" w:eastAsia="Arial" w:hAnsi="Arial"/>
          <w:b w:val="false"/>
          <w:bCs w:val="false"/>
          <w:sz w:val="22"/>
          <w:szCs w:val="22"/>
        </w:rPr>
        <w:t xml:space="preserve">National distribution via Redington India or Ingram Micro India channel network</w:t>
      </w:r>
    </w:p>
    <w:p>
      <w:pPr>
        <w:pStyle w:val="ListParagraph"/>
        <w:numPr>
          <w:ilvl w:val="0"/>
          <w:numId w:val="2"/>
        </w:numPr>
        <w:spacing w:after="80"/>
      </w:pPr>
      <w:r>
        <w:rPr>
          <w:rFonts w:ascii="Arial" w:cs="Arial" w:eastAsia="Arial" w:hAnsi="Arial"/>
          <w:b w:val="false"/>
          <w:bCs w:val="false"/>
          <w:sz w:val="22"/>
          <w:szCs w:val="22"/>
        </w:rPr>
        <w:t xml:space="preserve">OEM partnership with CP Plus or Hikvision India — bundle SafeGuard AI as software layer on their cameras</w:t>
      </w:r>
    </w:p>
    <w:p>
      <w:pPr>
        <w:pStyle w:val="ListParagraph"/>
        <w:numPr>
          <w:ilvl w:val="0"/>
          <w:numId w:val="2"/>
        </w:numPr>
        <w:spacing w:after="80"/>
      </w:pPr>
      <w:r>
        <w:rPr>
          <w:rFonts w:ascii="Arial" w:cs="Arial" w:eastAsia="Arial" w:hAnsi="Arial"/>
          <w:b w:val="false"/>
          <w:bCs w:val="false"/>
          <w:sz w:val="22"/>
          <w:szCs w:val="22"/>
        </w:rPr>
        <w:t xml:space="preserve">Government / PSU vertical — SAIL, ONGC, BHEL, Railways (IR) factory safety mandates</w:t>
      </w:r>
    </w:p>
    <w:p>
      <w:pPr>
        <w:pStyle w:val="ListParagraph"/>
        <w:numPr>
          <w:ilvl w:val="0"/>
          <w:numId w:val="2"/>
        </w:numPr>
        <w:spacing w:after="80"/>
      </w:pPr>
      <w:r>
        <w:rPr>
          <w:rFonts w:ascii="Arial" w:cs="Arial" w:eastAsia="Arial" w:hAnsi="Arial"/>
          <w:b w:val="false"/>
          <w:bCs w:val="false"/>
          <w:sz w:val="22"/>
          <w:szCs w:val="22"/>
        </w:rPr>
        <w:t xml:space="preserve">Launch SME self-serve portal with online signup, trial, and automated onboarding for factories under 50 workers</w:t>
      </w:r>
    </w:p>
    <w:p>
      <w:pPr>
        <w:spacing w:after="60"/>
      </w:pPr>
    </w:p>
    <w:p>
      <w:pPr>
        <w:pStyle w:val="Heading2"/>
        <w:spacing w:before="300" w:after="140"/>
      </w:pPr>
      <w:r>
        <w:rPr>
          <w:rFonts w:ascii="Arial" w:cs="Arial" w:eastAsia="Arial" w:hAnsi="Arial"/>
          <w:b/>
          <w:bCs/>
          <w:color w:val="2563A8"/>
          <w:sz w:val="26"/>
          <w:szCs w:val="26"/>
        </w:rPr>
        <w:t xml:space="preserve">7.4 Marketing Channels &amp;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Channel</w:t>
            </w:r>
          </w:p>
        </w:tc>
        <w:tc>
          <w:tcPr>
            <w:tcW w:type="dxa" w:w="2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Tactic</w:t>
            </w:r>
          </w:p>
        </w:tc>
        <w:tc>
          <w:tcPr>
            <w:tcW w:type="dxa" w:w="1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Budget (INR/month)</w:t>
            </w:r>
          </w:p>
        </w:tc>
        <w:tc>
          <w:tcPr>
            <w:tcW w:type="dxa" w:w="296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Expected Reach</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LinkedIn India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Sponsored content targeting HSE Managers, Plant Managers, EHS professionals in manufacturing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30,000–50,000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50,000–150,000 impressions/month</w:t>
            </w:r>
          </w:p>
        </w:tc>
      </w:tr>
      <w:tr>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Industry associations</w:t>
            </w:r>
          </w:p>
        </w:tc>
        <w:tc>
          <w:tcPr>
            <w:tcW w:type="dxa" w:w="2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Presence at CII Safety Summit, ACMA, FICCI manufacturing events; speaking slots</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20,000–40,000 (event)</w:t>
            </w:r>
          </w:p>
        </w:tc>
        <w:tc>
          <w:tcPr>
            <w:tcW w:type="dxa" w:w="29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500–2,000 decision-makers per event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Content marketing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'India Factory Safety' blog, DGFASLI compliance guides, monthly safety incident digest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15,000–25,000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SEO: 10,000–30,000 organic visits/mo in 12 months</w:t>
            </w:r>
          </w:p>
        </w:tc>
      </w:tr>
      <w:tr>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Partner / reseller network</w:t>
            </w:r>
          </w:p>
        </w:tc>
        <w:tc>
          <w:tcPr>
            <w:tcW w:type="dxa" w:w="2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Train and certify 20 regional IT integrators; 15–20% rev-share on referred deals</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10,000 (training materials)</w:t>
            </w:r>
          </w:p>
        </w:tc>
        <w:tc>
          <w:tcPr>
            <w:tcW w:type="dxa" w:w="29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Leverage existing 5,000+ factory relationships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Case study PR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Press releases on incident reduction at pilot customers; HSE India media (OHS Professional, Safety Review India)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5,000–10,000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Credibility with enterprise buyers</w:t>
            </w:r>
          </w:p>
        </w:tc>
      </w:tr>
      <w:tr>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WhatsApp / regional outreach</w:t>
            </w:r>
          </w:p>
        </w:tc>
        <w:tc>
          <w:tcPr>
            <w:tcW w:type="dxa" w:w="2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Hindi-language safety tips via WhatsApp Business; regional language demos</w:t>
            </w:r>
          </w:p>
        </w:tc>
        <w:tc>
          <w:tcPr>
            <w:tcW w:type="dxa" w:w="1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5,000–8,000</w:t>
            </w:r>
          </w:p>
        </w:tc>
        <w:tc>
          <w:tcPr>
            <w:tcW w:type="dxa" w:w="29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High penetration with SME factory owners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Free safety audit offer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Offer free 2-week AI safety audit using customer's existing cameras — 'try before you buy'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Cost of API usage only ~Rs. 3,000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High-intent trial funnel</w:t>
            </w:r>
          </w:p>
        </w:tc>
      </w:tr>
    </w:tbl>
    <w:p>
      <w:r>
        <w:br w:type="page"/>
      </w:r>
    </w:p>
    <w:p>
      <w:pPr>
        <w:pStyle w:val="Heading1"/>
        <w:spacing w:before="400" w:after="200"/>
      </w:pPr>
      <w:r>
        <w:rPr>
          <w:rFonts w:ascii="Arial" w:cs="Arial" w:eastAsia="Arial" w:hAnsi="Arial"/>
          <w:b/>
          <w:bCs/>
          <w:color w:val="1B2B4D"/>
          <w:sz w:val="34"/>
          <w:szCs w:val="34"/>
        </w:rPr>
        <w:t xml:space="preserve">8. Revenue Projections (3-Year Forecast)</w:t>
      </w:r>
    </w:p>
    <w:p>
      <w:pPr>
        <w:spacing w:after="120"/>
      </w:pPr>
      <w:r>
        <w:rPr>
          <w:rFonts w:ascii="Arial" w:cs="Arial" w:eastAsia="Arial" w:hAnsi="Arial"/>
          <w:sz w:val="22"/>
          <w:szCs w:val="22"/>
        </w:rPr>
        <w:t xml:space="preserve">Conservative projections based on 0.01% penetration of the addressable base (363,000 factories) growing to 0.1% by Year 3. Average 12 cameras per customer. Blend of Starter and Professional tier pricing.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rPr>
          <w:tblHeader/>
        </w:trPr>
        <w:tc>
          <w:tcPr>
            <w:tcW w:type="dxa" w:w="32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2053"/>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 1</w:t>
            </w:r>
          </w:p>
        </w:tc>
        <w:tc>
          <w:tcPr>
            <w:tcW w:type="dxa" w:w="2053"/>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 2</w:t>
            </w:r>
          </w:p>
        </w:tc>
        <w:tc>
          <w:tcPr>
            <w:tcW w:type="dxa" w:w="2054"/>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 3</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Paying customers</w:t>
            </w:r>
          </w:p>
        </w:tc>
        <w:tc>
          <w:tcPr>
            <w:tcW w:type="dxa" w:w="205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15</w:t>
            </w:r>
          </w:p>
        </w:tc>
        <w:tc>
          <w:tcPr>
            <w:tcW w:type="dxa" w:w="205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60</w:t>
            </w:r>
          </w:p>
        </w:tc>
        <w:tc>
          <w:tcPr>
            <w:tcW w:type="dxa" w:w="205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200</w:t>
            </w:r>
          </w:p>
        </w:tc>
      </w:tr>
      <w:tr>
        <w:tc>
          <w:tcPr>
            <w:tcW w:type="dxa" w:w="3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Average cameras per customer</w:t>
            </w:r>
          </w:p>
        </w:tc>
        <w:tc>
          <w:tcPr>
            <w:tcW w:type="dxa" w:w="2053"/>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10</w:t>
            </w:r>
          </w:p>
        </w:tc>
        <w:tc>
          <w:tcPr>
            <w:tcW w:type="dxa" w:w="2053"/>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12</w:t>
            </w:r>
          </w:p>
        </w:tc>
        <w:tc>
          <w:tcPr>
            <w:tcW w:type="dxa" w:w="2054"/>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14</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Total cameras under management</w:t>
            </w:r>
          </w:p>
        </w:tc>
        <w:tc>
          <w:tcPr>
            <w:tcW w:type="dxa" w:w="205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150</w:t>
            </w:r>
          </w:p>
        </w:tc>
        <w:tc>
          <w:tcPr>
            <w:tcW w:type="dxa" w:w="205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720</w:t>
            </w:r>
          </w:p>
        </w:tc>
        <w:tc>
          <w:tcPr>
            <w:tcW w:type="dxa" w:w="205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2,800</w:t>
            </w:r>
          </w:p>
        </w:tc>
      </w:tr>
      <w:tr>
        <w:tc>
          <w:tcPr>
            <w:tcW w:type="dxa" w:w="3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Average revenue per camera/month</w:t>
            </w:r>
          </w:p>
        </w:tc>
        <w:tc>
          <w:tcPr>
            <w:tcW w:type="dxa" w:w="2053"/>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2,200</w:t>
            </w:r>
          </w:p>
        </w:tc>
        <w:tc>
          <w:tcPr>
            <w:tcW w:type="dxa" w:w="2053"/>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2,000</w:t>
            </w:r>
          </w:p>
        </w:tc>
        <w:tc>
          <w:tcPr>
            <w:tcW w:type="dxa" w:w="2054"/>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1,800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Monthly Recurring Revenue (MRR)</w:t>
            </w:r>
          </w:p>
        </w:tc>
        <w:tc>
          <w:tcPr>
            <w:tcW w:type="dxa" w:w="205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3,30,000</w:t>
            </w:r>
          </w:p>
        </w:tc>
        <w:tc>
          <w:tcPr>
            <w:tcW w:type="dxa" w:w="205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14,40,000</w:t>
            </w:r>
          </w:p>
        </w:tc>
        <w:tc>
          <w:tcPr>
            <w:tcW w:type="dxa" w:w="205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50,40,000</w:t>
            </w:r>
          </w:p>
        </w:tc>
      </w:tr>
      <w:tr>
        <w:tc>
          <w:tcPr>
            <w:tcW w:type="dxa" w:w="3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Annual Recurring Revenue (ARR)</w:t>
            </w:r>
          </w:p>
        </w:tc>
        <w:tc>
          <w:tcPr>
            <w:tcW w:type="dxa" w:w="2053"/>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39,60,000</w:t>
            </w:r>
          </w:p>
        </w:tc>
        <w:tc>
          <w:tcPr>
            <w:tcW w:type="dxa" w:w="2053"/>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1,72,80,000</w:t>
            </w:r>
          </w:p>
        </w:tc>
        <w:tc>
          <w:tcPr>
            <w:tcW w:type="dxa" w:w="2054"/>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6,04,80,000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Gross Margin (est.)</w:t>
            </w:r>
          </w:p>
        </w:tc>
        <w:tc>
          <w:tcPr>
            <w:tcW w:type="dxa" w:w="205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82%</w:t>
            </w:r>
          </w:p>
        </w:tc>
        <w:tc>
          <w:tcPr>
            <w:tcW w:type="dxa" w:w="205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84%</w:t>
            </w:r>
          </w:p>
        </w:tc>
        <w:tc>
          <w:tcPr>
            <w:tcW w:type="dxa" w:w="205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85%</w:t>
            </w:r>
          </w:p>
        </w:tc>
      </w:tr>
      <w:tr>
        <w:tc>
          <w:tcPr>
            <w:tcW w:type="dxa" w:w="32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Gross Profit (Annual)</w:t>
            </w:r>
          </w:p>
        </w:tc>
        <w:tc>
          <w:tcPr>
            <w:tcW w:type="dxa" w:w="2053"/>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32,47,200</w:t>
            </w:r>
          </w:p>
        </w:tc>
        <w:tc>
          <w:tcPr>
            <w:tcW w:type="dxa" w:w="2053"/>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1,45,15,200</w:t>
            </w:r>
          </w:p>
        </w:tc>
        <w:tc>
          <w:tcPr>
            <w:tcW w:type="dxa" w:w="2054"/>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5,14,08,000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Churn assumption</w:t>
            </w:r>
          </w:p>
        </w:tc>
        <w:tc>
          <w:tcPr>
            <w:tcW w:type="dxa" w:w="205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15%/yr</w:t>
            </w:r>
          </w:p>
        </w:tc>
        <w:tc>
          <w:tcPr>
            <w:tcW w:type="dxa" w:w="205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10%/yr</w:t>
            </w:r>
          </w:p>
        </w:tc>
        <w:tc>
          <w:tcPr>
            <w:tcW w:type="dxa" w:w="205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8%/yr</w:t>
            </w:r>
          </w:p>
        </w:tc>
      </w:tr>
    </w:tbl>
    <w:p>
      <w:pPr>
        <w:spacing w:after="60"/>
      </w:pPr>
    </w:p>
    <w:p>
      <w:pPr>
        <w:spacing w:after="120"/>
      </w:pPr>
      <w:r>
        <w:rPr>
          <w:rFonts w:ascii="Arial" w:cs="Arial" w:eastAsia="Arial" w:hAnsi="Arial"/>
          <w:b/>
          <w:bCs/>
          <w:color w:val="2563A8"/>
          <w:sz w:val="22"/>
          <w:szCs w:val="22"/>
        </w:rPr>
        <w:t xml:space="preserve">By Year 3, ARR of approximately Rs. 6 crore (USD 720K) at 200 customers and 2,800 cameras represents less than 0.1% penetration of the addressable factory base — demonstrating the scale of the long-term opportunity.</w:t>
      </w:r>
    </w:p>
    <w:p>
      <w:pPr>
        <w:spacing w:after="60"/>
      </w:pPr>
    </w:p>
    <w:p>
      <w:pPr>
        <w:pStyle w:val="Heading2"/>
        <w:spacing w:before="300" w:after="140"/>
      </w:pPr>
      <w:r>
        <w:rPr>
          <w:rFonts w:ascii="Arial" w:cs="Arial" w:eastAsia="Arial" w:hAnsi="Arial"/>
          <w:b/>
          <w:bCs/>
          <w:color w:val="2563A8"/>
          <w:sz w:val="26"/>
          <w:szCs w:val="26"/>
        </w:rPr>
        <w:t xml:space="preserve">8.1 Investment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80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 1 (INR)</w:t>
            </w:r>
          </w:p>
        </w:tc>
        <w:tc>
          <w:tcPr>
            <w:tcW w:type="dxa" w:w="3760"/>
            <w:tcBorders>
              <w:top w:val="single" w:color="CBD5E1" w:sz="1"/>
              <w:left w:val="single" w:color="CBD5E1" w:sz="1"/>
              <w:bottom w:val="single" w:color="CBD5E1" w:sz="1"/>
              <w:right w:val="single" w:color="CBD5E1" w:sz="1"/>
            </w:tcBorders>
            <w:shd w:fill="1B2B4D"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Product &amp; Engineering (2 engineers)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36,00,000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1.5L/month per engineer incl. infra</w:t>
            </w:r>
          </w:p>
        </w:tc>
      </w:tr>
      <w:tr>
        <w:tc>
          <w:tcPr>
            <w:tcW w:type="dxa" w:w="2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Sales &amp; Marketing</w:t>
            </w:r>
          </w:p>
        </w:tc>
        <w:tc>
          <w:tcPr>
            <w:tcW w:type="dxa" w:w="2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18,00,000</w:t>
            </w:r>
          </w:p>
        </w:tc>
        <w:tc>
          <w:tcPr>
            <w:tcW w:type="dxa" w:w="37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1 BD + digital marketing budget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Customer Success &amp; Support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8,00,000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Shared initially; dedicated hire at 50+ customers</w:t>
            </w:r>
          </w:p>
        </w:tc>
      </w:tr>
      <w:tr>
        <w:tc>
          <w:tcPr>
            <w:tcW w:type="dxa" w:w="2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API / Infrastructure Costs</w:t>
            </w:r>
          </w:p>
        </w:tc>
        <w:tc>
          <w:tcPr>
            <w:tcW w:type="dxa" w:w="2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4,00,000</w:t>
            </w:r>
          </w:p>
        </w:tc>
        <w:tc>
          <w:tcPr>
            <w:tcW w:type="dxa" w:w="37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Scales with camera count; baked into margins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Legal, compliance, admin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3,00,000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Company formation, GST, contracts</w:t>
            </w:r>
          </w:p>
        </w:tc>
      </w:tr>
      <w:tr>
        <w:tc>
          <w:tcPr>
            <w:tcW w:type="dxa" w:w="2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Total Year 1 Burn</w:t>
            </w:r>
          </w:p>
        </w:tc>
        <w:tc>
          <w:tcPr>
            <w:tcW w:type="dxa" w:w="280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69,00,000</w:t>
            </w:r>
          </w:p>
        </w:tc>
        <w:tc>
          <w:tcPr>
            <w:tcW w:type="dxa" w:w="3760"/>
            <w:tcBorders>
              <w:top w:val="single" w:color="CBD5E1" w:sz="1"/>
              <w:left w:val="single" w:color="CBD5E1" w:sz="1"/>
              <w:bottom w:val="single" w:color="CBD5E1" w:sz="1"/>
              <w:right w:val="single" w:color="CBD5E1" w:sz="1"/>
            </w:tcBorders>
            <w:shd w:fill="EFF4FB" w:val="clear"/>
            <w:tcMar>
              <w:top w:type="dxa" w:w="80"/>
              <w:left w:type="dxa" w:w="140"/>
              <w:bottom w:type="dxa" w:w="80"/>
              <w:right w:type="dxa" w:w="140"/>
            </w:tcMar>
          </w:tcPr>
          <w:p>
            <w:r>
              <w:rPr>
                <w:rFonts w:ascii="Arial" w:cs="Arial" w:eastAsia="Arial" w:hAnsi="Arial"/>
                <w:b w:val="false"/>
                <w:bCs w:val="false"/>
                <w:sz w:val="20"/>
                <w:szCs w:val="20"/>
              </w:rPr>
              <w:t xml:space="preserve">Rs. 69 lakhs (approx. USD 82,000)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Break-even (ARR = Burn)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Rs. 69L ARR = ~35 customers, 420 cameras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Achievable in Year 2 Q3–Q4 at projected growth</w:t>
            </w:r>
          </w:p>
        </w:tc>
      </w:tr>
    </w:tbl>
    <w:p>
      <w:r>
        <w:br w:type="page"/>
      </w:r>
    </w:p>
    <w:p>
      <w:pPr>
        <w:pStyle w:val="Heading1"/>
        <w:spacing w:before="400" w:after="200"/>
      </w:pPr>
      <w:r>
        <w:rPr>
          <w:rFonts w:ascii="Arial" w:cs="Arial" w:eastAsia="Arial" w:hAnsi="Arial"/>
          <w:b/>
          <w:bCs/>
          <w:color w:val="1B2B4D"/>
          <w:sz w:val="34"/>
          <w:szCs w:val="34"/>
        </w:rPr>
        <w:t xml:space="preserve">9. Why Now — Market Timing</w:t>
      </w:r>
    </w:p>
    <w:p>
      <w:pPr>
        <w:spacing w:after="60"/>
      </w:pPr>
    </w:p>
    <w:p>
      <w:pPr>
        <w:pStyle w:val="Heading2"/>
        <w:spacing w:before="300" w:after="140"/>
      </w:pPr>
      <w:r>
        <w:rPr>
          <w:rFonts w:ascii="Arial" w:cs="Arial" w:eastAsia="Arial" w:hAnsi="Arial"/>
          <w:b/>
          <w:bCs/>
          <w:color w:val="2563A8"/>
          <w:sz w:val="26"/>
          <w:szCs w:val="26"/>
        </w:rPr>
        <w:t xml:space="preserve">9.1 Regulatory Tailwinds</w:t>
      </w:r>
    </w:p>
    <w:p>
      <w:pPr>
        <w:pStyle w:val="ListParagraph"/>
        <w:numPr>
          <w:ilvl w:val="0"/>
          <w:numId w:val="2"/>
        </w:numPr>
        <w:spacing w:after="80"/>
      </w:pPr>
      <w:r>
        <w:rPr>
          <w:rFonts w:ascii="Arial" w:cs="Arial" w:eastAsia="Arial" w:hAnsi="Arial"/>
          <w:b w:val="false"/>
          <w:bCs w:val="false"/>
          <w:sz w:val="22"/>
          <w:szCs w:val="22"/>
        </w:rPr>
        <w:t xml:space="preserve">The Occupational Safety, Health and Working Conditions (OSH) Code 2020 — pending full implementation — will extend safety obligations to contract workers and establishments with 10+ workers, dramatically expanding the addressable market</w:t>
      </w:r>
    </w:p>
    <w:p>
      <w:pPr>
        <w:pStyle w:val="ListParagraph"/>
        <w:numPr>
          <w:ilvl w:val="0"/>
          <w:numId w:val="2"/>
        </w:numPr>
        <w:spacing w:after="80"/>
      </w:pPr>
      <w:r>
        <w:rPr>
          <w:rFonts w:ascii="Arial" w:cs="Arial" w:eastAsia="Arial" w:hAnsi="Arial"/>
          <w:b w:val="false"/>
          <w:bCs w:val="false"/>
          <w:sz w:val="22"/>
          <w:szCs w:val="22"/>
        </w:rPr>
        <w:t xml:space="preserve">SEBI's Business Responsibility and Sustainability Reporting (BRSR) framework now mandates ESG disclosures including OHS metrics for listed companies — creating top-down demand for verifiable safety data</w:t>
      </w:r>
    </w:p>
    <w:p>
      <w:pPr>
        <w:pStyle w:val="ListParagraph"/>
        <w:numPr>
          <w:ilvl w:val="0"/>
          <w:numId w:val="2"/>
        </w:numPr>
        <w:spacing w:after="80"/>
      </w:pPr>
      <w:r>
        <w:rPr>
          <w:rFonts w:ascii="Arial" w:cs="Arial" w:eastAsia="Arial" w:hAnsi="Arial"/>
          <w:b w:val="false"/>
          <w:bCs w:val="false"/>
          <w:sz w:val="22"/>
          <w:szCs w:val="22"/>
        </w:rPr>
        <w:t xml:space="preserve">Growing DGFASLI inspectorate modernisation — pilot of digital factory inspection tools signals regulatory appetite for tech-enabled compliance</w:t>
      </w:r>
    </w:p>
    <w:p>
      <w:pPr>
        <w:pStyle w:val="ListParagraph"/>
        <w:numPr>
          <w:ilvl w:val="0"/>
          <w:numId w:val="2"/>
        </w:numPr>
        <w:spacing w:after="80"/>
      </w:pPr>
      <w:r>
        <w:rPr>
          <w:rFonts w:ascii="Arial" w:cs="Arial" w:eastAsia="Arial" w:hAnsi="Arial"/>
          <w:b w:val="false"/>
          <w:bCs w:val="false"/>
          <w:sz w:val="22"/>
          <w:szCs w:val="22"/>
        </w:rPr>
        <w:t xml:space="preserve">National Human Rights Commission (NHRC) notices to state governments on factory safety create political pressure for visible action</w:t>
      </w:r>
    </w:p>
    <w:p>
      <w:pPr>
        <w:spacing w:after="60"/>
      </w:pPr>
    </w:p>
    <w:p>
      <w:pPr>
        <w:pStyle w:val="Heading2"/>
        <w:spacing w:before="300" w:after="140"/>
      </w:pPr>
      <w:r>
        <w:rPr>
          <w:rFonts w:ascii="Arial" w:cs="Arial" w:eastAsia="Arial" w:hAnsi="Arial"/>
          <w:b/>
          <w:bCs/>
          <w:color w:val="2563A8"/>
          <w:sz w:val="26"/>
          <w:szCs w:val="26"/>
        </w:rPr>
        <w:t xml:space="preserve">9.2 Technology Inflection Point</w:t>
      </w:r>
    </w:p>
    <w:p>
      <w:pPr>
        <w:pStyle w:val="ListParagraph"/>
        <w:numPr>
          <w:ilvl w:val="0"/>
          <w:numId w:val="2"/>
        </w:numPr>
        <w:spacing w:after="80"/>
      </w:pPr>
      <w:r>
        <w:rPr>
          <w:rFonts w:ascii="Arial" w:cs="Arial" w:eastAsia="Arial" w:hAnsi="Arial"/>
          <w:b w:val="false"/>
          <w:bCs w:val="false"/>
          <w:sz w:val="22"/>
          <w:szCs w:val="22"/>
        </w:rPr>
        <w:t xml:space="preserve">LLM-class vision models (GPT-4o, Claude Sonnet) reached production quality for general industrial scene understanding in 2024 — enabling SafeGuard AI's approach for the first time</w:t>
      </w:r>
    </w:p>
    <w:p>
      <w:pPr>
        <w:pStyle w:val="ListParagraph"/>
        <w:numPr>
          <w:ilvl w:val="0"/>
          <w:numId w:val="2"/>
        </w:numPr>
        <w:spacing w:after="80"/>
      </w:pPr>
      <w:r>
        <w:rPr>
          <w:rFonts w:ascii="Arial" w:cs="Arial" w:eastAsia="Arial" w:hAnsi="Arial"/>
          <w:b w:val="false"/>
          <w:bCs w:val="false"/>
          <w:sz w:val="22"/>
          <w:szCs w:val="22"/>
        </w:rPr>
        <w:t xml:space="preserve">India's computer vision market growing at 13.5% CAGR; deep learning accounts for 45% of market in 2025 per Markntel Advisors</w:t>
      </w:r>
    </w:p>
    <w:p>
      <w:pPr>
        <w:pStyle w:val="ListParagraph"/>
        <w:numPr>
          <w:ilvl w:val="0"/>
          <w:numId w:val="2"/>
        </w:numPr>
        <w:spacing w:after="80"/>
      </w:pPr>
      <w:r>
        <w:rPr>
          <w:rFonts w:ascii="Arial" w:cs="Arial" w:eastAsia="Arial" w:hAnsi="Arial"/>
          <w:b w:val="false"/>
          <w:bCs w:val="false"/>
          <w:sz w:val="22"/>
          <w:szCs w:val="22"/>
        </w:rPr>
        <w:t xml:space="preserve">CCTV penetration in Indian factories now high enough that most mid-size plants already have the camera infrastructure SafeGuard AI requires</w:t>
      </w:r>
    </w:p>
    <w:p>
      <w:pPr>
        <w:pStyle w:val="ListParagraph"/>
        <w:numPr>
          <w:ilvl w:val="0"/>
          <w:numId w:val="2"/>
        </w:numPr>
        <w:spacing w:after="80"/>
      </w:pPr>
      <w:r>
        <w:rPr>
          <w:rFonts w:ascii="Arial" w:cs="Arial" w:eastAsia="Arial" w:hAnsi="Arial"/>
          <w:b w:val="false"/>
          <w:bCs w:val="false"/>
          <w:sz w:val="22"/>
          <w:szCs w:val="22"/>
        </w:rPr>
        <w:t xml:space="preserve">Cloud costs and API costs have fallen dramatically — making per-frame AI analysis economically viable at the Rs. 2,000/camera/month price point</w:t>
      </w:r>
    </w:p>
    <w:p>
      <w:pPr>
        <w:spacing w:after="60"/>
      </w:pPr>
    </w:p>
    <w:p>
      <w:pPr>
        <w:pStyle w:val="Heading2"/>
        <w:spacing w:before="300" w:after="140"/>
      </w:pPr>
      <w:r>
        <w:rPr>
          <w:rFonts w:ascii="Arial" w:cs="Arial" w:eastAsia="Arial" w:hAnsi="Arial"/>
          <w:b/>
          <w:bCs/>
          <w:color w:val="2563A8"/>
          <w:sz w:val="26"/>
          <w:szCs w:val="26"/>
        </w:rPr>
        <w:t xml:space="preserve">9.3 Social &amp; ESG Momentum</w:t>
      </w:r>
    </w:p>
    <w:p>
      <w:pPr>
        <w:pStyle w:val="ListParagraph"/>
        <w:numPr>
          <w:ilvl w:val="0"/>
          <w:numId w:val="2"/>
        </w:numPr>
        <w:spacing w:after="80"/>
      </w:pPr>
      <w:r>
        <w:rPr>
          <w:rFonts w:ascii="Arial" w:cs="Arial" w:eastAsia="Arial" w:hAnsi="Arial"/>
          <w:b w:val="false"/>
          <w:bCs w:val="false"/>
          <w:sz w:val="22"/>
          <w:szCs w:val="22"/>
        </w:rPr>
        <w:t xml:space="preserve">Global supply chain buyers (European, US retailers and OEMs) increasingly require Indian supplier factories to demonstrate OHS compliance — creating immediate commercial pull</w:t>
      </w:r>
    </w:p>
    <w:p>
      <w:pPr>
        <w:pStyle w:val="ListParagraph"/>
        <w:numPr>
          <w:ilvl w:val="0"/>
          <w:numId w:val="2"/>
        </w:numPr>
        <w:spacing w:after="80"/>
      </w:pPr>
      <w:r>
        <w:rPr>
          <w:rFonts w:ascii="Arial" w:cs="Arial" w:eastAsia="Arial" w:hAnsi="Arial"/>
          <w:b w:val="false"/>
          <w:bCs w:val="false"/>
          <w:sz w:val="22"/>
          <w:szCs w:val="22"/>
        </w:rPr>
        <w:t xml:space="preserve">ESG investing and sustainability reporting in India growing rapidly; NIFTY 500 companies under pressure to improve safety KPIs</w:t>
      </w:r>
    </w:p>
    <w:p>
      <w:pPr>
        <w:pStyle w:val="ListParagraph"/>
        <w:numPr>
          <w:ilvl w:val="0"/>
          <w:numId w:val="2"/>
        </w:numPr>
        <w:spacing w:after="80"/>
      </w:pPr>
      <w:r>
        <w:rPr>
          <w:rFonts w:ascii="Arial" w:cs="Arial" w:eastAsia="Arial" w:hAnsi="Arial"/>
          <w:b w:val="false"/>
          <w:bCs w:val="false"/>
          <w:sz w:val="22"/>
          <w:szCs w:val="22"/>
        </w:rPr>
        <w:t xml:space="preserve">Worker safety has become a national media topic following high-profile accidents (Sigachi Industries 2025, Amudan Chemicals Mumbai 2024, Haryana boiler explosion 2024)</w:t>
      </w:r>
    </w:p>
    <w:p>
      <w:pPr>
        <w:pStyle w:val="ListParagraph"/>
        <w:numPr>
          <w:ilvl w:val="0"/>
          <w:numId w:val="2"/>
        </w:numPr>
        <w:spacing w:after="80"/>
      </w:pPr>
      <w:r>
        <w:rPr>
          <w:rFonts w:ascii="Arial" w:cs="Arial" w:eastAsia="Arial" w:hAnsi="Arial"/>
          <w:b w:val="false"/>
          <w:bCs w:val="false"/>
          <w:sz w:val="22"/>
          <w:szCs w:val="22"/>
        </w:rPr>
        <w:t xml:space="preserve">NASSCOM identifies workplace safety as a top-tier AI investment priority in the Viksit Bharat 2047 roadmap</w:t>
      </w:r>
    </w:p>
    <w:p>
      <w:pPr>
        <w:spacing w:after="60"/>
      </w:pPr>
    </w:p>
    <w:p>
      <w:pPr>
        <w:pStyle w:val="Heading2"/>
        <w:spacing w:before="300" w:after="140"/>
      </w:pPr>
      <w:r>
        <w:rPr>
          <w:rFonts w:ascii="Arial" w:cs="Arial" w:eastAsia="Arial" w:hAnsi="Arial"/>
          <w:b/>
          <w:bCs/>
          <w:color w:val="2563A8"/>
          <w:sz w:val="26"/>
          <w:szCs w:val="26"/>
        </w:rPr>
        <w:t xml:space="preserve">9.4 The Window of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5F10" w:sz="4"/>
              <w:left w:val="single" w:color="D95F10" w:sz="4"/>
              <w:bottom w:val="single" w:color="D95F10" w:sz="4"/>
              <w:right w:val="single" w:color="D95F10" w:sz="4"/>
            </w:tcBorders>
            <w:shd w:fill="FFF7ED" w:val="clear"/>
            <w:tcMar>
              <w:top w:type="dxa" w:w="200"/>
              <w:left w:type="dxa" w:w="280"/>
              <w:bottom w:type="dxa" w:w="200"/>
              <w:right w:type="dxa" w:w="280"/>
            </w:tcMar>
          </w:tcPr>
          <w:p>
            <w:pPr>
              <w:spacing w:after="100"/>
            </w:pPr>
            <w:r>
              <w:rPr>
                <w:rFonts w:ascii="Arial" w:cs="Arial" w:eastAsia="Arial" w:hAnsi="Arial"/>
                <w:i/>
                <w:iCs/>
                <w:color w:val="1B2B4D"/>
                <w:sz w:val="22"/>
                <w:szCs w:val="22"/>
              </w:rPr>
              <w:t xml:space="preserve">The AI safety monitoring category in India is at the same inflection point as CCTV-as-a-Service was in 2015: a genuine mass-market need, existing infrastructure (cameras), falling AI costs, and no clear dominant player. The next 18–24 months represent the optimal window to establish brand leadership before the market consolidates around 2–3 major platforms.</w:t>
            </w:r>
          </w:p>
        </w:tc>
      </w:tr>
    </w:tbl>
    <w:p>
      <w:pPr>
        <w:spacing w:after="60"/>
      </w:pPr>
    </w:p>
    <w:p>
      <w:pPr>
        <w:pBdr>
          <w:bottom w:val="single" w:color="D95F10" w:sz="6" w:space="1"/>
        </w:pBdr>
        <w:spacing w:before="180" w:after="180"/>
      </w:pPr>
    </w:p>
    <w:p>
      <w:pPr>
        <w:spacing w:after="60"/>
      </w:pPr>
    </w:p>
    <w:p>
      <w:pPr>
        <w:jc w:val="center"/>
      </w:pPr>
      <w:r>
        <w:rPr>
          <w:rFonts w:ascii="Arial" w:cs="Arial" w:eastAsia="Arial" w:hAnsi="Arial"/>
          <w:i/>
          <w:iCs/>
          <w:color w:val="5A6A85"/>
          <w:sz w:val="20"/>
          <w:szCs w:val="20"/>
        </w:rPr>
        <w:t xml:space="preserve">End of Document — SafeGuard AI Market Opportunity Analysis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B4D" w:sz="4" w:space="1"/>
      </w:pBdr>
      <w:tabs>
        <w:tab w:val="right" w:pos="9026"/>
      </w:tabs>
      <w:spacing w:before="80"/>
    </w:pPr>
    <w:r>
      <w:rPr>
        <w:rFonts w:ascii="Arial" w:cs="Arial" w:eastAsia="Arial" w:hAnsi="Arial"/>
        <w:color w:val="AAAAAA"/>
        <w:sz w:val="16"/>
        <w:szCs w:val="16"/>
      </w:rPr>
      <w:t xml:space="preserve">CONFIDENTIAL — SafeGuard AI</w:t>
    </w:r>
    <w:r>
      <w:rPr>
        <w:rFonts w:ascii="Arial" w:cs="Arial" w:eastAsia="Arial" w:hAnsi="Arial"/>
        <w:color w:val="5A6A85"/>
        <w:sz w:val="16"/>
        <w:szCs w:val="16"/>
      </w:rPr>
      <w:t xml:space="preserve">	Page </w:t>
    </w:r>
    <w:r>
      <w:rPr>
        <w:rFonts w:ascii="Arial" w:cs="Arial" w:eastAsia="Arial" w:hAnsi="Arial"/>
        <w:color w:val="5A6A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B4D" w:sz="4" w:space="1"/>
      </w:pBdr>
      <w:spacing w:after="120"/>
    </w:pPr>
    <w:r>
      <w:rPr>
        <w:rFonts w:ascii="Arial" w:cs="Arial" w:eastAsia="Arial" w:hAnsi="Arial"/>
        <w:color w:val="5A6A85"/>
        <w:sz w:val="18"/>
        <w:szCs w:val="18"/>
      </w:rPr>
      <w:t xml:space="preserve">SafeGuard AI — Market Opportunity &amp; Competitor Analysis</w:t>
    </w:r>
    <w:r>
      <w:rPr>
        <w:rFonts w:ascii="Arial" w:cs="Arial" w:eastAsia="Arial" w:hAnsi="Arial"/>
        <w:color w:val="AAAAAA"/>
        <w:sz w:val="18"/>
        <w:szCs w:val="18"/>
      </w:rPr>
      <w:t xml:space="preserve">   |   India Edition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B4D"/>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2563A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2B4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2026-03-06T09:03:33.455Z</dcterms:created>
  <dcterms:modified xsi:type="dcterms:W3CDTF">2026-03-06T09:03:33.456Z</dcterms:modified>
</cp:coreProperties>
</file>

<file path=docProps/custom.xml><?xml version="1.0" encoding="utf-8"?>
<Properties xmlns="http://schemas.openxmlformats.org/officeDocument/2006/custom-properties" xmlns:vt="http://schemas.openxmlformats.org/officeDocument/2006/docPropsVTypes"/>
</file>