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D22" w:rsidRDefault="00330D22" w:rsidP="00330D22">
      <w:pPr>
        <w:pStyle w:val="Default"/>
        <w:rPr>
          <w:b/>
          <w:bCs/>
          <w:sz w:val="22"/>
          <w:szCs w:val="22"/>
        </w:rPr>
      </w:pPr>
    </w:p>
    <w:p w:rsidR="00330D22" w:rsidRDefault="00330D22" w:rsidP="00330D22">
      <w:pPr>
        <w:pStyle w:val="Default"/>
        <w:rPr>
          <w:b/>
          <w:bCs/>
          <w:sz w:val="22"/>
          <w:szCs w:val="22"/>
        </w:rPr>
      </w:pPr>
    </w:p>
    <w:p w:rsidR="00FE0081" w:rsidRDefault="00FE0081" w:rsidP="00330D22">
      <w:pPr>
        <w:pStyle w:val="Default"/>
        <w:jc w:val="center"/>
        <w:rPr>
          <w:b/>
          <w:bCs/>
          <w:sz w:val="22"/>
          <w:szCs w:val="22"/>
        </w:rPr>
      </w:pPr>
    </w:p>
    <w:p w:rsidR="00330D22" w:rsidRDefault="00330D22" w:rsidP="00330D22">
      <w:pPr>
        <w:pStyle w:val="Default"/>
        <w:jc w:val="center"/>
        <w:rPr>
          <w:b/>
          <w:bCs/>
          <w:sz w:val="22"/>
          <w:szCs w:val="22"/>
        </w:rPr>
      </w:pPr>
      <w:r>
        <w:rPr>
          <w:b/>
          <w:bCs/>
          <w:sz w:val="22"/>
          <w:szCs w:val="22"/>
        </w:rPr>
        <w:t xml:space="preserve">Bogotá D.C., Marzo 24 de 2009 </w:t>
      </w:r>
    </w:p>
    <w:p w:rsidR="00330D22" w:rsidRDefault="00330D22" w:rsidP="00330D22">
      <w:pPr>
        <w:pStyle w:val="Default"/>
        <w:jc w:val="center"/>
        <w:rPr>
          <w:b/>
          <w:bCs/>
          <w:sz w:val="22"/>
          <w:szCs w:val="22"/>
        </w:rPr>
      </w:pPr>
    </w:p>
    <w:p w:rsidR="00330D22" w:rsidRDefault="00330D22" w:rsidP="00330D22">
      <w:pPr>
        <w:pStyle w:val="Default"/>
        <w:jc w:val="center"/>
        <w:rPr>
          <w:b/>
          <w:bCs/>
          <w:sz w:val="22"/>
          <w:szCs w:val="22"/>
        </w:rPr>
      </w:pPr>
      <w:r>
        <w:rPr>
          <w:b/>
          <w:bCs/>
          <w:sz w:val="22"/>
          <w:szCs w:val="22"/>
        </w:rPr>
        <w:t>AUTO No. 776</w:t>
      </w:r>
    </w:p>
    <w:p w:rsidR="00330D22" w:rsidRDefault="00330D22" w:rsidP="00330D22">
      <w:pPr>
        <w:pStyle w:val="Default"/>
        <w:jc w:val="center"/>
        <w:rPr>
          <w:sz w:val="22"/>
          <w:szCs w:val="22"/>
        </w:rPr>
      </w:pPr>
    </w:p>
    <w:p w:rsidR="00330D22" w:rsidRDefault="00330D22" w:rsidP="00330D22">
      <w:pPr>
        <w:pStyle w:val="Default"/>
        <w:jc w:val="center"/>
        <w:rPr>
          <w:b/>
          <w:bCs/>
          <w:sz w:val="22"/>
          <w:szCs w:val="22"/>
        </w:rPr>
      </w:pPr>
      <w:r>
        <w:rPr>
          <w:b/>
          <w:bCs/>
          <w:sz w:val="22"/>
          <w:szCs w:val="22"/>
        </w:rPr>
        <w:t>POR EL CUAL SE INICIA EL TRÁMITE ADMINISTRATIVO DE SOLICITUD DE UNA CONCESIÓN DE AGUAS SUBTERRÁNEAS, SE REALIZA COBRO POR EVALUACIÓN Y SE ADOPTAN OTRAS DECISIONES</w:t>
      </w:r>
    </w:p>
    <w:p w:rsidR="00330D22" w:rsidRDefault="00330D22" w:rsidP="00330D22">
      <w:pPr>
        <w:pStyle w:val="Default"/>
        <w:jc w:val="center"/>
        <w:rPr>
          <w:sz w:val="22"/>
          <w:szCs w:val="22"/>
        </w:rPr>
      </w:pPr>
    </w:p>
    <w:p w:rsidR="00330D22" w:rsidRDefault="00330D22" w:rsidP="00330D22">
      <w:pPr>
        <w:pStyle w:val="Default"/>
        <w:jc w:val="center"/>
        <w:rPr>
          <w:b/>
          <w:bCs/>
          <w:sz w:val="22"/>
          <w:szCs w:val="22"/>
        </w:rPr>
      </w:pPr>
      <w:r>
        <w:rPr>
          <w:b/>
          <w:bCs/>
          <w:sz w:val="22"/>
          <w:szCs w:val="22"/>
        </w:rPr>
        <w:t xml:space="preserve">LA SUSCRITA PROFESIONAL ESPECIALIZADA CÓDIGO 2028 GRADO 17 DE LA DIRECCIÓN DE LICENCIAS, PERMISOS Y TRÁMITES AMBIENTALES </w:t>
      </w:r>
    </w:p>
    <w:p w:rsidR="00330D22" w:rsidRDefault="00330D22" w:rsidP="00330D22">
      <w:pPr>
        <w:pStyle w:val="Default"/>
        <w:jc w:val="center"/>
        <w:rPr>
          <w:b/>
          <w:bCs/>
          <w:sz w:val="22"/>
          <w:szCs w:val="22"/>
        </w:rPr>
      </w:pPr>
    </w:p>
    <w:p w:rsidR="00330D22" w:rsidRDefault="00330D22" w:rsidP="00330D22">
      <w:pPr>
        <w:pStyle w:val="Default"/>
        <w:jc w:val="both"/>
        <w:rPr>
          <w:sz w:val="22"/>
          <w:szCs w:val="22"/>
        </w:rPr>
      </w:pPr>
      <w:r>
        <w:rPr>
          <w:sz w:val="22"/>
          <w:szCs w:val="22"/>
        </w:rPr>
        <w:t>En ejercicio de las funciones asignadas por la Ministra de Ambiente, Vivienda y Desarrollo Territorial mediante la Resolución No. 802 del 10 de mayo de 2006, modificada por la Resolución No. 2234 del 17 de noviembre de 2006, y</w:t>
      </w:r>
    </w:p>
    <w:p w:rsidR="00330D22" w:rsidRDefault="00330D22" w:rsidP="00330D22">
      <w:pPr>
        <w:pStyle w:val="Default"/>
        <w:jc w:val="both"/>
        <w:rPr>
          <w:sz w:val="22"/>
          <w:szCs w:val="22"/>
        </w:rPr>
      </w:pPr>
    </w:p>
    <w:p w:rsidR="00330D22" w:rsidRDefault="00330D22" w:rsidP="00330D22">
      <w:pPr>
        <w:pStyle w:val="Default"/>
        <w:jc w:val="center"/>
        <w:rPr>
          <w:b/>
          <w:bCs/>
          <w:sz w:val="22"/>
          <w:szCs w:val="22"/>
        </w:rPr>
      </w:pPr>
      <w:r>
        <w:rPr>
          <w:b/>
          <w:bCs/>
          <w:sz w:val="22"/>
          <w:szCs w:val="22"/>
        </w:rPr>
        <w:t>CONSIDERANDO</w:t>
      </w:r>
    </w:p>
    <w:p w:rsidR="00330D22" w:rsidRDefault="00330D22" w:rsidP="00330D22">
      <w:pPr>
        <w:pStyle w:val="Default"/>
        <w:jc w:val="center"/>
        <w:rPr>
          <w:sz w:val="22"/>
          <w:szCs w:val="22"/>
        </w:rPr>
      </w:pPr>
    </w:p>
    <w:p w:rsidR="00330D22" w:rsidRDefault="00330D22" w:rsidP="00330D22">
      <w:pPr>
        <w:pStyle w:val="Default"/>
        <w:jc w:val="both"/>
        <w:rPr>
          <w:sz w:val="22"/>
          <w:szCs w:val="22"/>
        </w:rPr>
      </w:pPr>
      <w:r>
        <w:rPr>
          <w:sz w:val="22"/>
          <w:szCs w:val="22"/>
        </w:rPr>
        <w:t xml:space="preserve">Que mediante oficio radicado 4120-E1-29876 del 09 de Septiembre de 2009, la persona natural Juan Carlos Méndez Rodríguez, presentó la solicitud de concesión de aguas subterráneas del pozo ubicado en las coordenadas X:1.088.387, Y: 1.553.198, para beneficio del proyecto hídrico desarrollado en el predio denominado Tucuy, Sinclinal Occidental, ubicado en el municipio Bogotá., en el departamento de Bogotá D.C. </w:t>
      </w:r>
    </w:p>
    <w:p w:rsidR="00330D22" w:rsidRDefault="00330D22" w:rsidP="00330D22">
      <w:pPr>
        <w:pStyle w:val="Default"/>
        <w:rPr>
          <w:sz w:val="22"/>
          <w:szCs w:val="22"/>
        </w:rPr>
      </w:pPr>
    </w:p>
    <w:p w:rsidR="00330D22" w:rsidRDefault="00330D22" w:rsidP="00FE0081">
      <w:pPr>
        <w:pStyle w:val="Default"/>
        <w:rPr>
          <w:b/>
          <w:bCs/>
          <w:sz w:val="22"/>
          <w:szCs w:val="22"/>
        </w:rPr>
      </w:pPr>
      <w:r>
        <w:rPr>
          <w:b/>
          <w:bCs/>
          <w:sz w:val="22"/>
          <w:szCs w:val="22"/>
        </w:rPr>
        <w:t>CONSIDERACIONES JURÍDICAS</w:t>
      </w:r>
    </w:p>
    <w:p w:rsidR="00330D22" w:rsidRDefault="00330D22" w:rsidP="00330D22">
      <w:pPr>
        <w:pStyle w:val="Default"/>
        <w:rPr>
          <w:b/>
          <w:bCs/>
          <w:sz w:val="22"/>
          <w:szCs w:val="22"/>
        </w:rPr>
      </w:pPr>
    </w:p>
    <w:p w:rsidR="00FE0081" w:rsidRDefault="00330D22" w:rsidP="00330D22">
      <w:pPr>
        <w:pStyle w:val="Default"/>
        <w:jc w:val="both"/>
        <w:rPr>
          <w:sz w:val="22"/>
          <w:szCs w:val="22"/>
        </w:rPr>
      </w:pPr>
      <w:r>
        <w:rPr>
          <w:sz w:val="22"/>
          <w:szCs w:val="22"/>
        </w:rPr>
        <w:t>Que mediante la Resolución No. 295 del 20 de febrero de 2007, y en desarrollo de las funciones atribuidas en el numeral 16 del artículo 5 de la Ley 99 de 1993, este Ministerio asumió temporalmente el conocimiento, actual y posterior, de los asuntos de la Corporación Au</w:t>
      </w:r>
      <w:r w:rsidR="00FE0081">
        <w:rPr>
          <w:sz w:val="22"/>
          <w:szCs w:val="22"/>
        </w:rPr>
        <w:t>tónoma Regional de Cundinamarca</w:t>
      </w:r>
      <w:r>
        <w:rPr>
          <w:sz w:val="22"/>
          <w:szCs w:val="22"/>
        </w:rPr>
        <w:t xml:space="preserve"> , relacionados con las licencias ambientales, los planes de manejo ambiental, los permisos, las concesiones y demás autorizacione</w:t>
      </w:r>
      <w:r w:rsidR="00FE0081">
        <w:rPr>
          <w:sz w:val="22"/>
          <w:szCs w:val="22"/>
        </w:rPr>
        <w:t>s ambientales de los proyectos hídricos</w:t>
      </w:r>
      <w:r>
        <w:rPr>
          <w:sz w:val="22"/>
          <w:szCs w:val="22"/>
        </w:rPr>
        <w:t xml:space="preserve"> que se encuentran el centro del departamento del</w:t>
      </w:r>
      <w:r w:rsidR="00FE0081">
        <w:rPr>
          <w:sz w:val="22"/>
          <w:szCs w:val="22"/>
        </w:rPr>
        <w:t xml:space="preserve"> Bogotá D.C</w:t>
      </w:r>
      <w:r>
        <w:rPr>
          <w:sz w:val="22"/>
          <w:szCs w:val="22"/>
        </w:rPr>
        <w:t xml:space="preserve">, en particular </w:t>
      </w:r>
      <w:r w:rsidR="00FE0081">
        <w:rPr>
          <w:sz w:val="22"/>
          <w:szCs w:val="22"/>
        </w:rPr>
        <w:t xml:space="preserve">el </w:t>
      </w:r>
      <w:r>
        <w:rPr>
          <w:sz w:val="22"/>
          <w:szCs w:val="22"/>
        </w:rPr>
        <w:t>municipios de</w:t>
      </w:r>
      <w:r w:rsidR="00FE0081">
        <w:rPr>
          <w:sz w:val="22"/>
          <w:szCs w:val="22"/>
        </w:rPr>
        <w:t xml:space="preserve"> Bogotá</w:t>
      </w:r>
      <w:r>
        <w:rPr>
          <w:sz w:val="22"/>
          <w:szCs w:val="22"/>
        </w:rPr>
        <w:t xml:space="preserve">, para su evaluación, control y seguimiento. </w:t>
      </w:r>
    </w:p>
    <w:p w:rsidR="00FE0081" w:rsidRDefault="00FE0081" w:rsidP="00330D22">
      <w:pPr>
        <w:pStyle w:val="Default"/>
        <w:jc w:val="both"/>
        <w:rPr>
          <w:sz w:val="22"/>
          <w:szCs w:val="22"/>
        </w:rPr>
      </w:pPr>
    </w:p>
    <w:p w:rsidR="00FE0081" w:rsidRDefault="00330D22" w:rsidP="00330D22">
      <w:pPr>
        <w:pStyle w:val="Default"/>
        <w:jc w:val="both"/>
        <w:rPr>
          <w:sz w:val="22"/>
          <w:szCs w:val="22"/>
        </w:rPr>
      </w:pPr>
      <w:r>
        <w:rPr>
          <w:sz w:val="22"/>
          <w:szCs w:val="22"/>
        </w:rPr>
        <w:t xml:space="preserve">Que el artículo 36 del Decreto 1541 de 1978 dispuso que toda persona natural o jurídica, pública o privada, </w:t>
      </w:r>
      <w:r w:rsidR="00FE0081">
        <w:rPr>
          <w:sz w:val="22"/>
          <w:szCs w:val="22"/>
        </w:rPr>
        <w:t>requiere</w:t>
      </w:r>
      <w:r>
        <w:rPr>
          <w:sz w:val="22"/>
          <w:szCs w:val="22"/>
        </w:rPr>
        <w:t xml:space="preserve"> concesión para obtener el derecho al aprovechamiento de las aguas para los fines allí indicados. </w:t>
      </w:r>
    </w:p>
    <w:p w:rsidR="00FE0081" w:rsidRDefault="00FE0081" w:rsidP="00330D22">
      <w:pPr>
        <w:pStyle w:val="Default"/>
        <w:jc w:val="both"/>
        <w:rPr>
          <w:sz w:val="22"/>
          <w:szCs w:val="22"/>
        </w:rPr>
      </w:pPr>
    </w:p>
    <w:p w:rsidR="00FE0081" w:rsidRDefault="00330D22" w:rsidP="00330D22">
      <w:pPr>
        <w:pStyle w:val="Default"/>
        <w:jc w:val="both"/>
        <w:rPr>
          <w:sz w:val="22"/>
          <w:szCs w:val="22"/>
        </w:rPr>
      </w:pPr>
      <w:r>
        <w:rPr>
          <w:sz w:val="22"/>
          <w:szCs w:val="22"/>
        </w:rPr>
        <w:t xml:space="preserve">Así mismo, el artículo 54 de la norma en cita estableció que las personas naturales o jurídicas y las entidades gubernamentales que deseen aprovechar aguas para usos diferentes de aquellos que se ejercen por ministerio de la ley requieren concesión, para lo cual deberán dirigir una solicitud a la autoridad competente para tal fin. </w:t>
      </w: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FE0081" w:rsidP="00330D22">
      <w:pPr>
        <w:pStyle w:val="Default"/>
        <w:jc w:val="both"/>
        <w:rPr>
          <w:sz w:val="22"/>
          <w:szCs w:val="22"/>
        </w:rPr>
      </w:pPr>
    </w:p>
    <w:p w:rsidR="00FE0081" w:rsidRDefault="00330D22" w:rsidP="00FE0081">
      <w:pPr>
        <w:pStyle w:val="Default"/>
        <w:jc w:val="center"/>
        <w:rPr>
          <w:b/>
          <w:bCs/>
          <w:sz w:val="22"/>
          <w:szCs w:val="22"/>
        </w:rPr>
      </w:pPr>
      <w:r>
        <w:rPr>
          <w:b/>
          <w:bCs/>
          <w:sz w:val="22"/>
          <w:szCs w:val="22"/>
        </w:rPr>
        <w:t>AUTO No.</w:t>
      </w:r>
    </w:p>
    <w:p w:rsidR="00FE0081" w:rsidRDefault="00FE0081" w:rsidP="00330D22">
      <w:pPr>
        <w:pStyle w:val="Default"/>
        <w:jc w:val="both"/>
        <w:rPr>
          <w:b/>
          <w:bCs/>
          <w:sz w:val="22"/>
          <w:szCs w:val="22"/>
        </w:rPr>
      </w:pPr>
    </w:p>
    <w:p w:rsidR="00FE0081" w:rsidRDefault="00330D22" w:rsidP="00FE0081">
      <w:pPr>
        <w:pStyle w:val="Default"/>
        <w:jc w:val="center"/>
        <w:rPr>
          <w:b/>
          <w:bCs/>
          <w:sz w:val="22"/>
          <w:szCs w:val="22"/>
        </w:rPr>
      </w:pPr>
      <w:r>
        <w:rPr>
          <w:b/>
          <w:bCs/>
          <w:sz w:val="22"/>
          <w:szCs w:val="22"/>
        </w:rPr>
        <w:t xml:space="preserve">POR EL CUAL SE INICIA EL TRÁMITE ADMINISTRATIVO DE SOLICITUD DE UNA CONCESIÓN DE AGUAS SUBTERRÁNEAS, SE REALIZA COBRO POR EVALUACIÓN Y SE ADOPTAN OTRAS DECISIONES </w:t>
      </w:r>
    </w:p>
    <w:p w:rsidR="00FE0081" w:rsidRDefault="00FE0081" w:rsidP="00FE0081">
      <w:pPr>
        <w:pStyle w:val="Default"/>
        <w:jc w:val="center"/>
        <w:rPr>
          <w:b/>
          <w:bCs/>
          <w:sz w:val="22"/>
          <w:szCs w:val="22"/>
        </w:rPr>
      </w:pPr>
    </w:p>
    <w:p w:rsidR="00FE0081" w:rsidRDefault="00FE0081" w:rsidP="00FE0081">
      <w:pPr>
        <w:pStyle w:val="Default"/>
        <w:jc w:val="both"/>
        <w:rPr>
          <w:sz w:val="22"/>
          <w:szCs w:val="22"/>
        </w:rPr>
      </w:pPr>
      <w:r>
        <w:rPr>
          <w:sz w:val="22"/>
          <w:szCs w:val="22"/>
        </w:rPr>
        <w:t xml:space="preserve">Que el artículo 155 </w:t>
      </w:r>
      <w:r>
        <w:rPr>
          <w:i/>
          <w:iCs/>
          <w:sz w:val="22"/>
          <w:szCs w:val="22"/>
        </w:rPr>
        <w:t>ibídem</w:t>
      </w:r>
      <w:r>
        <w:rPr>
          <w:sz w:val="22"/>
          <w:szCs w:val="22"/>
        </w:rPr>
        <w:t>, establece que los aprovechamientos de aguas subterráneas, requieren concesión de la autoridad ambiental.</w:t>
      </w:r>
    </w:p>
    <w:p w:rsidR="00FE0081" w:rsidRDefault="00FE0081" w:rsidP="00FE0081">
      <w:pPr>
        <w:pStyle w:val="Default"/>
        <w:jc w:val="both"/>
        <w:rPr>
          <w:sz w:val="22"/>
          <w:szCs w:val="22"/>
        </w:rPr>
      </w:pPr>
    </w:p>
    <w:p w:rsidR="00FE0081" w:rsidRDefault="00FE0081" w:rsidP="00FE0081">
      <w:pPr>
        <w:pStyle w:val="Default"/>
        <w:jc w:val="both"/>
        <w:rPr>
          <w:i/>
          <w:iCs/>
          <w:sz w:val="22"/>
          <w:szCs w:val="22"/>
        </w:rPr>
      </w:pPr>
      <w:r>
        <w:rPr>
          <w:sz w:val="22"/>
          <w:szCs w:val="22"/>
        </w:rPr>
        <w:t xml:space="preserve">Que la Ley 99 de 1993 en su artículo 70 establece que </w:t>
      </w:r>
      <w:r>
        <w:rPr>
          <w:i/>
          <w:iCs/>
          <w:sz w:val="22"/>
          <w:szCs w:val="22"/>
        </w:rPr>
        <w:t>“La entidad administrativa competente al recibir una petición para iniciar una actuación administrativa ambiental o al comenzarla de oficio dictará un acto de iniciación de trámite que notificará y publicará en los términos de los artículos 14 y 15 del Código Contencioso Administrativo.”</w:t>
      </w:r>
    </w:p>
    <w:p w:rsidR="00FE0081" w:rsidRDefault="00FE0081" w:rsidP="00FE0081">
      <w:pPr>
        <w:pStyle w:val="Default"/>
        <w:jc w:val="both"/>
        <w:rPr>
          <w:i/>
          <w:iCs/>
          <w:sz w:val="22"/>
          <w:szCs w:val="22"/>
        </w:rPr>
      </w:pPr>
    </w:p>
    <w:p w:rsidR="009138EE" w:rsidRDefault="009138EE" w:rsidP="00FE0081">
      <w:pPr>
        <w:pStyle w:val="Default"/>
        <w:jc w:val="both"/>
        <w:rPr>
          <w:sz w:val="22"/>
          <w:szCs w:val="22"/>
        </w:rPr>
      </w:pPr>
      <w:r>
        <w:rPr>
          <w:sz w:val="22"/>
          <w:szCs w:val="22"/>
        </w:rPr>
        <w:t>Que verificado el cumplimiento de los requisitos establecidos en el artículo 55 del Decreto 1541 del 26 de julio de 1978, se procede por parte de este Ministerio a expedir el auto de inicio de trámite para la renovación de concesión de aguas subterráneas.</w:t>
      </w:r>
    </w:p>
    <w:p w:rsidR="009138EE" w:rsidRDefault="009138EE" w:rsidP="00FE0081">
      <w:pPr>
        <w:pStyle w:val="Default"/>
        <w:jc w:val="both"/>
        <w:rPr>
          <w:sz w:val="22"/>
          <w:szCs w:val="22"/>
        </w:rPr>
      </w:pPr>
    </w:p>
    <w:p w:rsidR="009138EE" w:rsidRDefault="009138EE" w:rsidP="00FE0081">
      <w:pPr>
        <w:pStyle w:val="Default"/>
        <w:jc w:val="both"/>
        <w:rPr>
          <w:sz w:val="22"/>
          <w:szCs w:val="22"/>
        </w:rPr>
      </w:pPr>
      <w:r>
        <w:rPr>
          <w:sz w:val="22"/>
          <w:szCs w:val="22"/>
        </w:rPr>
        <w:t>Que el artículo 28 de la Ley 344 de 1996, modificado por el artículo 96 de la Ley 633 de 2000, faculta al Ministerio del Medio Ambiente (hoy Ministerio de Ambiente, Vivienda y Desarrollo Territorial) para cobrar los servicios de evaluación y seguimiento de las licencias ambientales, autorizaciones y demás instrumentos de control y manejo ambiental.</w:t>
      </w:r>
    </w:p>
    <w:p w:rsidR="009138EE" w:rsidRDefault="009138EE" w:rsidP="00FE0081">
      <w:pPr>
        <w:pStyle w:val="Default"/>
        <w:jc w:val="both"/>
        <w:rPr>
          <w:sz w:val="22"/>
          <w:szCs w:val="22"/>
        </w:rPr>
      </w:pPr>
    </w:p>
    <w:p w:rsidR="009138EE" w:rsidRDefault="009138EE" w:rsidP="00FE0081">
      <w:pPr>
        <w:pStyle w:val="Default"/>
        <w:jc w:val="both"/>
        <w:rPr>
          <w:sz w:val="22"/>
          <w:szCs w:val="22"/>
        </w:rPr>
      </w:pPr>
      <w:r>
        <w:rPr>
          <w:sz w:val="22"/>
          <w:szCs w:val="22"/>
        </w:rPr>
        <w:t>Que la Resolución 1110 del 25 de noviembre de 2002 fija las tarifas para el cobro de los servicios de evaluación y seguimiento de licencias, autorizaciones y demás instrumentos de control y manejo ambiental.</w:t>
      </w:r>
    </w:p>
    <w:p w:rsidR="009138EE" w:rsidRDefault="009138EE" w:rsidP="00FE0081">
      <w:pPr>
        <w:pStyle w:val="Default"/>
        <w:jc w:val="both"/>
        <w:rPr>
          <w:sz w:val="22"/>
          <w:szCs w:val="22"/>
        </w:rPr>
      </w:pPr>
    </w:p>
    <w:p w:rsidR="009138EE" w:rsidRDefault="009138EE" w:rsidP="00FE0081">
      <w:pPr>
        <w:pStyle w:val="Default"/>
        <w:jc w:val="both"/>
        <w:rPr>
          <w:sz w:val="22"/>
          <w:szCs w:val="22"/>
        </w:rPr>
      </w:pPr>
      <w:r>
        <w:rPr>
          <w:sz w:val="22"/>
          <w:szCs w:val="22"/>
        </w:rPr>
        <w:t>Que la liquidación del cobro se basa en la Ley 633 del 29 de diciembre de 2000 y en las tablas contenidas en la citada Resolución 1110 de 2002.</w:t>
      </w:r>
    </w:p>
    <w:p w:rsidR="009138EE" w:rsidRDefault="009138EE" w:rsidP="00FE0081">
      <w:pPr>
        <w:pStyle w:val="Default"/>
        <w:jc w:val="both"/>
        <w:rPr>
          <w:sz w:val="22"/>
          <w:szCs w:val="22"/>
        </w:rPr>
      </w:pPr>
    </w:p>
    <w:p w:rsidR="009138EE" w:rsidRDefault="009138EE" w:rsidP="00FE0081">
      <w:pPr>
        <w:pStyle w:val="Default"/>
        <w:jc w:val="both"/>
        <w:rPr>
          <w:sz w:val="22"/>
          <w:szCs w:val="22"/>
        </w:rPr>
      </w:pPr>
      <w:r>
        <w:rPr>
          <w:sz w:val="22"/>
          <w:szCs w:val="22"/>
        </w:rPr>
        <w:t>Que para este caso, no se ha liquidado el costo del transporte terrestre entre la ciudad de Valledupar y el sitio de proyecto, el cual deberá ser suministrado por la empresa.</w:t>
      </w:r>
    </w:p>
    <w:p w:rsidR="009138EE" w:rsidRDefault="009138EE" w:rsidP="00FE0081">
      <w:pPr>
        <w:pStyle w:val="Default"/>
        <w:jc w:val="both"/>
        <w:rPr>
          <w:sz w:val="22"/>
          <w:szCs w:val="22"/>
        </w:rPr>
      </w:pPr>
    </w:p>
    <w:p w:rsidR="009138EE" w:rsidRDefault="009138EE" w:rsidP="00FE0081">
      <w:pPr>
        <w:pStyle w:val="Default"/>
        <w:jc w:val="both"/>
        <w:rPr>
          <w:sz w:val="22"/>
          <w:szCs w:val="22"/>
        </w:rPr>
      </w:pPr>
      <w:r>
        <w:rPr>
          <w:sz w:val="22"/>
          <w:szCs w:val="22"/>
        </w:rPr>
        <w:t>Categorización de los profesionales según Resolución No. 747 de 1998 del Ministerio del Transporte, con la aplicación de los siguientes IPC:</w:t>
      </w:r>
    </w:p>
    <w:p w:rsidR="009138EE" w:rsidRDefault="009138EE" w:rsidP="00FE0081">
      <w:pPr>
        <w:pStyle w:val="Default"/>
        <w:jc w:val="both"/>
        <w:rPr>
          <w:sz w:val="22"/>
          <w:szCs w:val="22"/>
        </w:rPr>
      </w:pPr>
    </w:p>
    <w:p w:rsidR="009138EE" w:rsidRDefault="009138EE" w:rsidP="009138EE">
      <w:pPr>
        <w:pStyle w:val="Default"/>
        <w:jc w:val="center"/>
        <w:rPr>
          <w:b/>
          <w:bCs/>
          <w:sz w:val="22"/>
          <w:szCs w:val="22"/>
        </w:rPr>
      </w:pPr>
      <w:r>
        <w:rPr>
          <w:b/>
          <w:bCs/>
          <w:noProof/>
          <w:lang w:eastAsia="es-ES"/>
        </w:rPr>
        <w:drawing>
          <wp:inline distT="0" distB="0" distL="0" distR="0">
            <wp:extent cx="4648200" cy="401114"/>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47653" cy="401067"/>
                    </a:xfrm>
                    <a:prstGeom prst="rect">
                      <a:avLst/>
                    </a:prstGeom>
                    <a:noFill/>
                    <a:ln w="9525">
                      <a:noFill/>
                      <a:miter lim="800000"/>
                      <a:headEnd/>
                      <a:tailEnd/>
                    </a:ln>
                  </pic:spPr>
                </pic:pic>
              </a:graphicData>
            </a:graphic>
          </wp:inline>
        </w:drawing>
      </w:r>
    </w:p>
    <w:p w:rsidR="009138EE" w:rsidRDefault="009138EE" w:rsidP="00FE0081">
      <w:pPr>
        <w:pStyle w:val="Default"/>
        <w:jc w:val="both"/>
        <w:rPr>
          <w:b/>
          <w:bCs/>
          <w:sz w:val="22"/>
          <w:szCs w:val="22"/>
        </w:rPr>
      </w:pPr>
    </w:p>
    <w:p w:rsidR="009138EE" w:rsidRDefault="009138EE" w:rsidP="00FE0081">
      <w:pPr>
        <w:pStyle w:val="Default"/>
        <w:jc w:val="both"/>
        <w:rPr>
          <w:sz w:val="22"/>
          <w:szCs w:val="22"/>
        </w:rPr>
      </w:pPr>
      <w:r>
        <w:rPr>
          <w:sz w:val="22"/>
          <w:szCs w:val="22"/>
        </w:rPr>
        <w:t>Tarifas correspondientes a los viáticos con base en el Decreto 628 del 2 de marzo de 2007.</w:t>
      </w:r>
    </w:p>
    <w:p w:rsidR="009138EE" w:rsidRDefault="009138EE" w:rsidP="00FE0081">
      <w:pPr>
        <w:pStyle w:val="Default"/>
        <w:jc w:val="both"/>
        <w:rPr>
          <w:sz w:val="22"/>
          <w:szCs w:val="22"/>
        </w:rPr>
      </w:pPr>
    </w:p>
    <w:p w:rsidR="009138EE" w:rsidRDefault="009138EE" w:rsidP="00FE0081">
      <w:pPr>
        <w:pStyle w:val="Default"/>
        <w:jc w:val="both"/>
        <w:rPr>
          <w:sz w:val="22"/>
          <w:szCs w:val="22"/>
        </w:rPr>
      </w:pPr>
      <w:r>
        <w:rPr>
          <w:b/>
          <w:bCs/>
          <w:sz w:val="22"/>
          <w:szCs w:val="22"/>
        </w:rPr>
        <w:t xml:space="preserve">TABLAS DE LIQUIDACIÒN </w:t>
      </w:r>
    </w:p>
    <w:p w:rsidR="009138EE" w:rsidRDefault="009138EE" w:rsidP="00FE0081">
      <w:pPr>
        <w:pStyle w:val="Default"/>
        <w:jc w:val="both"/>
        <w:rPr>
          <w:sz w:val="22"/>
          <w:szCs w:val="22"/>
        </w:rPr>
      </w:pPr>
    </w:p>
    <w:p w:rsidR="009138EE" w:rsidRDefault="009138EE" w:rsidP="00FE0081">
      <w:pPr>
        <w:pStyle w:val="Default"/>
        <w:jc w:val="both"/>
        <w:rPr>
          <w:sz w:val="22"/>
          <w:szCs w:val="22"/>
        </w:rPr>
      </w:pPr>
      <w:r>
        <w:rPr>
          <w:sz w:val="22"/>
          <w:szCs w:val="22"/>
        </w:rPr>
        <w:t>Teniendo en cuenta los costos reportados por la empresa CARBONES DE LA JAGUA S.A., la liquidación según la Ley 633 de 2000 es la siguiente:</w:t>
      </w:r>
    </w:p>
    <w:p w:rsidR="009138EE" w:rsidRDefault="009138EE" w:rsidP="00FE0081">
      <w:pPr>
        <w:pStyle w:val="Default"/>
        <w:jc w:val="both"/>
        <w:rPr>
          <w:sz w:val="22"/>
          <w:szCs w:val="22"/>
        </w:rPr>
      </w:pPr>
    </w:p>
    <w:p w:rsidR="009138EE" w:rsidRDefault="009138EE" w:rsidP="00FE0081">
      <w:pPr>
        <w:pStyle w:val="Default"/>
        <w:jc w:val="both"/>
        <w:rPr>
          <w:sz w:val="22"/>
          <w:szCs w:val="22"/>
        </w:rPr>
      </w:pPr>
    </w:p>
    <w:p w:rsidR="009138EE" w:rsidRDefault="009138EE" w:rsidP="00FE0081">
      <w:pPr>
        <w:pStyle w:val="Default"/>
        <w:jc w:val="both"/>
        <w:rPr>
          <w:sz w:val="22"/>
          <w:szCs w:val="22"/>
        </w:rPr>
      </w:pPr>
    </w:p>
    <w:sectPr w:rsidR="009138EE" w:rsidSect="00FE0081">
      <w:headerReference w:type="default" r:id="rId7"/>
      <w:pgSz w:w="11906" w:h="16838"/>
      <w:pgMar w:top="163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3DEF" w:rsidRDefault="00A03DEF" w:rsidP="00330D22">
      <w:pPr>
        <w:spacing w:after="0" w:line="240" w:lineRule="auto"/>
      </w:pPr>
      <w:r>
        <w:separator/>
      </w:r>
    </w:p>
  </w:endnote>
  <w:endnote w:type="continuationSeparator" w:id="1">
    <w:p w:rsidR="00A03DEF" w:rsidRDefault="00A03DEF" w:rsidP="00330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Tahoma">
    <w:altName w:val="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3DEF" w:rsidRDefault="00A03DEF" w:rsidP="00330D22">
      <w:pPr>
        <w:spacing w:after="0" w:line="240" w:lineRule="auto"/>
      </w:pPr>
      <w:r>
        <w:separator/>
      </w:r>
    </w:p>
  </w:footnote>
  <w:footnote w:type="continuationSeparator" w:id="1">
    <w:p w:rsidR="00A03DEF" w:rsidRDefault="00A03DEF" w:rsidP="00330D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D22" w:rsidRDefault="00330D22" w:rsidP="00330D22">
    <w:pPr>
      <w:pStyle w:val="Default"/>
      <w:jc w:val="right"/>
      <w:rPr>
        <w:b/>
        <w:bCs/>
        <w:sz w:val="23"/>
        <w:szCs w:val="23"/>
      </w:rPr>
    </w:pPr>
    <w:r>
      <w:rPr>
        <w:b/>
        <w:bCs/>
        <w:noProof/>
        <w:sz w:val="23"/>
        <w:szCs w:val="23"/>
        <w:lang w:eastAsia="es-ES"/>
      </w:rPr>
      <w:pict>
        <v:rect id="_x0000_s2049" style="position:absolute;left:0;text-align:left;margin-left:2.7pt;margin-top:-19.65pt;width:63.75pt;height:62.25pt;z-index:251658240" filled="f" stroked="f">
          <v:textbox>
            <w:txbxContent>
              <w:p w:rsidR="00330D22" w:rsidRDefault="00330D22">
                <w:r>
                  <w:rPr>
                    <w:noProof/>
                    <w:lang w:eastAsia="es-ES"/>
                  </w:rPr>
                  <w:drawing>
                    <wp:inline distT="0" distB="0" distL="0" distR="0">
                      <wp:extent cx="619125" cy="692451"/>
                      <wp:effectExtent l="19050" t="0" r="9525" b="0"/>
                      <wp:docPr id="3" name="2 Imagen" descr="Logo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JPG"/>
                              <pic:cNvPicPr/>
                            </pic:nvPicPr>
                            <pic:blipFill>
                              <a:blip r:embed="rId1"/>
                              <a:stretch>
                                <a:fillRect/>
                              </a:stretch>
                            </pic:blipFill>
                            <pic:spPr>
                              <a:xfrm>
                                <a:off x="0" y="0"/>
                                <a:ext cx="622565" cy="696298"/>
                              </a:xfrm>
                              <a:prstGeom prst="rect">
                                <a:avLst/>
                              </a:prstGeom>
                            </pic:spPr>
                          </pic:pic>
                        </a:graphicData>
                      </a:graphic>
                    </wp:inline>
                  </w:drawing>
                </w:r>
              </w:p>
            </w:txbxContent>
          </v:textbox>
        </v:rect>
      </w:pict>
    </w:r>
    <w:r>
      <w:rPr>
        <w:b/>
        <w:bCs/>
        <w:sz w:val="23"/>
        <w:szCs w:val="23"/>
      </w:rPr>
      <w:t xml:space="preserve">Ministerio del Ambiente, Vivienda y Desarrollo Territorial </w:t>
    </w:r>
  </w:p>
  <w:p w:rsidR="00330D22" w:rsidRDefault="00330D22" w:rsidP="00330D22">
    <w:pPr>
      <w:pStyle w:val="Default"/>
      <w:jc w:val="right"/>
      <w:rPr>
        <w:sz w:val="22"/>
        <w:szCs w:val="22"/>
      </w:rPr>
    </w:pPr>
    <w:r>
      <w:rPr>
        <w:sz w:val="22"/>
        <w:szCs w:val="22"/>
      </w:rPr>
      <w:t>Dirección de Licencias, Permisos y Trámites Ambientales</w:t>
    </w:r>
  </w:p>
  <w:p w:rsidR="00330D22" w:rsidRPr="00330D22" w:rsidRDefault="00330D22" w:rsidP="00330D22">
    <w:pPr>
      <w:pStyle w:val="Default"/>
      <w:jc w:val="right"/>
      <w:rPr>
        <w:sz w:val="20"/>
        <w:szCs w:val="20"/>
      </w:rPr>
    </w:pPr>
    <w:r>
      <w:rPr>
        <w:sz w:val="20"/>
        <w:szCs w:val="20"/>
      </w:rPr>
      <w:t>República de Colombia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074">
      <o:colormenu v:ext="edit" fillcolor="none" strokecolor="none"/>
    </o:shapedefaults>
    <o:shapelayout v:ext="edit">
      <o:idmap v:ext="edit" data="2"/>
    </o:shapelayout>
  </w:hdrShapeDefaults>
  <w:footnotePr>
    <w:footnote w:id="0"/>
    <w:footnote w:id="1"/>
  </w:footnotePr>
  <w:endnotePr>
    <w:endnote w:id="0"/>
    <w:endnote w:id="1"/>
  </w:endnotePr>
  <w:compat/>
  <w:rsids>
    <w:rsidRoot w:val="00330D22"/>
    <w:rsid w:val="00330D22"/>
    <w:rsid w:val="00521D1D"/>
    <w:rsid w:val="009138EE"/>
    <w:rsid w:val="00A03DEF"/>
    <w:rsid w:val="00FE00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1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0D22"/>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30D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30D22"/>
  </w:style>
  <w:style w:type="paragraph" w:styleId="Piedepgina">
    <w:name w:val="footer"/>
    <w:basedOn w:val="Normal"/>
    <w:link w:val="PiedepginaCar"/>
    <w:uiPriority w:val="99"/>
    <w:semiHidden/>
    <w:unhideWhenUsed/>
    <w:rsid w:val="00330D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0D22"/>
  </w:style>
  <w:style w:type="paragraph" w:styleId="Textodeglobo">
    <w:name w:val="Balloon Text"/>
    <w:basedOn w:val="Normal"/>
    <w:link w:val="TextodegloboCar"/>
    <w:uiPriority w:val="99"/>
    <w:semiHidden/>
    <w:unhideWhenUsed/>
    <w:rsid w:val="00330D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D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Ministerio del Ambiente, Vivienda y Desarrollo Territorial Dirección de Licencias, Permisos y Trámites Ambientales República de Colombia</dc:title>
  <dc:subject/>
  <dc:creator>ARRENDADO</dc:creator>
  <cp:keywords/>
  <dc:description/>
  <cp:lastModifiedBy>ARRENDADO</cp:lastModifiedBy>
  <cp:revision>1</cp:revision>
  <dcterms:created xsi:type="dcterms:W3CDTF">2009-09-09T13:03:00Z</dcterms:created>
  <dcterms:modified xsi:type="dcterms:W3CDTF">2009-09-09T13:27:00Z</dcterms:modified>
</cp:coreProperties>
</file>