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6D7882"/>
          <w:sz w:val="20"/>
        </w:rPr>
        <w:t>Core+ PDF • ścieżka zmian i wycofania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FF4FA"/>
            <w:tcMar>
              <w:top w:w="220" w:type="dxa"/>
              <w:start w:w="220" w:type="dxa"/>
              <w:bottom w:w="220" w:type="dxa"/>
              <w:end w:w="220" w:type="dxa"/>
            </w:tcMar>
          </w:tcPr>
          <w:p>
            <w:r>
              <w:rPr>
                <w:rFonts w:ascii="Aptos Display" w:hAnsi="Aptos Display"/>
                <w:b/>
                <w:color w:val="334866"/>
                <w:sz w:val="44"/>
              </w:rPr>
              <w:t>Kot chowa się po zmianach?</w:t>
            </w:r>
          </w:p>
          <w:p>
            <w:pPr>
              <w:spacing w:before="80" w:after="0" w:line="259" w:lineRule="auto"/>
            </w:pPr>
            <w:r>
              <w:rPr>
                <w:color w:val="28323C"/>
                <w:sz w:val="22"/>
              </w:rPr>
              <w:t>Jak odróżnić ostrożność od przeciążenia, odbudować poczucie bezpieczeństwa i zaplanować pierwsze 72 godziny oraz kolejne 14 dni pracy.</w:t>
            </w:r>
          </w:p>
          <w:p>
            <w:pPr>
              <w:spacing w:before="160" w:after="0" w:line="240" w:lineRule="auto"/>
            </w:pPr>
            <w:r>
              <w:rPr>
                <w:i/>
                <w:color w:val="6D7882"/>
                <w:sz w:val="20"/>
              </w:rPr>
              <w:t>Kompendium dla opiekuna kota po przeprowadzce, remoncie, zmianie rytmu domu lub pojawieniu się nowego bodźca społecznego.</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F1E7"/>
            <w:tcMar>
              <w:top w:w="140" w:type="dxa"/>
              <w:start w:w="170" w:type="dxa"/>
              <w:bottom w:w="140" w:type="dxa"/>
              <w:end w:w="170" w:type="dxa"/>
            </w:tcMar>
          </w:tcPr>
          <w:p>
            <w:r>
              <w:rPr>
                <w:b/>
                <w:color w:val="334866"/>
                <w:sz w:val="22"/>
              </w:rPr>
              <w:t>Dla kogo jest ten materiał?</w:t>
            </w:r>
          </w:p>
          <w:p>
            <w:pPr>
              <w:spacing w:before="40" w:after="0" w:line="269" w:lineRule="auto"/>
            </w:pPr>
            <w:r>
              <w:rPr>
                <w:color w:val="28323C"/>
                <w:sz w:val="20"/>
              </w:rPr>
              <w:t>Dla opiekuna, który widzi, że kot po zmianach chowa się, funkcjonuje głównie nocą, przestał korzystać z części domu albo wyraźnie stracił poczucie swobody. Ten PDF pomaga odróżnić ostrożność adaptacyjną od przewlekłego przeciążenia i przygotować sensowny plan pierwszej pomocy środowiskowej.</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1ECF8"/>
            <w:tcMar>
              <w:top w:w="140" w:type="dxa"/>
              <w:start w:w="150" w:type="dxa"/>
              <w:bottom w:w="120" w:type="dxa"/>
              <w:end w:w="150" w:type="dxa"/>
            </w:tcMar>
          </w:tcPr>
          <w:p>
            <w:r>
              <w:rPr>
                <w:b/>
                <w:color w:val="334866"/>
                <w:sz w:val="22"/>
              </w:rPr>
              <w:t>W środku znajdziesz</w:t>
            </w:r>
          </w:p>
          <w:p>
            <w:pPr>
              <w:pStyle w:val="ListBullet"/>
              <w:spacing w:before="0" w:after="0" w:line="252" w:lineRule="auto"/>
            </w:pPr>
            <w:r>
              <w:rPr>
                <w:color w:val="28323C"/>
                <w:sz w:val="20"/>
              </w:rPr>
              <w:t>6 oznak przewlekłego napięcia po zmianach</w:t>
            </w:r>
          </w:p>
          <w:p>
            <w:pPr>
              <w:pStyle w:val="ListBullet"/>
              <w:spacing w:before="0" w:after="0" w:line="252" w:lineRule="auto"/>
            </w:pPr>
            <w:r>
              <w:rPr>
                <w:color w:val="28323C"/>
                <w:sz w:val="20"/>
              </w:rPr>
              <w:t>różnicowanie: stres, konflikt, ból czy choroba</w:t>
            </w:r>
          </w:p>
          <w:p>
            <w:pPr>
              <w:pStyle w:val="ListBullet"/>
              <w:spacing w:before="0" w:after="0" w:line="252" w:lineRule="auto"/>
            </w:pPr>
            <w:r>
              <w:rPr>
                <w:color w:val="28323C"/>
                <w:sz w:val="20"/>
              </w:rPr>
              <w:t>5 filarów zdrowego środowiska w praktyce</w:t>
            </w:r>
          </w:p>
          <w:p>
            <w:pPr>
              <w:pStyle w:val="ListBullet"/>
              <w:spacing w:before="0" w:after="0" w:line="252" w:lineRule="auto"/>
            </w:pPr>
            <w:r>
              <w:rPr>
                <w:color w:val="28323C"/>
                <w:sz w:val="20"/>
              </w:rPr>
              <w:t>plan pierwszych 72 godzin i plan 14 dni</w:t>
            </w:r>
          </w:p>
          <w:p>
            <w:pPr>
              <w:pStyle w:val="ListBullet"/>
              <w:spacing w:before="0" w:after="0" w:line="252" w:lineRule="auto"/>
            </w:pPr>
            <w:r>
              <w:rPr>
                <w:color w:val="28323C"/>
                <w:sz w:val="20"/>
              </w:rPr>
              <w:t>checklisty, monitoring 7 dni i kwestionariusz do konsultacji</w:t>
            </w:r>
          </w:p>
        </w:tc>
      </w:tr>
    </w:tbl>
    <w:p/>
    <w:p>
      <w:r>
        <w:br w:type="page"/>
      </w:r>
    </w:p>
    <w:p>
      <w:pPr>
        <w:pStyle w:val="Heading1"/>
      </w:pPr>
      <w:r>
        <w:t>Dla kogo jest ten materiał</w:t>
      </w:r>
    </w:p>
    <w:p>
      <w:r>
        <w:t>Dla opiekuna, który po przeprowadzce, remoncie, pojawieniu się nowego człowieka lub zwierzęcia widzi, że kot wycofał się, je głównie nocą albo nie wraca do dawnego zakresu normalnego życia.</w:t>
      </w:r>
    </w:p>
    <w:p>
      <w:pPr>
        <w:pStyle w:val="Heading1"/>
      </w:pPr>
      <w:r>
        <w:t>Co znajdziesz w środku</w:t>
      </w:r>
    </w:p>
    <w:p>
      <w:r>
        <w:t>Rozróżnienie ostrożności adaptacyjnej i przeciążenia, 6 oznak przewlekłego napięcia, wyzwalacze po zmianach, różnicowanie stres / konflikt / ból / choroba, plan 72 godzin, plan 14 dni, czerwone flagi, check-listę i pytania do konsultacji.</w:t>
      </w:r>
    </w:p>
    <w:p>
      <w:pPr>
        <w:pStyle w:val="Heading1"/>
      </w:pPr>
      <w:r>
        <w:t>Najkrócej</w:t>
      </w:r>
    </w:p>
    <w:p>
      <w:r>
        <w:t>To core+ PDF o zmianach i wycofaniu: ma pomóc ocenić, czy kot potrzebuje już aktywnej pomocy, jak uporządkować środowisko po zmianie i kiedy wyjść poza samą ścieżkę „dajmy mu jeszcze czas”.</w:t>
      </w:r>
    </w:p>
    <w:p>
      <w:pPr>
        <w:spacing w:before="160" w:after="80" w:line="250" w:lineRule="auto"/>
      </w:pPr>
      <w:r>
        <w:rPr>
          <w:rFonts w:ascii="Aptos Display" w:hAnsi="Aptos Display"/>
          <w:b/>
          <w:color w:val="334866"/>
          <w:sz w:val="40"/>
        </w:rPr>
        <w:t>1. Kiedy chowanie się po zmianach przestaje być zwykłą ostrożnością</w:t>
      </w:r>
    </w:p>
    <w:p>
      <w:pPr>
        <w:spacing w:before="0" w:after="120" w:line="283" w:lineRule="auto"/>
      </w:pPr>
      <w:r>
        <w:rPr>
          <w:color w:val="28323C"/>
          <w:sz w:val="21"/>
        </w:rPr>
        <w:t>Ukrywanie się samo w sobie jest biologicznie normalne. Problem zaczyna się wtedy, gdy kryjówka przestaje być jednym z narzędzi regulacji napięcia i staje się głównym sposobem funkcjonowania kota w domu. Wtedy liczy się nie sam fakt schowania, lecz to, czy kot nadal je, korzysta z kuwety, odpoczywa, eksploruje i odzyskuje kontakt z otoczeniem.</w:t>
      </w:r>
    </w:p>
    <w:p>
      <w:pPr>
        <w:spacing w:before="0" w:after="120" w:line="283" w:lineRule="auto"/>
      </w:pPr>
      <w:r>
        <w:rPr>
          <w:color w:val="28323C"/>
          <w:sz w:val="21"/>
        </w:rPr>
        <w:t>W praktyce opiekun łatwo słyszy, że kot jest „po prostu nieśmiały”. Tymczasem po zmianach w domu w tle może działać przeciążenie bodźcami, cichy konflikt społeczny, ból albo utrata przewidywalności. Najbardziej użyteczne pytanie brzmi: czy poza kryjówką kot nadal ma dostęp do normalnego życia?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FF4FA"/>
            <w:tcMar>
              <w:top w:w="140" w:type="dxa"/>
              <w:start w:w="170" w:type="dxa"/>
              <w:bottom w:w="140" w:type="dxa"/>
              <w:end w:w="170" w:type="dxa"/>
            </w:tcMar>
          </w:tcPr>
          <w:p>
            <w:r>
              <w:rPr>
                <w:b/>
                <w:color w:val="334866"/>
                <w:sz w:val="22"/>
              </w:rPr>
              <w:t>Praktyczny filtr</w:t>
            </w:r>
          </w:p>
          <w:p>
            <w:pPr>
              <w:spacing w:before="40" w:after="0" w:line="269" w:lineRule="auto"/>
            </w:pPr>
            <w:r>
              <w:rPr>
                <w:color w:val="28323C"/>
                <w:sz w:val="20"/>
              </w:rPr>
              <w:t>Nie oceniaj kota wyłącznie po tym, czy wyszedł z kryjówki. Sprawdzaj, czy wraca do normalnych rytuałów: jedzenia, toalety, pielęgnacji, spokojnego odpoczynku i swobodnego poruszania się po domu.</w:t>
            </w:r>
          </w:p>
        </w:tc>
      </w:tr>
    </w:tbl>
    <w:p/>
    <w:p>
      <w:pPr>
        <w:spacing w:before="140" w:after="60" w:line="252" w:lineRule="auto"/>
      </w:pPr>
      <w:r>
        <w:rPr>
          <w:rFonts w:ascii="Aptos Display" w:hAnsi="Aptos Display"/>
          <w:b/>
          <w:color w:val="334866"/>
          <w:sz w:val="28"/>
        </w:rPr>
        <w:t>2. Ostrożność adaptacyjna a przewlekłe przeciążenie</w:t>
      </w:r>
    </w:p>
    <w:tbl>
      <w:tblPr>
        <w:tblStyle w:val="TableGrid"/>
        <w:tblW w:type="auto" w:w="0"/>
        <w:jc w:val="center"/>
        <w:tblLook w:firstColumn="1" w:firstRow="1" w:lastColumn="0" w:lastRow="0" w:noHBand="0" w:noVBand="1" w:val="04A0"/>
      </w:tblPr>
      <w:tblGrid>
        <w:gridCol w:w="3400"/>
        <w:gridCol w:w="3400"/>
        <w:gridCol w:w="3400"/>
      </w:tblGrid>
      <w:tr>
        <w:tc>
          <w:tcPr>
            <w:tcW w:type="dxa" w:w="1928"/>
            <w:shd w:fill="DEE9F5"/>
            <w:tcMar>
              <w:top w:w="120" w:type="dxa"/>
              <w:start w:w="120" w:type="dxa"/>
              <w:bottom w:w="120" w:type="dxa"/>
              <w:end w:w="120" w:type="dxa"/>
            </w:tcMar>
            <w:vAlign w:val="center"/>
          </w:tcPr>
          <w:p>
            <w:pPr>
              <w:jc w:val="center"/>
            </w:pPr>
            <w:r>
              <w:rPr>
                <w:b/>
                <w:color w:val="334866"/>
                <w:sz w:val="19"/>
              </w:rPr>
              <w:t>Obszar</w:t>
            </w:r>
          </w:p>
        </w:tc>
        <w:tc>
          <w:tcPr>
            <w:tcW w:type="dxa" w:w="3402"/>
            <w:shd w:fill="DEE9F5"/>
            <w:tcMar>
              <w:top w:w="120" w:type="dxa"/>
              <w:start w:w="120" w:type="dxa"/>
              <w:bottom w:w="120" w:type="dxa"/>
              <w:end w:w="120" w:type="dxa"/>
            </w:tcMar>
            <w:vAlign w:val="center"/>
          </w:tcPr>
          <w:p>
            <w:pPr>
              <w:jc w:val="center"/>
            </w:pPr>
            <w:r>
              <w:rPr>
                <w:b/>
                <w:color w:val="334866"/>
                <w:sz w:val="19"/>
              </w:rPr>
              <w:t>Ostrożność adaptacyjna</w:t>
            </w:r>
          </w:p>
        </w:tc>
        <w:tc>
          <w:tcPr>
            <w:tcW w:type="dxa" w:w="3402"/>
            <w:shd w:fill="DEE9F5"/>
            <w:tcMar>
              <w:top w:w="120" w:type="dxa"/>
              <w:start w:w="120" w:type="dxa"/>
              <w:bottom w:w="120" w:type="dxa"/>
              <w:end w:w="120" w:type="dxa"/>
            </w:tcMar>
            <w:vAlign w:val="center"/>
          </w:tcPr>
          <w:p>
            <w:pPr>
              <w:jc w:val="center"/>
            </w:pPr>
            <w:r>
              <w:rPr>
                <w:b/>
                <w:color w:val="334866"/>
                <w:sz w:val="19"/>
              </w:rPr>
              <w:t>Przewlekłe napięcie</w:t>
            </w:r>
          </w:p>
        </w:tc>
      </w:tr>
      <w:tr>
        <w:tc>
          <w:tcPr>
            <w:tcW w:type="dxa" w:w="1928"/>
            <w:shd w:fill="F4F5F7"/>
            <w:tcMar>
              <w:top w:w="115" w:type="dxa"/>
              <w:start w:w="120" w:type="dxa"/>
              <w:bottom w:w="115" w:type="dxa"/>
              <w:end w:w="120" w:type="dxa"/>
            </w:tcMar>
            <w:vAlign w:val="center"/>
          </w:tcPr>
          <w:p>
            <w:pPr>
              <w:jc w:val="center"/>
            </w:pPr>
            <w:r>
              <w:rPr>
                <w:color w:val="28323C"/>
                <w:sz w:val="18"/>
              </w:rPr>
              <w:t>Po zmianie</w:t>
            </w:r>
          </w:p>
        </w:tc>
        <w:tc>
          <w:tcPr>
            <w:tcW w:type="dxa" w:w="3402"/>
            <w:shd w:fill="FFFFFF"/>
            <w:tcMar>
              <w:top w:w="115" w:type="dxa"/>
              <w:start w:w="120" w:type="dxa"/>
              <w:bottom w:w="115" w:type="dxa"/>
              <w:end w:w="120" w:type="dxa"/>
            </w:tcMar>
            <w:vAlign w:val="center"/>
          </w:tcPr>
          <w:p>
            <w:pPr>
              <w:jc w:val="left"/>
            </w:pPr>
            <w:r>
              <w:rPr>
                <w:color w:val="28323C"/>
                <w:sz w:val="18"/>
              </w:rPr>
              <w:t>krótkie wycofanie, potem powrót do rytuałów</w:t>
            </w:r>
          </w:p>
        </w:tc>
        <w:tc>
          <w:tcPr>
            <w:tcW w:type="dxa" w:w="3402"/>
            <w:shd w:fill="FFFFFF"/>
            <w:tcMar>
              <w:top w:w="115" w:type="dxa"/>
              <w:start w:w="120" w:type="dxa"/>
              <w:bottom w:w="115" w:type="dxa"/>
              <w:end w:w="120" w:type="dxa"/>
            </w:tcMar>
            <w:vAlign w:val="center"/>
          </w:tcPr>
          <w:p>
            <w:pPr>
              <w:jc w:val="left"/>
            </w:pPr>
            <w:r>
              <w:rPr>
                <w:color w:val="28323C"/>
                <w:sz w:val="18"/>
              </w:rPr>
              <w:t>utrzymujące się ukrywanie i czujność</w:t>
            </w:r>
          </w:p>
        </w:tc>
      </w:tr>
      <w:tr>
        <w:tc>
          <w:tcPr>
            <w:tcW w:type="dxa" w:w="1928"/>
            <w:shd w:fill="F4F5F7"/>
            <w:tcMar>
              <w:top w:w="115" w:type="dxa"/>
              <w:start w:w="120" w:type="dxa"/>
              <w:bottom w:w="115" w:type="dxa"/>
              <w:end w:w="120" w:type="dxa"/>
            </w:tcMar>
            <w:vAlign w:val="center"/>
          </w:tcPr>
          <w:p>
            <w:pPr>
              <w:jc w:val="center"/>
            </w:pPr>
            <w:r>
              <w:rPr>
                <w:color w:val="28323C"/>
                <w:sz w:val="18"/>
              </w:rPr>
              <w:t>Apetyt</w:t>
            </w:r>
          </w:p>
        </w:tc>
        <w:tc>
          <w:tcPr>
            <w:tcW w:type="dxa" w:w="3402"/>
            <w:shd w:fill="FFFFFF"/>
            <w:tcMar>
              <w:top w:w="115" w:type="dxa"/>
              <w:start w:w="120" w:type="dxa"/>
              <w:bottom w:w="115" w:type="dxa"/>
              <w:end w:w="120" w:type="dxa"/>
            </w:tcMar>
            <w:vAlign w:val="center"/>
          </w:tcPr>
          <w:p>
            <w:pPr>
              <w:jc w:val="left"/>
            </w:pPr>
            <w:r>
              <w:rPr>
                <w:color w:val="28323C"/>
                <w:sz w:val="18"/>
              </w:rPr>
              <w:t>zwykle zachowany lub lekko obniżony tylko przejściowo</w:t>
            </w:r>
          </w:p>
        </w:tc>
        <w:tc>
          <w:tcPr>
            <w:tcW w:type="dxa" w:w="3402"/>
            <w:shd w:fill="FFFFFF"/>
            <w:tcMar>
              <w:top w:w="115" w:type="dxa"/>
              <w:start w:w="120" w:type="dxa"/>
              <w:bottom w:w="115" w:type="dxa"/>
              <w:end w:w="120" w:type="dxa"/>
            </w:tcMar>
            <w:vAlign w:val="center"/>
          </w:tcPr>
          <w:p>
            <w:pPr>
              <w:jc w:val="left"/>
            </w:pPr>
            <w:r>
              <w:rPr>
                <w:color w:val="28323C"/>
                <w:sz w:val="18"/>
              </w:rPr>
              <w:t>wyraźnie obniżony albo przesunięty na noc</w:t>
            </w:r>
          </w:p>
        </w:tc>
      </w:tr>
      <w:tr>
        <w:tc>
          <w:tcPr>
            <w:tcW w:type="dxa" w:w="1928"/>
            <w:shd w:fill="F4F5F7"/>
            <w:tcMar>
              <w:top w:w="115" w:type="dxa"/>
              <w:start w:w="120" w:type="dxa"/>
              <w:bottom w:w="115" w:type="dxa"/>
              <w:end w:w="120" w:type="dxa"/>
            </w:tcMar>
            <w:vAlign w:val="center"/>
          </w:tcPr>
          <w:p>
            <w:pPr>
              <w:jc w:val="center"/>
            </w:pPr>
            <w:r>
              <w:rPr>
                <w:color w:val="28323C"/>
                <w:sz w:val="18"/>
              </w:rPr>
              <w:t>Ruch po domu</w:t>
            </w:r>
          </w:p>
        </w:tc>
        <w:tc>
          <w:tcPr>
            <w:tcW w:type="dxa" w:w="3402"/>
            <w:shd w:fill="FFFFFF"/>
            <w:tcMar>
              <w:top w:w="115" w:type="dxa"/>
              <w:start w:w="120" w:type="dxa"/>
              <w:bottom w:w="115" w:type="dxa"/>
              <w:end w:w="120" w:type="dxa"/>
            </w:tcMar>
            <w:vAlign w:val="center"/>
          </w:tcPr>
          <w:p>
            <w:pPr>
              <w:jc w:val="left"/>
            </w:pPr>
            <w:r>
              <w:rPr>
                <w:color w:val="28323C"/>
                <w:sz w:val="18"/>
              </w:rPr>
              <w:t>stopniowo coraz swobodniejszy</w:t>
            </w:r>
          </w:p>
        </w:tc>
        <w:tc>
          <w:tcPr>
            <w:tcW w:type="dxa" w:w="3402"/>
            <w:shd w:fill="FFFFFF"/>
            <w:tcMar>
              <w:top w:w="115" w:type="dxa"/>
              <w:start w:w="120" w:type="dxa"/>
              <w:bottom w:w="115" w:type="dxa"/>
              <w:end w:w="120" w:type="dxa"/>
            </w:tcMar>
            <w:vAlign w:val="center"/>
          </w:tcPr>
          <w:p>
            <w:pPr>
              <w:jc w:val="left"/>
            </w:pPr>
            <w:r>
              <w:rPr>
                <w:color w:val="28323C"/>
                <w:sz w:val="18"/>
              </w:rPr>
              <w:t>przemykanie, zastyganie, unikanie przejść</w:t>
            </w:r>
          </w:p>
        </w:tc>
      </w:tr>
      <w:tr>
        <w:tc>
          <w:tcPr>
            <w:tcW w:type="dxa" w:w="1928"/>
            <w:shd w:fill="F4F5F7"/>
            <w:tcMar>
              <w:top w:w="115" w:type="dxa"/>
              <w:start w:w="120" w:type="dxa"/>
              <w:bottom w:w="115" w:type="dxa"/>
              <w:end w:w="120" w:type="dxa"/>
            </w:tcMar>
            <w:vAlign w:val="center"/>
          </w:tcPr>
          <w:p>
            <w:pPr>
              <w:jc w:val="center"/>
            </w:pPr>
            <w:r>
              <w:rPr>
                <w:color w:val="28323C"/>
                <w:sz w:val="18"/>
              </w:rPr>
              <w:t>Kontakt z opiekunem</w:t>
            </w:r>
          </w:p>
        </w:tc>
        <w:tc>
          <w:tcPr>
            <w:tcW w:type="dxa" w:w="3402"/>
            <w:shd w:fill="FFFFFF"/>
            <w:tcMar>
              <w:top w:w="115" w:type="dxa"/>
              <w:start w:w="120" w:type="dxa"/>
              <w:bottom w:w="115" w:type="dxa"/>
              <w:end w:w="120" w:type="dxa"/>
            </w:tcMar>
            <w:vAlign w:val="center"/>
          </w:tcPr>
          <w:p>
            <w:pPr>
              <w:jc w:val="left"/>
            </w:pPr>
            <w:r>
              <w:rPr>
                <w:color w:val="28323C"/>
                <w:sz w:val="18"/>
              </w:rPr>
              <w:t>ostrożny, ale stopniowo odzyskiwany</w:t>
            </w:r>
          </w:p>
        </w:tc>
        <w:tc>
          <w:tcPr>
            <w:tcW w:type="dxa" w:w="3402"/>
            <w:shd w:fill="FFFFFF"/>
            <w:tcMar>
              <w:top w:w="115" w:type="dxa"/>
              <w:start w:w="120" w:type="dxa"/>
              <w:bottom w:w="115" w:type="dxa"/>
              <w:end w:w="120" w:type="dxa"/>
            </w:tcMar>
            <w:vAlign w:val="center"/>
          </w:tcPr>
          <w:p>
            <w:pPr>
              <w:jc w:val="left"/>
            </w:pPr>
            <w:r>
              <w:rPr>
                <w:color w:val="28323C"/>
                <w:sz w:val="18"/>
              </w:rPr>
              <w:t>wycofanie, usztywnienie lub obrona</w:t>
            </w:r>
          </w:p>
        </w:tc>
      </w:tr>
      <w:tr>
        <w:tc>
          <w:tcPr>
            <w:tcW w:type="dxa" w:w="1928"/>
            <w:shd w:fill="F4F5F7"/>
            <w:tcMar>
              <w:top w:w="115" w:type="dxa"/>
              <w:start w:w="120" w:type="dxa"/>
              <w:bottom w:w="115" w:type="dxa"/>
              <w:end w:w="120" w:type="dxa"/>
            </w:tcMar>
            <w:vAlign w:val="center"/>
          </w:tcPr>
          <w:p>
            <w:pPr>
              <w:jc w:val="center"/>
            </w:pPr>
            <w:r>
              <w:rPr>
                <w:color w:val="28323C"/>
                <w:sz w:val="18"/>
              </w:rPr>
              <w:t>Zasoby</w:t>
            </w:r>
          </w:p>
        </w:tc>
        <w:tc>
          <w:tcPr>
            <w:tcW w:type="dxa" w:w="3402"/>
            <w:shd w:fill="FFFFFF"/>
            <w:tcMar>
              <w:top w:w="115" w:type="dxa"/>
              <w:start w:w="120" w:type="dxa"/>
              <w:bottom w:w="115" w:type="dxa"/>
              <w:end w:w="120" w:type="dxa"/>
            </w:tcMar>
            <w:vAlign w:val="center"/>
          </w:tcPr>
          <w:p>
            <w:pPr>
              <w:jc w:val="left"/>
            </w:pPr>
            <w:r>
              <w:rPr>
                <w:color w:val="28323C"/>
                <w:sz w:val="18"/>
              </w:rPr>
              <w:t>korzysta z nich po namyśle</w:t>
            </w:r>
          </w:p>
        </w:tc>
        <w:tc>
          <w:tcPr>
            <w:tcW w:type="dxa" w:w="3402"/>
            <w:shd w:fill="FFFFFF"/>
            <w:tcMar>
              <w:top w:w="115" w:type="dxa"/>
              <w:start w:w="120" w:type="dxa"/>
              <w:bottom w:w="115" w:type="dxa"/>
              <w:end w:w="120" w:type="dxa"/>
            </w:tcMar>
            <w:vAlign w:val="center"/>
          </w:tcPr>
          <w:p>
            <w:pPr>
              <w:jc w:val="left"/>
            </w:pPr>
            <w:r>
              <w:rPr>
                <w:color w:val="28323C"/>
                <w:sz w:val="18"/>
              </w:rPr>
              <w:t>rezygnuje z części zasobów albo czeka</w:t>
            </w:r>
          </w:p>
        </w:tc>
      </w:tr>
    </w:tbl>
    <w:p/>
    <w:p>
      <w:pPr>
        <w:spacing w:before="0" w:after="120" w:line="283" w:lineRule="auto"/>
      </w:pPr>
      <w:r>
        <w:rPr>
          <w:color w:val="28323C"/>
          <w:sz w:val="21"/>
        </w:rPr>
        <w:t>Jeśli po kilku dniach zamiast poprawy widzisz zawężanie świata kota, większą czujność albo przesuwanie podstawowych aktywności na noc, traktuj to jako sygnał, że potrzebna jest aktywna pomoc, a nie bierne czekanie.</w:t>
      </w:r>
    </w:p>
    <w:p>
      <w:pPr>
        <w:spacing w:before="140" w:after="60" w:line="252" w:lineRule="auto"/>
      </w:pPr>
      <w:r>
        <w:rPr>
          <w:rFonts w:ascii="Aptos Display" w:hAnsi="Aptos Display"/>
          <w:b/>
          <w:color w:val="334866"/>
          <w:sz w:val="28"/>
        </w:rPr>
        <w:t>3. Sześć oznak, że kot po zmianach żyje w przewlekłym napięciu</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vAlign w:val="center"/>
            <w:tcMar>
              <w:top w:w="115" w:type="dxa"/>
              <w:start w:w="125" w:type="dxa"/>
              <w:bottom w:w="115" w:type="dxa"/>
              <w:end w:w="125" w:type="dxa"/>
            </w:tcMar>
            <w:shd w:fill="EFF4FA"/>
          </w:tcPr>
          <w:p>
            <w:r>
              <w:rPr>
                <w:b/>
                <w:color w:val="334866"/>
                <w:sz w:val="21"/>
              </w:rPr>
              <w:t>1. Długie przebywanie w kryjówce</w:t>
            </w:r>
          </w:p>
          <w:p>
            <w:pPr>
              <w:spacing w:before="40" w:after="0" w:line="259" w:lineRule="auto"/>
            </w:pPr>
            <w:r>
              <w:rPr>
                <w:color w:val="28323C"/>
                <w:sz w:val="19"/>
              </w:rPr>
              <w:t>Kot spędza wiele godzin pod łóżkiem, za sofą lub wysoko, ale bez spokojnej eksploracji reszty domu.</w:t>
            </w:r>
          </w:p>
        </w:tc>
        <w:tc>
          <w:tcPr>
            <w:tcW w:type="dxa" w:w="5100"/>
            <w:vAlign w:val="center"/>
            <w:tcMar>
              <w:top w:w="115" w:type="dxa"/>
              <w:start w:w="125" w:type="dxa"/>
              <w:bottom w:w="115" w:type="dxa"/>
              <w:end w:w="125" w:type="dxa"/>
            </w:tcMar>
            <w:shd w:fill="EEF6F0"/>
          </w:tcPr>
          <w:p>
            <w:r>
              <w:rPr>
                <w:b/>
                <w:color w:val="334866"/>
                <w:sz w:val="21"/>
              </w:rPr>
              <w:t>2. Wzmożona czujność</w:t>
            </w:r>
          </w:p>
          <w:p>
            <w:pPr>
              <w:spacing w:before="40" w:after="0" w:line="259" w:lineRule="auto"/>
            </w:pPr>
            <w:r>
              <w:rPr>
                <w:color w:val="28323C"/>
                <w:sz w:val="19"/>
              </w:rPr>
              <w:t>Nasłuchiwanie, zastyganie, rozszerzone źrenice, niepewne przekraczanie progów i otwartych przestrzeni.</w:t>
            </w:r>
          </w:p>
        </w:tc>
      </w:tr>
      <w:tr>
        <w:tc>
          <w:tcPr>
            <w:tcW w:type="dxa" w:w="5100"/>
            <w:vAlign w:val="center"/>
            <w:tcMar>
              <w:top w:w="115" w:type="dxa"/>
              <w:start w:w="125" w:type="dxa"/>
              <w:bottom w:w="115" w:type="dxa"/>
              <w:end w:w="125" w:type="dxa"/>
            </w:tcMar>
            <w:shd w:fill="F8F1E7"/>
          </w:tcPr>
          <w:p>
            <w:r>
              <w:rPr>
                <w:b/>
                <w:color w:val="334866"/>
                <w:sz w:val="21"/>
              </w:rPr>
              <w:t>3. Zmiana rytmu dnia</w:t>
            </w:r>
          </w:p>
          <w:p>
            <w:pPr>
              <w:spacing w:before="40" w:after="0" w:line="259" w:lineRule="auto"/>
            </w:pPr>
            <w:r>
              <w:rPr>
                <w:color w:val="28323C"/>
                <w:sz w:val="19"/>
              </w:rPr>
              <w:t>Jedzenie, picie, kuweta i eksploracja przesuwają się na noc lub na momenty pełnej ciszy.</w:t>
            </w:r>
          </w:p>
        </w:tc>
        <w:tc>
          <w:tcPr>
            <w:tcW w:type="dxa" w:w="5100"/>
            <w:vAlign w:val="center"/>
            <w:tcMar>
              <w:top w:w="115" w:type="dxa"/>
              <w:start w:w="125" w:type="dxa"/>
              <w:bottom w:w="115" w:type="dxa"/>
              <w:end w:w="125" w:type="dxa"/>
            </w:tcMar>
            <w:shd w:fill="F8EEF3"/>
          </w:tcPr>
          <w:p>
            <w:r>
              <w:rPr>
                <w:b/>
                <w:color w:val="334866"/>
                <w:sz w:val="21"/>
              </w:rPr>
              <w:t>4. Ograniczenie kontaktu</w:t>
            </w:r>
          </w:p>
          <w:p>
            <w:pPr>
              <w:spacing w:before="40" w:after="0" w:line="259" w:lineRule="auto"/>
            </w:pPr>
            <w:r>
              <w:rPr>
                <w:color w:val="28323C"/>
                <w:sz w:val="19"/>
              </w:rPr>
              <w:t>Kot szybciej wycofuje się z głaskania, zabawy i obecności domowników albo kończy interakcję nagle.</w:t>
            </w:r>
          </w:p>
        </w:tc>
      </w:tr>
      <w:tr>
        <w:tc>
          <w:tcPr>
            <w:tcW w:type="dxa" w:w="5100"/>
            <w:vAlign w:val="center"/>
            <w:tcMar>
              <w:top w:w="115" w:type="dxa"/>
              <w:start w:w="125" w:type="dxa"/>
              <w:bottom w:w="115" w:type="dxa"/>
              <w:end w:w="125" w:type="dxa"/>
            </w:tcMar>
            <w:shd w:fill="F1ECF8"/>
          </w:tcPr>
          <w:p>
            <w:r>
              <w:rPr>
                <w:b/>
                <w:color w:val="334866"/>
                <w:sz w:val="21"/>
              </w:rPr>
              <w:t>5. Zmiany biologiczne</w:t>
            </w:r>
          </w:p>
          <w:p>
            <w:pPr>
              <w:spacing w:before="40" w:after="0" w:line="259" w:lineRule="auto"/>
            </w:pPr>
            <w:r>
              <w:rPr>
                <w:color w:val="28323C"/>
                <w:sz w:val="19"/>
              </w:rPr>
              <w:t>Pojawiają się problemy z apetytem, snem, pielęgnacją, kuwetą lub nadmiernym wylizywaniem.</w:t>
            </w:r>
          </w:p>
        </w:tc>
        <w:tc>
          <w:tcPr>
            <w:tcW w:type="dxa" w:w="5100"/>
            <w:vAlign w:val="center"/>
            <w:tcMar>
              <w:top w:w="115" w:type="dxa"/>
              <w:start w:w="125" w:type="dxa"/>
              <w:bottom w:w="115" w:type="dxa"/>
              <w:end w:w="125" w:type="dxa"/>
            </w:tcMar>
            <w:shd w:fill="EFF4FA"/>
          </w:tcPr>
          <w:p>
            <w:r>
              <w:rPr>
                <w:b/>
                <w:color w:val="334866"/>
                <w:sz w:val="21"/>
              </w:rPr>
              <w:t>6. Utrwalony wzorzec po zmianie</w:t>
            </w:r>
          </w:p>
          <w:p>
            <w:pPr>
              <w:spacing w:before="40" w:after="0" w:line="259" w:lineRule="auto"/>
            </w:pPr>
            <w:r>
              <w:rPr>
                <w:color w:val="28323C"/>
                <w:sz w:val="19"/>
              </w:rPr>
              <w:t>Bodziec minął, ale kot nadal omija część domu, nie wraca do dawnych tras i zachowuje ostrożność.</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FF4FA"/>
            <w:tcMar>
              <w:top w:w="140" w:type="dxa"/>
              <w:start w:w="170" w:type="dxa"/>
              <w:bottom w:w="140" w:type="dxa"/>
              <w:end w:w="170" w:type="dxa"/>
            </w:tcMar>
          </w:tcPr>
          <w:p>
            <w:r>
              <w:rPr>
                <w:b/>
                <w:color w:val="334866"/>
                <w:sz w:val="22"/>
              </w:rPr>
              <w:t>Obserwuj całość obrazu</w:t>
            </w:r>
          </w:p>
          <w:p>
            <w:pPr>
              <w:spacing w:before="40" w:after="0" w:line="269" w:lineRule="auto"/>
            </w:pPr>
            <w:r>
              <w:rPr>
                <w:color w:val="28323C"/>
                <w:sz w:val="20"/>
              </w:rPr>
              <w:t>Nigdy nie oceniaj kota na podstawie jednego objawu. Znaczenie ma wzorzec zachowania w całym dniu oraz to, czy po zmianie zakres normalnego życia kota wraca do dawnej szerokości.</w:t>
            </w:r>
          </w:p>
        </w:tc>
      </w:tr>
    </w:tbl>
    <w:p/>
    <w:p>
      <w:pPr>
        <w:spacing w:before="140" w:after="60" w:line="252" w:lineRule="auto"/>
      </w:pPr>
      <w:r>
        <w:rPr>
          <w:rFonts w:ascii="Aptos Display" w:hAnsi="Aptos Display"/>
          <w:b/>
          <w:color w:val="334866"/>
          <w:sz w:val="28"/>
        </w:rPr>
        <w:t>4. Najczęstsze wyzwalacze po zmianach</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vAlign w:val="center"/>
            <w:tcMar>
              <w:top w:w="115" w:type="dxa"/>
              <w:start w:w="125" w:type="dxa"/>
              <w:bottom w:w="115" w:type="dxa"/>
              <w:end w:w="125" w:type="dxa"/>
            </w:tcMar>
            <w:shd w:fill="F8F1E7"/>
          </w:tcPr>
          <w:p>
            <w:r>
              <w:rPr>
                <w:b/>
                <w:color w:val="334866"/>
                <w:sz w:val="21"/>
              </w:rPr>
              <w:t>Przeprowadzka i nowe mieszkanie</w:t>
            </w:r>
          </w:p>
          <w:p>
            <w:pPr>
              <w:spacing w:before="40" w:after="0" w:line="259" w:lineRule="auto"/>
            </w:pPr>
            <w:r>
              <w:rPr>
                <w:color w:val="28323C"/>
                <w:sz w:val="19"/>
              </w:rPr>
              <w:t>utrata punktów orientacyjnych, nowe zapachy, akustyka i układ zasobów</w:t>
            </w:r>
          </w:p>
        </w:tc>
        <w:tc>
          <w:tcPr>
            <w:tcW w:type="dxa" w:w="5100"/>
            <w:vAlign w:val="center"/>
            <w:tcMar>
              <w:top w:w="115" w:type="dxa"/>
              <w:start w:w="125" w:type="dxa"/>
              <w:bottom w:w="115" w:type="dxa"/>
              <w:end w:w="125" w:type="dxa"/>
            </w:tcMar>
            <w:shd w:fill="F8EEF3"/>
          </w:tcPr>
          <w:p>
            <w:r>
              <w:rPr>
                <w:b/>
                <w:color w:val="334866"/>
                <w:sz w:val="21"/>
              </w:rPr>
              <w:t>Remont i hałas</w:t>
            </w:r>
          </w:p>
          <w:p>
            <w:pPr>
              <w:spacing w:before="40" w:after="0" w:line="259" w:lineRule="auto"/>
            </w:pPr>
            <w:r>
              <w:rPr>
                <w:color w:val="28323C"/>
                <w:sz w:val="19"/>
              </w:rPr>
              <w:t>wibracje, obce osoby, farby, zablokowane drogi odwrotu i chaos informacyjny</w:t>
            </w:r>
          </w:p>
        </w:tc>
      </w:tr>
      <w:tr>
        <w:tc>
          <w:tcPr>
            <w:tcW w:type="dxa" w:w="5100"/>
            <w:vAlign w:val="center"/>
            <w:tcMar>
              <w:top w:w="115" w:type="dxa"/>
              <w:start w:w="125" w:type="dxa"/>
              <w:bottom w:w="115" w:type="dxa"/>
              <w:end w:w="125" w:type="dxa"/>
            </w:tcMar>
            <w:shd w:fill="EEF6F0"/>
          </w:tcPr>
          <w:p>
            <w:r>
              <w:rPr>
                <w:b/>
                <w:color w:val="334866"/>
                <w:sz w:val="21"/>
              </w:rPr>
              <w:t>Nowy kot, pies lub dziecko</w:t>
            </w:r>
          </w:p>
          <w:p>
            <w:pPr>
              <w:spacing w:before="40" w:after="0" w:line="259" w:lineRule="auto"/>
            </w:pPr>
            <w:r>
              <w:rPr>
                <w:color w:val="28323C"/>
                <w:sz w:val="19"/>
              </w:rPr>
              <w:t>redystrybucja przestrzeni, inny rytm dnia i większa presja społeczna</w:t>
            </w:r>
          </w:p>
        </w:tc>
        <w:tc>
          <w:tcPr>
            <w:tcW w:type="dxa" w:w="5100"/>
            <w:vAlign w:val="center"/>
            <w:tcMar>
              <w:top w:w="115" w:type="dxa"/>
              <w:start w:w="125" w:type="dxa"/>
              <w:bottom w:w="115" w:type="dxa"/>
              <w:end w:w="125" w:type="dxa"/>
            </w:tcMar>
            <w:shd w:fill="EFF4FA"/>
          </w:tcPr>
          <w:p>
            <w:r>
              <w:rPr>
                <w:b/>
                <w:color w:val="334866"/>
                <w:sz w:val="21"/>
              </w:rPr>
              <w:t>Zmiana trybu życia domowników</w:t>
            </w:r>
          </w:p>
          <w:p>
            <w:pPr>
              <w:spacing w:before="40" w:after="0" w:line="259" w:lineRule="auto"/>
            </w:pPr>
            <w:r>
              <w:rPr>
                <w:color w:val="28323C"/>
                <w:sz w:val="19"/>
              </w:rPr>
              <w:t>praca zdalna, częste wideorozmowy, goście, nowy rozkład aktywności</w:t>
            </w:r>
          </w:p>
        </w:tc>
      </w:tr>
      <w:tr>
        <w:tc>
          <w:tcPr>
            <w:tcW w:type="dxa" w:w="5100"/>
            <w:vAlign w:val="center"/>
            <w:tcMar>
              <w:top w:w="115" w:type="dxa"/>
              <w:start w:w="125" w:type="dxa"/>
              <w:bottom w:w="115" w:type="dxa"/>
              <w:end w:w="125" w:type="dxa"/>
            </w:tcMar>
            <w:shd w:fill="F1ECF8"/>
          </w:tcPr>
          <w:p>
            <w:r>
              <w:rPr>
                <w:b/>
                <w:color w:val="334866"/>
                <w:sz w:val="21"/>
              </w:rPr>
              <w:t>Klinika lub pobyt poza domem</w:t>
            </w:r>
          </w:p>
          <w:p>
            <w:pPr>
              <w:spacing w:before="40" w:after="0" w:line="259" w:lineRule="auto"/>
            </w:pPr>
            <w:r>
              <w:rPr>
                <w:color w:val="28323C"/>
                <w:sz w:val="19"/>
              </w:rPr>
              <w:t>obcy zapach, większa ostrożność po powrocie i potrzeba dystansu</w:t>
            </w:r>
          </w:p>
        </w:tc>
        <w:tc>
          <w:tcPr>
            <w:tcW w:type="dxa" w:w="5100"/>
            <w:vAlign w:val="center"/>
            <w:tcMar>
              <w:top w:w="115" w:type="dxa"/>
              <w:start w:w="125" w:type="dxa"/>
              <w:bottom w:w="115" w:type="dxa"/>
              <w:end w:w="125" w:type="dxa"/>
            </w:tcMar>
            <w:shd w:fill="EFF4FA"/>
          </w:tcPr>
          <w:p>
            <w:r>
              <w:rPr>
                <w:b/>
                <w:color w:val="334866"/>
                <w:sz w:val="21"/>
              </w:rPr>
              <w:t>Mniejsze, ale skumulowane zmiany</w:t>
            </w:r>
          </w:p>
          <w:p>
            <w:pPr>
              <w:spacing w:before="40" w:after="0" w:line="259" w:lineRule="auto"/>
            </w:pPr>
            <w:r>
              <w:rPr>
                <w:color w:val="28323C"/>
                <w:sz w:val="19"/>
              </w:rPr>
              <w:t>nowy odkurzacz, detergent, kartony, przestawione meble, inna kuwe­ta lub miska</w:t>
            </w:r>
          </w:p>
        </w:tc>
      </w:tr>
    </w:tbl>
    <w:p/>
    <w:p>
      <w:pPr>
        <w:spacing w:before="140" w:after="60" w:line="252" w:lineRule="auto"/>
      </w:pPr>
      <w:r>
        <w:rPr>
          <w:rFonts w:ascii="Aptos Display" w:hAnsi="Aptos Display"/>
          <w:b/>
          <w:color w:val="334866"/>
          <w:sz w:val="28"/>
        </w:rPr>
        <w:t>5. Różnicowanie: stres, konflikt, ból czy choroba</w:t>
      </w:r>
    </w:p>
    <w:p>
      <w:pPr>
        <w:spacing w:before="0" w:after="120" w:line="283" w:lineRule="auto"/>
      </w:pPr>
      <w:r>
        <w:rPr>
          <w:color w:val="28323C"/>
          <w:sz w:val="21"/>
        </w:rPr>
        <w:t>Po zmianach łatwo uznać, że wszystko da się wyjaśnić samym stresem. To błąd. Część kotów chowa się dlatego, że środowisko stało się mniej przewidywalne. Część dlatego, że inny kot przejął przejście, miskę albo punkt obserwacyjny. Część dlatego, że ból ruchowy, problemy z pęcherzem, przewodem pokarmowym lub zębami obniżyły próg tolerancji na bodźce.</w:t>
      </w:r>
    </w:p>
    <w:tbl>
      <w:tblPr>
        <w:tblStyle w:val="TableGrid"/>
        <w:tblW w:type="auto" w:w="0"/>
        <w:jc w:val="center"/>
        <w:tblLook w:firstColumn="1" w:firstRow="1" w:lastColumn="0" w:lastRow="0" w:noHBand="0" w:noVBand="1" w:val="04A0"/>
      </w:tblPr>
      <w:tblGrid>
        <w:gridCol w:w="3400"/>
        <w:gridCol w:w="3400"/>
        <w:gridCol w:w="3400"/>
      </w:tblGrid>
      <w:tr>
        <w:tc>
          <w:tcPr>
            <w:tcW w:type="dxa" w:w="1984"/>
            <w:shd w:fill="DEE9F5"/>
            <w:tcMar>
              <w:top w:w="120" w:type="dxa"/>
              <w:start w:w="120" w:type="dxa"/>
              <w:bottom w:w="120" w:type="dxa"/>
              <w:end w:w="120" w:type="dxa"/>
            </w:tcMar>
            <w:vAlign w:val="center"/>
          </w:tcPr>
          <w:p>
            <w:pPr>
              <w:jc w:val="center"/>
            </w:pPr>
            <w:r>
              <w:rPr>
                <w:b/>
                <w:color w:val="334866"/>
                <w:sz w:val="19"/>
              </w:rPr>
              <w:t>Warstwa problemu</w:t>
            </w:r>
          </w:p>
        </w:tc>
        <w:tc>
          <w:tcPr>
            <w:tcW w:type="dxa" w:w="3345"/>
            <w:shd w:fill="DEE9F5"/>
            <w:tcMar>
              <w:top w:w="120" w:type="dxa"/>
              <w:start w:w="120" w:type="dxa"/>
              <w:bottom w:w="120" w:type="dxa"/>
              <w:end w:w="120" w:type="dxa"/>
            </w:tcMar>
            <w:vAlign w:val="center"/>
          </w:tcPr>
          <w:p>
            <w:pPr>
              <w:jc w:val="center"/>
            </w:pPr>
            <w:r>
              <w:rPr>
                <w:b/>
                <w:color w:val="334866"/>
                <w:sz w:val="19"/>
              </w:rPr>
              <w:t>Na co zwrócić uwagę</w:t>
            </w:r>
          </w:p>
        </w:tc>
        <w:tc>
          <w:tcPr>
            <w:tcW w:type="dxa" w:w="3402"/>
            <w:shd w:fill="DEE9F5"/>
            <w:tcMar>
              <w:top w:w="120" w:type="dxa"/>
              <w:start w:w="120" w:type="dxa"/>
              <w:bottom w:w="120" w:type="dxa"/>
              <w:end w:w="120" w:type="dxa"/>
            </w:tcMar>
            <w:vAlign w:val="center"/>
          </w:tcPr>
          <w:p>
            <w:pPr>
              <w:jc w:val="center"/>
            </w:pPr>
            <w:r>
              <w:rPr>
                <w:b/>
                <w:color w:val="334866"/>
                <w:sz w:val="19"/>
              </w:rPr>
              <w:t>Pierwszy kierunek działania</w:t>
            </w:r>
          </w:p>
        </w:tc>
      </w:tr>
      <w:tr>
        <w:tc>
          <w:tcPr>
            <w:tcW w:type="dxa" w:w="1984"/>
            <w:shd w:fill="F4F5F7"/>
            <w:tcMar>
              <w:top w:w="115" w:type="dxa"/>
              <w:start w:w="120" w:type="dxa"/>
              <w:bottom w:w="115" w:type="dxa"/>
              <w:end w:w="120" w:type="dxa"/>
            </w:tcMar>
            <w:vAlign w:val="center"/>
          </w:tcPr>
          <w:p>
            <w:pPr>
              <w:jc w:val="center"/>
            </w:pPr>
            <w:r>
              <w:rPr>
                <w:color w:val="28323C"/>
                <w:sz w:val="18"/>
              </w:rPr>
              <w:t>Stres środowiskowy</w:t>
            </w:r>
          </w:p>
        </w:tc>
        <w:tc>
          <w:tcPr>
            <w:tcW w:type="dxa" w:w="3345"/>
            <w:shd w:fill="FFFFFF"/>
            <w:tcMar>
              <w:top w:w="115" w:type="dxa"/>
              <w:start w:w="120" w:type="dxa"/>
              <w:bottom w:w="115" w:type="dxa"/>
              <w:end w:w="120" w:type="dxa"/>
            </w:tcMar>
            <w:vAlign w:val="center"/>
          </w:tcPr>
          <w:p>
            <w:pPr>
              <w:jc w:val="left"/>
            </w:pPr>
            <w:r>
              <w:rPr>
                <w:color w:val="28323C"/>
                <w:sz w:val="18"/>
              </w:rPr>
              <w:t>ukrywanie, czujność, nocne funkcjonowanie, poprawa w ciszy</w:t>
            </w:r>
          </w:p>
        </w:tc>
        <w:tc>
          <w:tcPr>
            <w:tcW w:type="dxa" w:w="3402"/>
            <w:shd w:fill="FFFFFF"/>
            <w:tcMar>
              <w:top w:w="115" w:type="dxa"/>
              <w:start w:w="120" w:type="dxa"/>
              <w:bottom w:w="115" w:type="dxa"/>
              <w:end w:w="120" w:type="dxa"/>
            </w:tcMar>
            <w:vAlign w:val="center"/>
          </w:tcPr>
          <w:p>
            <w:pPr>
              <w:jc w:val="left"/>
            </w:pPr>
            <w:r>
              <w:rPr>
                <w:color w:val="28323C"/>
                <w:sz w:val="18"/>
              </w:rPr>
              <w:t>ogranicz bodźce, odbuduj przewidywalność i strefę bazową</w:t>
            </w:r>
          </w:p>
        </w:tc>
      </w:tr>
      <w:tr>
        <w:tc>
          <w:tcPr>
            <w:tcW w:type="dxa" w:w="1984"/>
            <w:shd w:fill="F4F5F7"/>
            <w:tcMar>
              <w:top w:w="115" w:type="dxa"/>
              <w:start w:w="120" w:type="dxa"/>
              <w:bottom w:w="115" w:type="dxa"/>
              <w:end w:w="120" w:type="dxa"/>
            </w:tcMar>
            <w:vAlign w:val="center"/>
          </w:tcPr>
          <w:p>
            <w:pPr>
              <w:jc w:val="center"/>
            </w:pPr>
            <w:r>
              <w:rPr>
                <w:color w:val="28323C"/>
                <w:sz w:val="18"/>
              </w:rPr>
              <w:t>Konflikt społeczny</w:t>
            </w:r>
          </w:p>
        </w:tc>
        <w:tc>
          <w:tcPr>
            <w:tcW w:type="dxa" w:w="3345"/>
            <w:shd w:fill="FFFFFF"/>
            <w:tcMar>
              <w:top w:w="115" w:type="dxa"/>
              <w:start w:w="120" w:type="dxa"/>
              <w:bottom w:w="115" w:type="dxa"/>
              <w:end w:w="120" w:type="dxa"/>
            </w:tcMar>
            <w:vAlign w:val="center"/>
          </w:tcPr>
          <w:p>
            <w:pPr>
              <w:jc w:val="left"/>
            </w:pPr>
            <w:r>
              <w:rPr>
                <w:color w:val="28323C"/>
                <w:sz w:val="18"/>
              </w:rPr>
              <w:t>blokowanie przejść, ustępowanie zasobów, ruch nocą</w:t>
            </w:r>
          </w:p>
        </w:tc>
        <w:tc>
          <w:tcPr>
            <w:tcW w:type="dxa" w:w="3402"/>
            <w:shd w:fill="FFFFFF"/>
            <w:tcMar>
              <w:top w:w="115" w:type="dxa"/>
              <w:start w:w="120" w:type="dxa"/>
              <w:bottom w:w="115" w:type="dxa"/>
              <w:end w:w="120" w:type="dxa"/>
            </w:tcMar>
            <w:vAlign w:val="center"/>
          </w:tcPr>
          <w:p>
            <w:pPr>
              <w:jc w:val="left"/>
            </w:pPr>
            <w:r>
              <w:rPr>
                <w:color w:val="28323C"/>
                <w:sz w:val="18"/>
              </w:rPr>
              <w:t>rozprosz zasoby, sprawdź trasy i relacje między kotami</w:t>
            </w:r>
          </w:p>
        </w:tc>
      </w:tr>
      <w:tr>
        <w:tc>
          <w:tcPr>
            <w:tcW w:type="dxa" w:w="1984"/>
            <w:shd w:fill="F4F5F7"/>
            <w:tcMar>
              <w:top w:w="115" w:type="dxa"/>
              <w:start w:w="120" w:type="dxa"/>
              <w:bottom w:w="115" w:type="dxa"/>
              <w:end w:w="120" w:type="dxa"/>
            </w:tcMar>
            <w:vAlign w:val="center"/>
          </w:tcPr>
          <w:p>
            <w:pPr>
              <w:jc w:val="center"/>
            </w:pPr>
            <w:r>
              <w:rPr>
                <w:color w:val="28323C"/>
                <w:sz w:val="18"/>
              </w:rPr>
              <w:t>Ból / choroba</w:t>
            </w:r>
          </w:p>
        </w:tc>
        <w:tc>
          <w:tcPr>
            <w:tcW w:type="dxa" w:w="3345"/>
            <w:shd w:fill="FFFFFF"/>
            <w:tcMar>
              <w:top w:w="115" w:type="dxa"/>
              <w:start w:w="120" w:type="dxa"/>
              <w:bottom w:w="115" w:type="dxa"/>
              <w:end w:w="120" w:type="dxa"/>
            </w:tcMar>
            <w:vAlign w:val="center"/>
          </w:tcPr>
          <w:p>
            <w:pPr>
              <w:jc w:val="left"/>
            </w:pPr>
            <w:r>
              <w:rPr>
                <w:color w:val="28323C"/>
                <w:sz w:val="18"/>
              </w:rPr>
              <w:t>spadek apetytu, kulawizna, problemy z kuwetą, wymioty, niechęć do skakania</w:t>
            </w:r>
          </w:p>
        </w:tc>
        <w:tc>
          <w:tcPr>
            <w:tcW w:type="dxa" w:w="3402"/>
            <w:shd w:fill="FFFFFF"/>
            <w:tcMar>
              <w:top w:w="115" w:type="dxa"/>
              <w:start w:w="120" w:type="dxa"/>
              <w:bottom w:w="115" w:type="dxa"/>
              <w:end w:w="120" w:type="dxa"/>
            </w:tcMar>
            <w:vAlign w:val="center"/>
          </w:tcPr>
          <w:p>
            <w:pPr>
              <w:jc w:val="left"/>
            </w:pPr>
            <w:r>
              <w:rPr>
                <w:color w:val="28323C"/>
                <w:sz w:val="18"/>
              </w:rPr>
              <w:t>najpierw ścieżka weterynaryjna</w:t>
            </w:r>
          </w:p>
        </w:tc>
      </w:tr>
      <w:tr>
        <w:tc>
          <w:tcPr>
            <w:tcW w:type="dxa" w:w="1984"/>
            <w:shd w:fill="F4F5F7"/>
            <w:tcMar>
              <w:top w:w="115" w:type="dxa"/>
              <w:start w:w="120" w:type="dxa"/>
              <w:bottom w:w="115" w:type="dxa"/>
              <w:end w:w="120" w:type="dxa"/>
            </w:tcMar>
            <w:vAlign w:val="center"/>
          </w:tcPr>
          <w:p>
            <w:pPr>
              <w:jc w:val="center"/>
            </w:pPr>
            <w:r>
              <w:rPr>
                <w:color w:val="28323C"/>
                <w:sz w:val="18"/>
              </w:rPr>
              <w:t>Mieszany obraz</w:t>
            </w:r>
          </w:p>
        </w:tc>
        <w:tc>
          <w:tcPr>
            <w:tcW w:type="dxa" w:w="3345"/>
            <w:shd w:fill="FFFFFF"/>
            <w:tcMar>
              <w:top w:w="115" w:type="dxa"/>
              <w:start w:w="120" w:type="dxa"/>
              <w:bottom w:w="115" w:type="dxa"/>
              <w:end w:w="120" w:type="dxa"/>
            </w:tcMar>
            <w:vAlign w:val="center"/>
          </w:tcPr>
          <w:p>
            <w:pPr>
              <w:jc w:val="left"/>
            </w:pPr>
            <w:r>
              <w:rPr>
                <w:color w:val="28323C"/>
                <w:sz w:val="18"/>
              </w:rPr>
              <w:t>stres i objawy somatyczne pojawiają się razem</w:t>
            </w:r>
          </w:p>
        </w:tc>
        <w:tc>
          <w:tcPr>
            <w:tcW w:type="dxa" w:w="3402"/>
            <w:shd w:fill="FFFFFF"/>
            <w:tcMar>
              <w:top w:w="115" w:type="dxa"/>
              <w:start w:w="120" w:type="dxa"/>
              <w:bottom w:w="115" w:type="dxa"/>
              <w:end w:w="120" w:type="dxa"/>
            </w:tcMar>
            <w:vAlign w:val="center"/>
          </w:tcPr>
          <w:p>
            <w:pPr>
              <w:jc w:val="left"/>
            </w:pPr>
            <w:r>
              <w:rPr>
                <w:color w:val="28323C"/>
                <w:sz w:val="18"/>
              </w:rPr>
              <w:t>prowadź równolegle konsultację medyczną i środowiskową</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FF4FA"/>
            <w:tcMar>
              <w:top w:w="140" w:type="dxa"/>
              <w:start w:w="170" w:type="dxa"/>
              <w:bottom w:w="140" w:type="dxa"/>
              <w:end w:w="170" w:type="dxa"/>
            </w:tcMar>
          </w:tcPr>
          <w:p>
            <w:r>
              <w:rPr>
                <w:b/>
                <w:color w:val="334866"/>
                <w:sz w:val="22"/>
              </w:rPr>
              <w:t>Czerwone flagi</w:t>
            </w:r>
          </w:p>
          <w:p>
            <w:pPr>
              <w:spacing w:before="40" w:after="0" w:line="269" w:lineRule="auto"/>
            </w:pPr>
            <w:r>
              <w:rPr>
                <w:color w:val="28323C"/>
                <w:sz w:val="20"/>
              </w:rPr>
              <w:t>Nagła zmiana zachowania, ból przy ruchu, spadek apetytu, problemy kuwetowe, wymioty, biegunka, objawy neurologiczne lub szybka utrata masy ciała wymagają najpierw oceny weterynaryjnej.</w:t>
            </w:r>
          </w:p>
        </w:tc>
      </w:tr>
    </w:tbl>
    <w:p/>
    <w:p>
      <w:pPr>
        <w:spacing w:before="140" w:after="60" w:line="252" w:lineRule="auto"/>
      </w:pPr>
      <w:r>
        <w:rPr>
          <w:rFonts w:ascii="Aptos Display" w:hAnsi="Aptos Display"/>
          <w:b/>
          <w:color w:val="334866"/>
          <w:sz w:val="28"/>
        </w:rPr>
        <w:t>6. Pięć filarów zdrowego środowiska po zmianach</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6F0"/>
            <w:tcMar>
              <w:top w:w="140" w:type="dxa"/>
              <w:start w:w="150" w:type="dxa"/>
              <w:bottom w:w="120" w:type="dxa"/>
              <w:end w:w="150" w:type="dxa"/>
            </w:tcMar>
          </w:tcPr>
          <w:p>
            <w:r>
              <w:rPr>
                <w:b/>
                <w:color w:val="334866"/>
                <w:sz w:val="22"/>
              </w:rPr>
              <w:t>To właśnie te filary najczęściej trzeba odbudować po zmianie</w:t>
            </w:r>
          </w:p>
          <w:p>
            <w:pPr>
              <w:pStyle w:val="ListBullet"/>
              <w:spacing w:before="0" w:after="0" w:line="252" w:lineRule="auto"/>
            </w:pPr>
            <w:r>
              <w:rPr>
                <w:color w:val="28323C"/>
                <w:sz w:val="20"/>
              </w:rPr>
              <w:t>poczucie bezpieczeństwa: kryjówki, spokojne strefy i możliwość wycofania się bez pościgu</w:t>
            </w:r>
          </w:p>
          <w:p>
            <w:pPr>
              <w:pStyle w:val="ListBullet"/>
              <w:spacing w:before="0" w:after="0" w:line="252" w:lineRule="auto"/>
            </w:pPr>
            <w:r>
              <w:rPr>
                <w:color w:val="28323C"/>
                <w:sz w:val="20"/>
              </w:rPr>
              <w:t>przewidywalność: stałe pory karmienia, podobne sekwencje dnia i mniej przypadkowego chaosu</w:t>
            </w:r>
          </w:p>
          <w:p>
            <w:pPr>
              <w:pStyle w:val="ListBullet"/>
              <w:spacing w:before="0" w:after="0" w:line="252" w:lineRule="auto"/>
            </w:pPr>
            <w:r>
              <w:rPr>
                <w:color w:val="28323C"/>
                <w:sz w:val="20"/>
              </w:rPr>
              <w:t>kontrola: możliwość wyboru między kryjówką, otwartym miejscem i punktem obserwacyjnym</w:t>
            </w:r>
          </w:p>
          <w:p>
            <w:pPr>
              <w:pStyle w:val="ListBullet"/>
              <w:spacing w:before="0" w:after="0" w:line="252" w:lineRule="auto"/>
            </w:pPr>
            <w:r>
              <w:rPr>
                <w:color w:val="28323C"/>
                <w:sz w:val="20"/>
              </w:rPr>
              <w:t>rozproszone zasoby: miski, kuwety, drapaki, legowiska i drogi przejścia w kilku punktach domu</w:t>
            </w:r>
          </w:p>
          <w:p>
            <w:pPr>
              <w:pStyle w:val="ListBullet"/>
              <w:spacing w:before="0" w:after="0" w:line="252" w:lineRule="auto"/>
            </w:pPr>
            <w:r>
              <w:rPr>
                <w:color w:val="28323C"/>
                <w:sz w:val="20"/>
              </w:rPr>
              <w:t>zachowania gatunkowo typowe: spokojna eksploracja, pion, obserwacja, zabawa i rytuały łowieckie</w:t>
            </w:r>
          </w:p>
        </w:tc>
      </w:tr>
    </w:tbl>
    <w:p/>
    <w:p>
      <w:pPr>
        <w:spacing w:before="0" w:after="120" w:line="283" w:lineRule="auto"/>
      </w:pPr>
      <w:r>
        <w:rPr>
          <w:color w:val="28323C"/>
          <w:sz w:val="21"/>
        </w:rPr>
        <w:t>Jedna dobra kryjówka nie wystarczy, jeśli dojście do niej kontroluje inny kot albo głośny korytarz. Podobnie jedna atrakcyjna półka nie pomaga, jeśli kot musi do niej przejść przez strefę ryzyka. W praktyce najwięcej zmienia rozproszenie zasobów i skrócenie drogi do bezpieczeństwa.</w:t>
      </w:r>
    </w:p>
    <w:p>
      <w:pPr>
        <w:spacing w:before="140" w:after="60" w:line="252" w:lineRule="auto"/>
      </w:pPr>
      <w:r>
        <w:rPr>
          <w:rFonts w:ascii="Aptos Display" w:hAnsi="Aptos Display"/>
          <w:b/>
          <w:color w:val="334866"/>
          <w:sz w:val="28"/>
        </w:rPr>
        <w:t>7. Plan pierwszych 72 godzin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vAlign w:val="center"/>
            <w:tcMar>
              <w:top w:w="115" w:type="dxa"/>
              <w:start w:w="125" w:type="dxa"/>
              <w:bottom w:w="115" w:type="dxa"/>
              <w:end w:w="125" w:type="dxa"/>
            </w:tcMar>
            <w:shd w:fill="EFF4FA"/>
          </w:tcPr>
          <w:p>
            <w:r>
              <w:rPr>
                <w:b/>
                <w:color w:val="334866"/>
                <w:sz w:val="21"/>
              </w:rPr>
              <w:t>1. Strefa bazowa</w:t>
            </w:r>
          </w:p>
          <w:p>
            <w:pPr>
              <w:spacing w:before="40" w:after="0" w:line="259" w:lineRule="auto"/>
            </w:pPr>
            <w:r>
              <w:rPr>
                <w:color w:val="28323C"/>
                <w:sz w:val="19"/>
              </w:rPr>
              <w:t>Przygotuj spokojne miejsce z wodą, jedzeniem, kuwetą, drapakiem, kryjówką i miękkim legowiskiem.</w:t>
            </w:r>
          </w:p>
        </w:tc>
        <w:tc>
          <w:tcPr>
            <w:tcW w:type="dxa" w:w="5100"/>
            <w:vAlign w:val="center"/>
            <w:tcMar>
              <w:top w:w="115" w:type="dxa"/>
              <w:start w:w="125" w:type="dxa"/>
              <w:bottom w:w="115" w:type="dxa"/>
              <w:end w:w="125" w:type="dxa"/>
            </w:tcMar>
            <w:shd w:fill="F8F1E7"/>
          </w:tcPr>
          <w:p>
            <w:r>
              <w:rPr>
                <w:b/>
                <w:color w:val="334866"/>
                <w:sz w:val="21"/>
              </w:rPr>
              <w:t>2. Mniej bodźców</w:t>
            </w:r>
          </w:p>
          <w:p>
            <w:pPr>
              <w:spacing w:before="40" w:after="0" w:line="259" w:lineRule="auto"/>
            </w:pPr>
            <w:r>
              <w:rPr>
                <w:color w:val="28323C"/>
                <w:sz w:val="19"/>
              </w:rPr>
              <w:t>Ogranicz hałas, intensywny kontakt, nowe zapachy i przypadkowe „testowanie odwagi” kota.</w:t>
            </w:r>
          </w:p>
        </w:tc>
      </w:tr>
      <w:tr>
        <w:tc>
          <w:tcPr>
            <w:tcW w:type="dxa" w:w="5100"/>
            <w:vAlign w:val="center"/>
            <w:tcMar>
              <w:top w:w="115" w:type="dxa"/>
              <w:start w:w="125" w:type="dxa"/>
              <w:bottom w:w="115" w:type="dxa"/>
              <w:end w:w="125" w:type="dxa"/>
            </w:tcMar>
            <w:shd w:fill="EEF6F0"/>
          </w:tcPr>
          <w:p>
            <w:r>
              <w:rPr>
                <w:b/>
                <w:color w:val="334866"/>
                <w:sz w:val="21"/>
              </w:rPr>
              <w:t>3. Krótki kontakt</w:t>
            </w:r>
          </w:p>
          <w:p>
            <w:pPr>
              <w:spacing w:before="40" w:after="0" w:line="259" w:lineRule="auto"/>
            </w:pPr>
            <w:r>
              <w:rPr>
                <w:color w:val="28323C"/>
                <w:sz w:val="19"/>
              </w:rPr>
              <w:t>Wchodź spokojnie, mów łagodnie, usiądź w dystansie, nie wyciągaj z kryjówki i nie narzucaj dotyku.</w:t>
            </w:r>
          </w:p>
        </w:tc>
        <w:tc>
          <w:tcPr>
            <w:tcW w:type="dxa" w:w="5100"/>
            <w:vAlign w:val="center"/>
            <w:tcMar>
              <w:top w:w="115" w:type="dxa"/>
              <w:start w:w="125" w:type="dxa"/>
              <w:bottom w:w="115" w:type="dxa"/>
              <w:end w:w="125" w:type="dxa"/>
            </w:tcMar>
            <w:shd w:fill="F1ECF8"/>
          </w:tcPr>
          <w:p>
            <w:r>
              <w:rPr>
                <w:b/>
                <w:color w:val="334866"/>
                <w:sz w:val="21"/>
              </w:rPr>
              <w:t>4. Zbieranie danych</w:t>
            </w:r>
          </w:p>
          <w:p>
            <w:pPr>
              <w:spacing w:before="40" w:after="0" w:line="259" w:lineRule="auto"/>
            </w:pPr>
            <w:r>
              <w:rPr>
                <w:color w:val="28323C"/>
                <w:sz w:val="19"/>
              </w:rPr>
              <w:t>Notuj godziny wychodzenia, apetyt, kuwetę, miejsca zastygania i to, co realnie obniża napięcie.</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F1E7"/>
            <w:tcMar>
              <w:top w:w="140" w:type="dxa"/>
              <w:start w:w="170" w:type="dxa"/>
              <w:bottom w:w="140" w:type="dxa"/>
              <w:end w:w="170" w:type="dxa"/>
            </w:tcMar>
          </w:tcPr>
          <w:p>
            <w:r>
              <w:rPr>
                <w:b/>
                <w:color w:val="334866"/>
                <w:sz w:val="22"/>
              </w:rPr>
              <w:t>Zasada pierwszych trzech dni</w:t>
            </w:r>
          </w:p>
          <w:p>
            <w:pPr>
              <w:spacing w:before="40" w:after="0" w:line="269" w:lineRule="auto"/>
            </w:pPr>
            <w:r>
              <w:rPr>
                <w:color w:val="28323C"/>
                <w:sz w:val="20"/>
              </w:rPr>
              <w:t>W tym okresie opiekun zbiera dane i osłania kota od nadmiaru bodźców. Mniej znaczy więcej. Celem nie jest szybka aktywizacja, lecz odzyskanie poczucia kontroli nad otoczeniem.</w:t>
            </w:r>
          </w:p>
        </w:tc>
      </w:tr>
    </w:tbl>
    <w:p/>
    <w:p>
      <w:pPr>
        <w:spacing w:before="140" w:after="60" w:line="252" w:lineRule="auto"/>
      </w:pPr>
      <w:r>
        <w:rPr>
          <w:rFonts w:ascii="Aptos Display" w:hAnsi="Aptos Display"/>
          <w:b/>
          <w:color w:val="334866"/>
          <w:sz w:val="28"/>
        </w:rPr>
        <w:t>8. Plan pracy na 14 dni</w:t>
      </w:r>
    </w:p>
    <w:tbl>
      <w:tblPr>
        <w:tblStyle w:val="TableGrid"/>
        <w:tblW w:type="auto" w:w="0"/>
        <w:jc w:val="center"/>
        <w:tblLook w:firstColumn="1" w:firstRow="1" w:lastColumn="0" w:lastRow="0" w:noHBand="0" w:noVBand="1" w:val="04A0"/>
      </w:tblPr>
      <w:tblGrid>
        <w:gridCol w:w="5100"/>
        <w:gridCol w:w="5100"/>
      </w:tblGrid>
      <w:tr>
        <w:tc>
          <w:tcPr>
            <w:tcW w:type="dxa" w:w="1757"/>
            <w:shd w:fill="DEE9F5"/>
            <w:tcMar>
              <w:top w:w="120" w:type="dxa"/>
              <w:start w:w="120" w:type="dxa"/>
              <w:bottom w:w="120" w:type="dxa"/>
              <w:end w:w="120" w:type="dxa"/>
            </w:tcMar>
            <w:vAlign w:val="center"/>
          </w:tcPr>
          <w:p>
            <w:pPr>
              <w:jc w:val="center"/>
            </w:pPr>
            <w:r>
              <w:rPr>
                <w:b/>
                <w:color w:val="334866"/>
                <w:sz w:val="19"/>
              </w:rPr>
              <w:t>Etap</w:t>
            </w:r>
          </w:p>
        </w:tc>
        <w:tc>
          <w:tcPr>
            <w:tcW w:type="dxa" w:w="6973"/>
            <w:shd w:fill="DEE9F5"/>
            <w:tcMar>
              <w:top w:w="120" w:type="dxa"/>
              <w:start w:w="120" w:type="dxa"/>
              <w:bottom w:w="120" w:type="dxa"/>
              <w:end w:w="120" w:type="dxa"/>
            </w:tcMar>
            <w:vAlign w:val="center"/>
          </w:tcPr>
          <w:p>
            <w:pPr>
              <w:jc w:val="center"/>
            </w:pPr>
            <w:r>
              <w:rPr>
                <w:b/>
                <w:color w:val="334866"/>
                <w:sz w:val="19"/>
              </w:rPr>
              <w:t>Na czym się skupiasz</w:t>
            </w:r>
          </w:p>
        </w:tc>
      </w:tr>
      <w:tr>
        <w:tc>
          <w:tcPr>
            <w:tcW w:type="dxa" w:w="1757"/>
            <w:shd w:fill="F4F5F7"/>
            <w:tcMar>
              <w:top w:w="115" w:type="dxa"/>
              <w:start w:w="120" w:type="dxa"/>
              <w:bottom w:w="115" w:type="dxa"/>
              <w:end w:w="120" w:type="dxa"/>
            </w:tcMar>
            <w:vAlign w:val="center"/>
          </w:tcPr>
          <w:p>
            <w:pPr>
              <w:jc w:val="center"/>
            </w:pPr>
            <w:r>
              <w:rPr>
                <w:color w:val="28323C"/>
                <w:sz w:val="18"/>
              </w:rPr>
              <w:t>Dni 1–3</w:t>
            </w:r>
          </w:p>
        </w:tc>
        <w:tc>
          <w:tcPr>
            <w:tcW w:type="dxa" w:w="6973"/>
            <w:shd w:fill="FFFFFF"/>
            <w:tcMar>
              <w:top w:w="115" w:type="dxa"/>
              <w:start w:w="120" w:type="dxa"/>
              <w:bottom w:w="115" w:type="dxa"/>
              <w:end w:w="120" w:type="dxa"/>
            </w:tcMar>
            <w:vAlign w:val="center"/>
          </w:tcPr>
          <w:p>
            <w:pPr>
              <w:jc w:val="left"/>
            </w:pPr>
            <w:r>
              <w:rPr>
                <w:color w:val="28323C"/>
                <w:sz w:val="18"/>
              </w:rPr>
              <w:t>utrzymaj strefę bazową, monitoring i przewidywalny rytm dnia</w:t>
            </w:r>
          </w:p>
        </w:tc>
      </w:tr>
      <w:tr>
        <w:tc>
          <w:tcPr>
            <w:tcW w:type="dxa" w:w="1757"/>
            <w:shd w:fill="F4F5F7"/>
            <w:tcMar>
              <w:top w:w="115" w:type="dxa"/>
              <w:start w:w="120" w:type="dxa"/>
              <w:bottom w:w="115" w:type="dxa"/>
              <w:end w:w="120" w:type="dxa"/>
            </w:tcMar>
            <w:vAlign w:val="center"/>
          </w:tcPr>
          <w:p>
            <w:pPr>
              <w:jc w:val="center"/>
            </w:pPr>
            <w:r>
              <w:rPr>
                <w:color w:val="28323C"/>
                <w:sz w:val="18"/>
              </w:rPr>
              <w:t>Dni 4–6</w:t>
            </w:r>
          </w:p>
        </w:tc>
        <w:tc>
          <w:tcPr>
            <w:tcW w:type="dxa" w:w="6973"/>
            <w:shd w:fill="FFFFFF"/>
            <w:tcMar>
              <w:top w:w="115" w:type="dxa"/>
              <w:start w:w="120" w:type="dxa"/>
              <w:bottom w:w="115" w:type="dxa"/>
              <w:end w:w="120" w:type="dxa"/>
            </w:tcMar>
            <w:vAlign w:val="center"/>
          </w:tcPr>
          <w:p>
            <w:pPr>
              <w:jc w:val="left"/>
            </w:pPr>
            <w:r>
              <w:rPr>
                <w:color w:val="28323C"/>
                <w:sz w:val="18"/>
              </w:rPr>
              <w:t>dodaj drugą kryjówkę, osłonięte trasy przejścia i rozproszone zasoby</w:t>
            </w:r>
          </w:p>
        </w:tc>
      </w:tr>
      <w:tr>
        <w:tc>
          <w:tcPr>
            <w:tcW w:type="dxa" w:w="1757"/>
            <w:shd w:fill="F4F5F7"/>
            <w:tcMar>
              <w:top w:w="115" w:type="dxa"/>
              <w:start w:w="120" w:type="dxa"/>
              <w:bottom w:w="115" w:type="dxa"/>
              <w:end w:w="120" w:type="dxa"/>
            </w:tcMar>
            <w:vAlign w:val="center"/>
          </w:tcPr>
          <w:p>
            <w:pPr>
              <w:jc w:val="center"/>
            </w:pPr>
            <w:r>
              <w:rPr>
                <w:color w:val="28323C"/>
                <w:sz w:val="18"/>
              </w:rPr>
              <w:t>Dni 7–9</w:t>
            </w:r>
          </w:p>
        </w:tc>
        <w:tc>
          <w:tcPr>
            <w:tcW w:type="dxa" w:w="6973"/>
            <w:shd w:fill="FFFFFF"/>
            <w:tcMar>
              <w:top w:w="115" w:type="dxa"/>
              <w:start w:w="120" w:type="dxa"/>
              <w:bottom w:w="115" w:type="dxa"/>
              <w:end w:w="120" w:type="dxa"/>
            </w:tcMar>
            <w:vAlign w:val="center"/>
          </w:tcPr>
          <w:p>
            <w:pPr>
              <w:jc w:val="left"/>
            </w:pPr>
            <w:r>
              <w:rPr>
                <w:color w:val="28323C"/>
                <w:sz w:val="18"/>
              </w:rPr>
              <w:t>wprowadź krótkie sesje eksploracji i zabawy z dystansu, bez presji kontaktu</w:t>
            </w:r>
          </w:p>
        </w:tc>
      </w:tr>
      <w:tr>
        <w:tc>
          <w:tcPr>
            <w:tcW w:type="dxa" w:w="1757"/>
            <w:shd w:fill="F4F5F7"/>
            <w:tcMar>
              <w:top w:w="115" w:type="dxa"/>
              <w:start w:w="120" w:type="dxa"/>
              <w:bottom w:w="115" w:type="dxa"/>
              <w:end w:w="120" w:type="dxa"/>
            </w:tcMar>
            <w:vAlign w:val="center"/>
          </w:tcPr>
          <w:p>
            <w:pPr>
              <w:jc w:val="center"/>
            </w:pPr>
            <w:r>
              <w:rPr>
                <w:color w:val="28323C"/>
                <w:sz w:val="18"/>
              </w:rPr>
              <w:t>Dni 10–12</w:t>
            </w:r>
          </w:p>
        </w:tc>
        <w:tc>
          <w:tcPr>
            <w:tcW w:type="dxa" w:w="6973"/>
            <w:shd w:fill="FFFFFF"/>
            <w:tcMar>
              <w:top w:w="115" w:type="dxa"/>
              <w:start w:w="120" w:type="dxa"/>
              <w:bottom w:w="115" w:type="dxa"/>
              <w:end w:w="120" w:type="dxa"/>
            </w:tcMar>
            <w:vAlign w:val="center"/>
          </w:tcPr>
          <w:p>
            <w:pPr>
              <w:jc w:val="left"/>
            </w:pPr>
            <w:r>
              <w:rPr>
                <w:color w:val="28323C"/>
                <w:sz w:val="18"/>
              </w:rPr>
              <w:t>sprawdź, czy kot częściej sam wybiera wyjście z kryjówki i odzyskuje rytuały</w:t>
            </w:r>
          </w:p>
        </w:tc>
      </w:tr>
      <w:tr>
        <w:tc>
          <w:tcPr>
            <w:tcW w:type="dxa" w:w="1757"/>
            <w:shd w:fill="F4F5F7"/>
            <w:tcMar>
              <w:top w:w="115" w:type="dxa"/>
              <w:start w:w="120" w:type="dxa"/>
              <w:bottom w:w="115" w:type="dxa"/>
              <w:end w:w="120" w:type="dxa"/>
            </w:tcMar>
            <w:vAlign w:val="center"/>
          </w:tcPr>
          <w:p>
            <w:pPr>
              <w:jc w:val="center"/>
            </w:pPr>
            <w:r>
              <w:rPr>
                <w:color w:val="28323C"/>
                <w:sz w:val="18"/>
              </w:rPr>
              <w:t>Dni 13–14</w:t>
            </w:r>
          </w:p>
        </w:tc>
        <w:tc>
          <w:tcPr>
            <w:tcW w:type="dxa" w:w="6973"/>
            <w:shd w:fill="FFFFFF"/>
            <w:tcMar>
              <w:top w:w="115" w:type="dxa"/>
              <w:start w:w="120" w:type="dxa"/>
              <w:bottom w:w="115" w:type="dxa"/>
              <w:end w:w="120" w:type="dxa"/>
            </w:tcMar>
            <w:vAlign w:val="center"/>
          </w:tcPr>
          <w:p>
            <w:pPr>
              <w:jc w:val="left"/>
            </w:pPr>
            <w:r>
              <w:rPr>
                <w:color w:val="28323C"/>
                <w:sz w:val="18"/>
              </w:rPr>
              <w:t>oceń trend: czy świat kota się poszerza, czy nadal się kurczy</w:t>
            </w:r>
          </w:p>
        </w:tc>
      </w:tr>
    </w:tbl>
    <w:p/>
    <w:p>
      <w:pPr>
        <w:spacing w:before="0" w:after="120" w:line="283" w:lineRule="auto"/>
      </w:pPr>
      <w:r>
        <w:rPr>
          <w:color w:val="28323C"/>
          <w:sz w:val="21"/>
        </w:rPr>
        <w:t>Po 10–14 dniach szukaj trendu, a nie idealnego dnia. Najważniejsze pytania brzmią: czy kot częściej korzysta z domu w ciągu dnia, czy mniej zastyga, czy wraca do normalnych rytuałów i czy łatwiej kończy kontakt bez gwałtownego wycofania.</w:t>
      </w:r>
    </w:p>
    <w:p>
      <w:pPr>
        <w:spacing w:before="140" w:after="60" w:line="252" w:lineRule="auto"/>
      </w:pPr>
      <w:r>
        <w:rPr>
          <w:rFonts w:ascii="Aptos Display" w:hAnsi="Aptos Display"/>
          <w:b/>
          <w:color w:val="334866"/>
          <w:sz w:val="28"/>
        </w:rPr>
        <w:t>9. Czego nie robić</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EE9F5"/>
            <w:tcMar>
              <w:top w:w="120" w:type="dxa"/>
              <w:start w:w="120" w:type="dxa"/>
              <w:bottom w:w="120" w:type="dxa"/>
              <w:end w:w="120" w:type="dxa"/>
            </w:tcMar>
            <w:vAlign w:val="center"/>
          </w:tcPr>
          <w:p>
            <w:pPr>
              <w:jc w:val="center"/>
            </w:pPr>
            <w:r>
              <w:rPr>
                <w:b/>
                <w:color w:val="334866"/>
                <w:sz w:val="19"/>
              </w:rPr>
              <w:t>Błąd</w:t>
            </w:r>
          </w:p>
        </w:tc>
        <w:tc>
          <w:tcPr>
            <w:tcW w:type="dxa" w:w="3402"/>
            <w:shd w:fill="DEE9F5"/>
            <w:tcMar>
              <w:top w:w="120" w:type="dxa"/>
              <w:start w:w="120" w:type="dxa"/>
              <w:bottom w:w="120" w:type="dxa"/>
              <w:end w:w="120" w:type="dxa"/>
            </w:tcMar>
            <w:vAlign w:val="center"/>
          </w:tcPr>
          <w:p>
            <w:pPr>
              <w:jc w:val="center"/>
            </w:pPr>
            <w:r>
              <w:rPr>
                <w:b/>
                <w:color w:val="334866"/>
                <w:sz w:val="19"/>
              </w:rPr>
              <w:t>Dlaczego szkodzi</w:t>
            </w:r>
          </w:p>
        </w:tc>
        <w:tc>
          <w:tcPr>
            <w:tcW w:type="dxa" w:w="3061"/>
            <w:shd w:fill="DEE9F5"/>
            <w:tcMar>
              <w:top w:w="120" w:type="dxa"/>
              <w:start w:w="120" w:type="dxa"/>
              <w:bottom w:w="120" w:type="dxa"/>
              <w:end w:w="120" w:type="dxa"/>
            </w:tcMar>
            <w:vAlign w:val="center"/>
          </w:tcPr>
          <w:p>
            <w:pPr>
              <w:jc w:val="center"/>
            </w:pPr>
            <w:r>
              <w:rPr>
                <w:b/>
                <w:color w:val="334866"/>
                <w:sz w:val="19"/>
              </w:rPr>
              <w:t>Lepsza odpowiedź</w:t>
            </w:r>
          </w:p>
        </w:tc>
      </w:tr>
      <w:tr>
        <w:tc>
          <w:tcPr>
            <w:tcW w:type="dxa" w:w="2268"/>
            <w:shd w:fill="F4F5F7"/>
            <w:tcMar>
              <w:top w:w="115" w:type="dxa"/>
              <w:start w:w="120" w:type="dxa"/>
              <w:bottom w:w="115" w:type="dxa"/>
              <w:end w:w="120" w:type="dxa"/>
            </w:tcMar>
            <w:vAlign w:val="center"/>
          </w:tcPr>
          <w:p>
            <w:pPr>
              <w:jc w:val="center"/>
            </w:pPr>
            <w:r>
              <w:rPr>
                <w:color w:val="28323C"/>
                <w:sz w:val="18"/>
              </w:rPr>
              <w:t>Wyciąganie z kryjówki</w:t>
            </w:r>
          </w:p>
        </w:tc>
        <w:tc>
          <w:tcPr>
            <w:tcW w:type="dxa" w:w="3402"/>
            <w:shd w:fill="FFFFFF"/>
            <w:tcMar>
              <w:top w:w="115" w:type="dxa"/>
              <w:start w:w="120" w:type="dxa"/>
              <w:bottom w:w="115" w:type="dxa"/>
              <w:end w:w="120" w:type="dxa"/>
            </w:tcMar>
            <w:vAlign w:val="center"/>
          </w:tcPr>
          <w:p>
            <w:pPr>
              <w:jc w:val="left"/>
            </w:pPr>
            <w:r>
              <w:rPr>
                <w:color w:val="28323C"/>
                <w:sz w:val="18"/>
              </w:rPr>
              <w:t>pogłębia utratę kontroli i utrwala lęk</w:t>
            </w:r>
          </w:p>
        </w:tc>
        <w:tc>
          <w:tcPr>
            <w:tcW w:type="dxa" w:w="3061"/>
            <w:shd w:fill="FFFFFF"/>
            <w:tcMar>
              <w:top w:w="115" w:type="dxa"/>
              <w:start w:w="120" w:type="dxa"/>
              <w:bottom w:w="115" w:type="dxa"/>
              <w:end w:w="120" w:type="dxa"/>
            </w:tcMar>
            <w:vAlign w:val="center"/>
          </w:tcPr>
          <w:p>
            <w:pPr>
              <w:jc w:val="left"/>
            </w:pPr>
            <w:r>
              <w:rPr>
                <w:color w:val="28323C"/>
                <w:sz w:val="18"/>
              </w:rPr>
              <w:t>zostaw wybór, pracuj przez strefę bazową</w:t>
            </w:r>
          </w:p>
        </w:tc>
      </w:tr>
      <w:tr>
        <w:tc>
          <w:tcPr>
            <w:tcW w:type="dxa" w:w="2268"/>
            <w:shd w:fill="F4F5F7"/>
            <w:tcMar>
              <w:top w:w="115" w:type="dxa"/>
              <w:start w:w="120" w:type="dxa"/>
              <w:bottom w:w="115" w:type="dxa"/>
              <w:end w:w="120" w:type="dxa"/>
            </w:tcMar>
            <w:vAlign w:val="center"/>
          </w:tcPr>
          <w:p>
            <w:pPr>
              <w:jc w:val="center"/>
            </w:pPr>
            <w:r>
              <w:rPr>
                <w:color w:val="28323C"/>
                <w:sz w:val="18"/>
              </w:rPr>
              <w:t>Zbyt szybkie udostępnienie całego domu</w:t>
            </w:r>
          </w:p>
        </w:tc>
        <w:tc>
          <w:tcPr>
            <w:tcW w:type="dxa" w:w="3402"/>
            <w:shd w:fill="FFFFFF"/>
            <w:tcMar>
              <w:top w:w="115" w:type="dxa"/>
              <w:start w:w="120" w:type="dxa"/>
              <w:bottom w:w="115" w:type="dxa"/>
              <w:end w:w="120" w:type="dxa"/>
            </w:tcMar>
            <w:vAlign w:val="center"/>
          </w:tcPr>
          <w:p>
            <w:pPr>
              <w:jc w:val="left"/>
            </w:pPr>
            <w:r>
              <w:rPr>
                <w:color w:val="28323C"/>
                <w:sz w:val="18"/>
              </w:rPr>
              <w:t>zwiększa chaos informacyjny i ryzyko utknięcia w strefach konfliktu</w:t>
            </w:r>
          </w:p>
        </w:tc>
        <w:tc>
          <w:tcPr>
            <w:tcW w:type="dxa" w:w="3061"/>
            <w:shd w:fill="FFFFFF"/>
            <w:tcMar>
              <w:top w:w="115" w:type="dxa"/>
              <w:start w:w="120" w:type="dxa"/>
              <w:bottom w:w="115" w:type="dxa"/>
              <w:end w:w="120" w:type="dxa"/>
            </w:tcMar>
            <w:vAlign w:val="center"/>
          </w:tcPr>
          <w:p>
            <w:pPr>
              <w:jc w:val="left"/>
            </w:pPr>
            <w:r>
              <w:rPr>
                <w:color w:val="28323C"/>
                <w:sz w:val="18"/>
              </w:rPr>
              <w:t>otwieraj przestrzeń etapami</w:t>
            </w:r>
          </w:p>
        </w:tc>
      </w:tr>
      <w:tr>
        <w:tc>
          <w:tcPr>
            <w:tcW w:type="dxa" w:w="2268"/>
            <w:shd w:fill="F4F5F7"/>
            <w:tcMar>
              <w:top w:w="115" w:type="dxa"/>
              <w:start w:w="120" w:type="dxa"/>
              <w:bottom w:w="115" w:type="dxa"/>
              <w:end w:w="120" w:type="dxa"/>
            </w:tcMar>
            <w:vAlign w:val="center"/>
          </w:tcPr>
          <w:p>
            <w:pPr>
              <w:jc w:val="center"/>
            </w:pPr>
            <w:r>
              <w:rPr>
                <w:color w:val="28323C"/>
                <w:sz w:val="18"/>
              </w:rPr>
              <w:t>Nadmierne głaskanie „dla uspokojenia”</w:t>
            </w:r>
          </w:p>
        </w:tc>
        <w:tc>
          <w:tcPr>
            <w:tcW w:type="dxa" w:w="3402"/>
            <w:shd w:fill="FFFFFF"/>
            <w:tcMar>
              <w:top w:w="115" w:type="dxa"/>
              <w:start w:w="120" w:type="dxa"/>
              <w:bottom w:w="115" w:type="dxa"/>
              <w:end w:w="120" w:type="dxa"/>
            </w:tcMar>
            <w:vAlign w:val="center"/>
          </w:tcPr>
          <w:p>
            <w:pPr>
              <w:jc w:val="left"/>
            </w:pPr>
            <w:r>
              <w:rPr>
                <w:color w:val="28323C"/>
                <w:sz w:val="18"/>
              </w:rPr>
              <w:t>kontakt może stać się kolejnym przeciążeniem</w:t>
            </w:r>
          </w:p>
        </w:tc>
        <w:tc>
          <w:tcPr>
            <w:tcW w:type="dxa" w:w="3061"/>
            <w:shd w:fill="FFFFFF"/>
            <w:tcMar>
              <w:top w:w="115" w:type="dxa"/>
              <w:start w:w="120" w:type="dxa"/>
              <w:bottom w:w="115" w:type="dxa"/>
              <w:end w:w="120" w:type="dxa"/>
            </w:tcMar>
            <w:vAlign w:val="center"/>
          </w:tcPr>
          <w:p>
            <w:pPr>
              <w:jc w:val="left"/>
            </w:pPr>
            <w:r>
              <w:rPr>
                <w:color w:val="28323C"/>
                <w:sz w:val="18"/>
              </w:rPr>
              <w:t>krótki, przewidywalny kontakt tylko jeśli kot go wybiera</w:t>
            </w:r>
          </w:p>
        </w:tc>
      </w:tr>
      <w:tr>
        <w:tc>
          <w:tcPr>
            <w:tcW w:type="dxa" w:w="2268"/>
            <w:shd w:fill="F4F5F7"/>
            <w:tcMar>
              <w:top w:w="115" w:type="dxa"/>
              <w:start w:w="120" w:type="dxa"/>
              <w:bottom w:w="115" w:type="dxa"/>
              <w:end w:w="120" w:type="dxa"/>
            </w:tcMar>
            <w:vAlign w:val="center"/>
          </w:tcPr>
          <w:p>
            <w:pPr>
              <w:jc w:val="center"/>
            </w:pPr>
            <w:r>
              <w:rPr>
                <w:color w:val="28323C"/>
                <w:sz w:val="18"/>
              </w:rPr>
              <w:t>Ignorowanie objawów somatycznych</w:t>
            </w:r>
          </w:p>
        </w:tc>
        <w:tc>
          <w:tcPr>
            <w:tcW w:type="dxa" w:w="3402"/>
            <w:shd w:fill="FFFFFF"/>
            <w:tcMar>
              <w:top w:w="115" w:type="dxa"/>
              <w:start w:w="120" w:type="dxa"/>
              <w:bottom w:w="115" w:type="dxa"/>
              <w:end w:w="120" w:type="dxa"/>
            </w:tcMar>
            <w:vAlign w:val="center"/>
          </w:tcPr>
          <w:p>
            <w:pPr>
              <w:jc w:val="left"/>
            </w:pPr>
            <w:r>
              <w:rPr>
                <w:color w:val="28323C"/>
                <w:sz w:val="18"/>
              </w:rPr>
              <w:t>ból i choroba mogą wyglądać jak stres</w:t>
            </w:r>
          </w:p>
        </w:tc>
        <w:tc>
          <w:tcPr>
            <w:tcW w:type="dxa" w:w="3061"/>
            <w:shd w:fill="FFFFFF"/>
            <w:tcMar>
              <w:top w:w="115" w:type="dxa"/>
              <w:start w:w="120" w:type="dxa"/>
              <w:bottom w:w="115" w:type="dxa"/>
              <w:end w:w="120" w:type="dxa"/>
            </w:tcMar>
            <w:vAlign w:val="center"/>
          </w:tcPr>
          <w:p>
            <w:pPr>
              <w:jc w:val="left"/>
            </w:pPr>
            <w:r>
              <w:rPr>
                <w:color w:val="28323C"/>
                <w:sz w:val="18"/>
              </w:rPr>
              <w:t>przy czerwonych flagach zacznij od lekarza</w:t>
            </w:r>
          </w:p>
        </w:tc>
      </w:tr>
    </w:tbl>
    <w:p/>
    <w:p>
      <w:pPr>
        <w:spacing w:before="140" w:after="60" w:line="252" w:lineRule="auto"/>
      </w:pPr>
      <w:r>
        <w:rPr>
          <w:rFonts w:ascii="Aptos Display" w:hAnsi="Aptos Display"/>
          <w:b/>
          <w:color w:val="334866"/>
          <w:sz w:val="28"/>
        </w:rPr>
        <w:t>10. Kiedy potrzebna jest konsultacja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EEF3"/>
            <w:tcMar>
              <w:top w:w="140" w:type="dxa"/>
              <w:start w:w="150" w:type="dxa"/>
              <w:bottom w:w="120" w:type="dxa"/>
              <w:end w:w="150" w:type="dxa"/>
            </w:tcMar>
          </w:tcPr>
          <w:p>
            <w:r>
              <w:rPr>
                <w:b/>
                <w:color w:val="334866"/>
                <w:sz w:val="22"/>
              </w:rPr>
              <w:t>Wcześniejsza konsultacja skraca czas cierpienia kota i zmniejsza ryzyko utrwalenia niekorzystnego wzorca</w:t>
            </w:r>
          </w:p>
          <w:p>
            <w:pPr>
              <w:pStyle w:val="ListBullet"/>
              <w:spacing w:before="0" w:after="0" w:line="252" w:lineRule="auto"/>
            </w:pPr>
            <w:r>
              <w:rPr>
                <w:color w:val="28323C"/>
                <w:sz w:val="20"/>
              </w:rPr>
              <w:t>gdy po 7–10 dniach kot nadal niemal nie opuszcza kryjówki</w:t>
            </w:r>
          </w:p>
          <w:p>
            <w:pPr>
              <w:pStyle w:val="ListBullet"/>
              <w:spacing w:before="0" w:after="0" w:line="252" w:lineRule="auto"/>
            </w:pPr>
            <w:r>
              <w:rPr>
                <w:color w:val="28323C"/>
                <w:sz w:val="20"/>
              </w:rPr>
              <w:t>gdy pojawiają się problemy kuwetowe, spadek apetytu lub wyraźny ból przy ruchu</w:t>
            </w:r>
          </w:p>
          <w:p>
            <w:pPr>
              <w:pStyle w:val="ListBullet"/>
              <w:spacing w:before="0" w:after="0" w:line="252" w:lineRule="auto"/>
            </w:pPr>
            <w:r>
              <w:rPr>
                <w:color w:val="28323C"/>
                <w:sz w:val="20"/>
              </w:rPr>
              <w:t>gdy w domu są inne zwierzęta i istnieje ryzyko konfliktu albo blokowania zasobów</w:t>
            </w:r>
          </w:p>
          <w:p>
            <w:pPr>
              <w:pStyle w:val="ListBullet"/>
              <w:spacing w:before="0" w:after="0" w:line="252" w:lineRule="auto"/>
            </w:pPr>
            <w:r>
              <w:rPr>
                <w:color w:val="28323C"/>
                <w:sz w:val="20"/>
              </w:rPr>
              <w:t>gdy po zmianie obraz staje się mieszany i trudno odróżnić stres od warstwy medycznej</w:t>
            </w:r>
          </w:p>
          <w:p>
            <w:pPr>
              <w:pStyle w:val="ListBullet"/>
              <w:spacing w:before="0" w:after="0" w:line="252" w:lineRule="auto"/>
            </w:pPr>
            <w:r>
              <w:rPr>
                <w:color w:val="28323C"/>
                <w:sz w:val="20"/>
              </w:rPr>
              <w:t>gdy chcesz przygotować konsultację na podstawie mapy domu, nagrań i 7-dniowego dziennika</w:t>
            </w:r>
          </w:p>
        </w:tc>
      </w:tr>
    </w:tbl>
    <w:p/>
    <w:p>
      <w:pPr>
        <w:spacing w:before="140" w:after="60" w:line="252" w:lineRule="auto"/>
      </w:pPr>
      <w:r>
        <w:rPr>
          <w:rFonts w:ascii="Aptos Display" w:hAnsi="Aptos Display"/>
          <w:b/>
          <w:color w:val="334866"/>
          <w:sz w:val="28"/>
        </w:rPr>
        <w:t>11. Narzędzia praktyczne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FF4FA"/>
            <w:tcMar>
              <w:top w:w="140" w:type="dxa"/>
              <w:start w:w="170" w:type="dxa"/>
              <w:bottom w:w="140" w:type="dxa"/>
              <w:end w:w="170" w:type="dxa"/>
            </w:tcMar>
          </w:tcPr>
          <w:p>
            <w:r>
              <w:rPr>
                <w:b/>
                <w:color w:val="334866"/>
                <w:sz w:val="22"/>
              </w:rPr>
              <w:t>Kwestionariusz przed konsultacją</w:t>
            </w:r>
          </w:p>
          <w:p>
            <w:pPr>
              <w:spacing w:before="40" w:after="0" w:line="269" w:lineRule="auto"/>
            </w:pPr>
            <w:r>
              <w:rPr>
                <w:color w:val="28323C"/>
                <w:sz w:val="20"/>
              </w:rPr>
              <w:t>Zbierz: od kiedy kot się chowa, ile godzin spędza poza kryjówką, jakie zmiany zaszły w domu, czy pojawiły się objawy somatyczne, jak wyglądają zasoby, relacje i rytm doby. Przygotuj plan mieszkania, 3–5 krótkich nagrań zachowania oraz listę zmian z ostatnich 2–6 tygodni.</w:t>
            </w:r>
          </w:p>
        </w:tc>
      </w:tr>
    </w:tbl>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680"/>
            <w:shd w:fill="DEE9F5"/>
            <w:tcMar>
              <w:top w:w="120" w:type="dxa"/>
              <w:start w:w="120" w:type="dxa"/>
              <w:bottom w:w="120" w:type="dxa"/>
              <w:end w:w="120" w:type="dxa"/>
            </w:tcMar>
            <w:vAlign w:val="center"/>
          </w:tcPr>
          <w:p>
            <w:pPr>
              <w:jc w:val="center"/>
            </w:pPr>
            <w:r>
              <w:rPr>
                <w:b/>
                <w:color w:val="334866"/>
                <w:sz w:val="18"/>
              </w:rPr>
              <w:t>Dzień</w:t>
            </w:r>
          </w:p>
        </w:tc>
        <w:tc>
          <w:tcPr>
            <w:tcW w:type="dxa" w:w="1531"/>
            <w:shd w:fill="DEE9F5"/>
            <w:tcMar>
              <w:top w:w="120" w:type="dxa"/>
              <w:start w:w="120" w:type="dxa"/>
              <w:bottom w:w="120" w:type="dxa"/>
              <w:end w:w="120" w:type="dxa"/>
            </w:tcMar>
            <w:vAlign w:val="center"/>
          </w:tcPr>
          <w:p>
            <w:pPr>
              <w:jc w:val="center"/>
            </w:pPr>
            <w:r>
              <w:rPr>
                <w:b/>
                <w:color w:val="334866"/>
                <w:sz w:val="18"/>
              </w:rPr>
              <w:t>Czas poza kryjówką</w:t>
            </w:r>
          </w:p>
        </w:tc>
        <w:tc>
          <w:tcPr>
            <w:tcW w:type="dxa" w:w="1247"/>
            <w:shd w:fill="DEE9F5"/>
            <w:tcMar>
              <w:top w:w="120" w:type="dxa"/>
              <w:start w:w="120" w:type="dxa"/>
              <w:bottom w:w="120" w:type="dxa"/>
              <w:end w:w="120" w:type="dxa"/>
            </w:tcMar>
            <w:vAlign w:val="center"/>
          </w:tcPr>
          <w:p>
            <w:pPr>
              <w:jc w:val="center"/>
            </w:pPr>
            <w:r>
              <w:rPr>
                <w:b/>
                <w:color w:val="334866"/>
                <w:sz w:val="18"/>
              </w:rPr>
              <w:t>Apetyt</w:t>
            </w:r>
          </w:p>
        </w:tc>
        <w:tc>
          <w:tcPr>
            <w:tcW w:type="dxa" w:w="1191"/>
            <w:shd w:fill="DEE9F5"/>
            <w:tcMar>
              <w:top w:w="120" w:type="dxa"/>
              <w:start w:w="120" w:type="dxa"/>
              <w:bottom w:w="120" w:type="dxa"/>
              <w:end w:w="120" w:type="dxa"/>
            </w:tcMar>
            <w:vAlign w:val="center"/>
          </w:tcPr>
          <w:p>
            <w:pPr>
              <w:jc w:val="center"/>
            </w:pPr>
            <w:r>
              <w:rPr>
                <w:b/>
                <w:color w:val="334866"/>
                <w:sz w:val="18"/>
              </w:rPr>
              <w:t>Kuweta</w:t>
            </w:r>
          </w:p>
        </w:tc>
        <w:tc>
          <w:tcPr>
            <w:tcW w:type="dxa" w:w="2211"/>
            <w:shd w:fill="DEE9F5"/>
            <w:tcMar>
              <w:top w:w="120" w:type="dxa"/>
              <w:start w:w="120" w:type="dxa"/>
              <w:bottom w:w="120" w:type="dxa"/>
              <w:end w:w="120" w:type="dxa"/>
            </w:tcMar>
            <w:vAlign w:val="center"/>
          </w:tcPr>
          <w:p>
            <w:pPr>
              <w:jc w:val="center"/>
            </w:pPr>
            <w:r>
              <w:rPr>
                <w:b/>
                <w:color w:val="334866"/>
                <w:sz w:val="18"/>
              </w:rPr>
              <w:t>Eksploracja / zabawa</w:t>
            </w:r>
          </w:p>
        </w:tc>
        <w:tc>
          <w:tcPr>
            <w:tcW w:type="dxa" w:w="2154"/>
            <w:shd w:fill="DEE9F5"/>
            <w:tcMar>
              <w:top w:w="120" w:type="dxa"/>
              <w:start w:w="120" w:type="dxa"/>
              <w:bottom w:w="120" w:type="dxa"/>
              <w:end w:w="120" w:type="dxa"/>
            </w:tcMar>
            <w:vAlign w:val="center"/>
          </w:tcPr>
          <w:p>
            <w:pPr>
              <w:jc w:val="center"/>
            </w:pPr>
            <w:r>
              <w:rPr>
                <w:b/>
                <w:color w:val="334866"/>
                <w:sz w:val="18"/>
              </w:rPr>
              <w:t>Uwagi</w:t>
            </w:r>
          </w:p>
        </w:tc>
      </w:tr>
      <w:tr>
        <w:tc>
          <w:tcPr>
            <w:tcW w:type="dxa" w:w="680"/>
            <w:shd w:fill="F4F5F7"/>
            <w:tcMar>
              <w:top w:w="115" w:type="dxa"/>
              <w:start w:w="120" w:type="dxa"/>
              <w:bottom w:w="115" w:type="dxa"/>
              <w:end w:w="120" w:type="dxa"/>
            </w:tcMar>
            <w:vAlign w:val="center"/>
          </w:tcPr>
          <w:p>
            <w:pPr>
              <w:jc w:val="center"/>
            </w:pPr>
            <w:r>
              <w:rPr>
                <w:color w:val="28323C"/>
                <w:sz w:val="17"/>
              </w:rPr>
              <w:t>1</w:t>
            </w:r>
          </w:p>
        </w:tc>
        <w:tc>
          <w:tcPr>
            <w:tcW w:type="dxa" w:w="1531"/>
            <w:shd w:fill="FFFFFF"/>
            <w:tcMar>
              <w:top w:w="115" w:type="dxa"/>
              <w:start w:w="120" w:type="dxa"/>
              <w:bottom w:w="115" w:type="dxa"/>
              <w:end w:w="120" w:type="dxa"/>
            </w:tcMar>
            <w:vAlign w:val="center"/>
          </w:tcPr>
          <w:p>
            <w:pPr>
              <w:jc w:val="left"/>
            </w:pPr>
            <w:r>
              <w:rPr>
                <w:color w:val="28323C"/>
                <w:sz w:val="17"/>
              </w:rPr>
            </w:r>
          </w:p>
        </w:tc>
        <w:tc>
          <w:tcPr>
            <w:tcW w:type="dxa" w:w="1247"/>
            <w:shd w:fill="FFFFFF"/>
            <w:tcMar>
              <w:top w:w="115" w:type="dxa"/>
              <w:start w:w="120" w:type="dxa"/>
              <w:bottom w:w="115" w:type="dxa"/>
              <w:end w:w="120" w:type="dxa"/>
            </w:tcMar>
            <w:vAlign w:val="center"/>
          </w:tcPr>
          <w:p>
            <w:pPr>
              <w:jc w:val="left"/>
            </w:pPr>
            <w:r>
              <w:rPr>
                <w:color w:val="28323C"/>
                <w:sz w:val="17"/>
              </w:rPr>
            </w:r>
          </w:p>
        </w:tc>
        <w:tc>
          <w:tcPr>
            <w:tcW w:type="dxa" w:w="1191"/>
            <w:shd w:fill="FFFFFF"/>
            <w:tcMar>
              <w:top w:w="115" w:type="dxa"/>
              <w:start w:w="120" w:type="dxa"/>
              <w:bottom w:w="115" w:type="dxa"/>
              <w:end w:w="120" w:type="dxa"/>
            </w:tcMar>
            <w:vAlign w:val="center"/>
          </w:tcPr>
          <w:p>
            <w:pPr>
              <w:jc w:val="left"/>
            </w:pPr>
            <w:r>
              <w:rPr>
                <w:color w:val="28323C"/>
                <w:sz w:val="17"/>
              </w:rPr>
            </w:r>
          </w:p>
        </w:tc>
        <w:tc>
          <w:tcPr>
            <w:tcW w:type="dxa" w:w="2211"/>
            <w:shd w:fill="FFFFFF"/>
            <w:tcMar>
              <w:top w:w="115" w:type="dxa"/>
              <w:start w:w="120" w:type="dxa"/>
              <w:bottom w:w="115" w:type="dxa"/>
              <w:end w:w="120" w:type="dxa"/>
            </w:tcMar>
            <w:vAlign w:val="center"/>
          </w:tcPr>
          <w:p>
            <w:pPr>
              <w:jc w:val="left"/>
            </w:pPr>
            <w:r>
              <w:rPr>
                <w:color w:val="28323C"/>
                <w:sz w:val="17"/>
              </w:rPr>
            </w:r>
          </w:p>
        </w:tc>
        <w:tc>
          <w:tcPr>
            <w:tcW w:type="dxa" w:w="2154"/>
            <w:shd w:fill="FFFFFF"/>
            <w:tcMar>
              <w:top w:w="115" w:type="dxa"/>
              <w:start w:w="120" w:type="dxa"/>
              <w:bottom w:w="115" w:type="dxa"/>
              <w:end w:w="120" w:type="dxa"/>
            </w:tcMar>
            <w:vAlign w:val="center"/>
          </w:tcPr>
          <w:p>
            <w:pPr>
              <w:jc w:val="left"/>
            </w:pPr>
            <w:r>
              <w:rPr>
                <w:color w:val="28323C"/>
                <w:sz w:val="17"/>
              </w:rPr>
            </w:r>
          </w:p>
        </w:tc>
      </w:tr>
      <w:tr>
        <w:tc>
          <w:tcPr>
            <w:tcW w:type="dxa" w:w="680"/>
            <w:shd w:fill="F4F5F7"/>
            <w:tcMar>
              <w:top w:w="115" w:type="dxa"/>
              <w:start w:w="120" w:type="dxa"/>
              <w:bottom w:w="115" w:type="dxa"/>
              <w:end w:w="120" w:type="dxa"/>
            </w:tcMar>
            <w:vAlign w:val="center"/>
          </w:tcPr>
          <w:p>
            <w:pPr>
              <w:jc w:val="center"/>
            </w:pPr>
            <w:r>
              <w:rPr>
                <w:color w:val="28323C"/>
                <w:sz w:val="17"/>
              </w:rPr>
              <w:t>2</w:t>
            </w:r>
          </w:p>
        </w:tc>
        <w:tc>
          <w:tcPr>
            <w:tcW w:type="dxa" w:w="1531"/>
            <w:shd w:fill="FFFFFF"/>
            <w:tcMar>
              <w:top w:w="115" w:type="dxa"/>
              <w:start w:w="120" w:type="dxa"/>
              <w:bottom w:w="115" w:type="dxa"/>
              <w:end w:w="120" w:type="dxa"/>
            </w:tcMar>
            <w:vAlign w:val="center"/>
          </w:tcPr>
          <w:p>
            <w:pPr>
              <w:jc w:val="left"/>
            </w:pPr>
            <w:r>
              <w:rPr>
                <w:color w:val="28323C"/>
                <w:sz w:val="17"/>
              </w:rPr>
            </w:r>
          </w:p>
        </w:tc>
        <w:tc>
          <w:tcPr>
            <w:tcW w:type="dxa" w:w="1247"/>
            <w:shd w:fill="FFFFFF"/>
            <w:tcMar>
              <w:top w:w="115" w:type="dxa"/>
              <w:start w:w="120" w:type="dxa"/>
              <w:bottom w:w="115" w:type="dxa"/>
              <w:end w:w="120" w:type="dxa"/>
            </w:tcMar>
            <w:vAlign w:val="center"/>
          </w:tcPr>
          <w:p>
            <w:pPr>
              <w:jc w:val="left"/>
            </w:pPr>
            <w:r>
              <w:rPr>
                <w:color w:val="28323C"/>
                <w:sz w:val="17"/>
              </w:rPr>
            </w:r>
          </w:p>
        </w:tc>
        <w:tc>
          <w:tcPr>
            <w:tcW w:type="dxa" w:w="1191"/>
            <w:shd w:fill="FFFFFF"/>
            <w:tcMar>
              <w:top w:w="115" w:type="dxa"/>
              <w:start w:w="120" w:type="dxa"/>
              <w:bottom w:w="115" w:type="dxa"/>
              <w:end w:w="120" w:type="dxa"/>
            </w:tcMar>
            <w:vAlign w:val="center"/>
          </w:tcPr>
          <w:p>
            <w:pPr>
              <w:jc w:val="left"/>
            </w:pPr>
            <w:r>
              <w:rPr>
                <w:color w:val="28323C"/>
                <w:sz w:val="17"/>
              </w:rPr>
            </w:r>
          </w:p>
        </w:tc>
        <w:tc>
          <w:tcPr>
            <w:tcW w:type="dxa" w:w="2211"/>
            <w:shd w:fill="FFFFFF"/>
            <w:tcMar>
              <w:top w:w="115" w:type="dxa"/>
              <w:start w:w="120" w:type="dxa"/>
              <w:bottom w:w="115" w:type="dxa"/>
              <w:end w:w="120" w:type="dxa"/>
            </w:tcMar>
            <w:vAlign w:val="center"/>
          </w:tcPr>
          <w:p>
            <w:pPr>
              <w:jc w:val="left"/>
            </w:pPr>
            <w:r>
              <w:rPr>
                <w:color w:val="28323C"/>
                <w:sz w:val="17"/>
              </w:rPr>
            </w:r>
          </w:p>
        </w:tc>
        <w:tc>
          <w:tcPr>
            <w:tcW w:type="dxa" w:w="2154"/>
            <w:shd w:fill="FFFFFF"/>
            <w:tcMar>
              <w:top w:w="115" w:type="dxa"/>
              <w:start w:w="120" w:type="dxa"/>
              <w:bottom w:w="115" w:type="dxa"/>
              <w:end w:w="120" w:type="dxa"/>
            </w:tcMar>
            <w:vAlign w:val="center"/>
          </w:tcPr>
          <w:p>
            <w:pPr>
              <w:jc w:val="left"/>
            </w:pPr>
            <w:r>
              <w:rPr>
                <w:color w:val="28323C"/>
                <w:sz w:val="17"/>
              </w:rPr>
            </w:r>
          </w:p>
        </w:tc>
      </w:tr>
      <w:tr>
        <w:tc>
          <w:tcPr>
            <w:tcW w:type="dxa" w:w="680"/>
            <w:shd w:fill="F4F5F7"/>
            <w:tcMar>
              <w:top w:w="115" w:type="dxa"/>
              <w:start w:w="120" w:type="dxa"/>
              <w:bottom w:w="115" w:type="dxa"/>
              <w:end w:w="120" w:type="dxa"/>
            </w:tcMar>
            <w:vAlign w:val="center"/>
          </w:tcPr>
          <w:p>
            <w:pPr>
              <w:jc w:val="center"/>
            </w:pPr>
            <w:r>
              <w:rPr>
                <w:color w:val="28323C"/>
                <w:sz w:val="17"/>
              </w:rPr>
              <w:t>3</w:t>
            </w:r>
          </w:p>
        </w:tc>
        <w:tc>
          <w:tcPr>
            <w:tcW w:type="dxa" w:w="1531"/>
            <w:shd w:fill="FFFFFF"/>
            <w:tcMar>
              <w:top w:w="115" w:type="dxa"/>
              <w:start w:w="120" w:type="dxa"/>
              <w:bottom w:w="115" w:type="dxa"/>
              <w:end w:w="120" w:type="dxa"/>
            </w:tcMar>
            <w:vAlign w:val="center"/>
          </w:tcPr>
          <w:p>
            <w:pPr>
              <w:jc w:val="left"/>
            </w:pPr>
            <w:r>
              <w:rPr>
                <w:color w:val="28323C"/>
                <w:sz w:val="17"/>
              </w:rPr>
            </w:r>
          </w:p>
        </w:tc>
        <w:tc>
          <w:tcPr>
            <w:tcW w:type="dxa" w:w="1247"/>
            <w:shd w:fill="FFFFFF"/>
            <w:tcMar>
              <w:top w:w="115" w:type="dxa"/>
              <w:start w:w="120" w:type="dxa"/>
              <w:bottom w:w="115" w:type="dxa"/>
              <w:end w:w="120" w:type="dxa"/>
            </w:tcMar>
            <w:vAlign w:val="center"/>
          </w:tcPr>
          <w:p>
            <w:pPr>
              <w:jc w:val="left"/>
            </w:pPr>
            <w:r>
              <w:rPr>
                <w:color w:val="28323C"/>
                <w:sz w:val="17"/>
              </w:rPr>
            </w:r>
          </w:p>
        </w:tc>
        <w:tc>
          <w:tcPr>
            <w:tcW w:type="dxa" w:w="1191"/>
            <w:shd w:fill="FFFFFF"/>
            <w:tcMar>
              <w:top w:w="115" w:type="dxa"/>
              <w:start w:w="120" w:type="dxa"/>
              <w:bottom w:w="115" w:type="dxa"/>
              <w:end w:w="120" w:type="dxa"/>
            </w:tcMar>
            <w:vAlign w:val="center"/>
          </w:tcPr>
          <w:p>
            <w:pPr>
              <w:jc w:val="left"/>
            </w:pPr>
            <w:r>
              <w:rPr>
                <w:color w:val="28323C"/>
                <w:sz w:val="17"/>
              </w:rPr>
            </w:r>
          </w:p>
        </w:tc>
        <w:tc>
          <w:tcPr>
            <w:tcW w:type="dxa" w:w="2211"/>
            <w:shd w:fill="FFFFFF"/>
            <w:tcMar>
              <w:top w:w="115" w:type="dxa"/>
              <w:start w:w="120" w:type="dxa"/>
              <w:bottom w:w="115" w:type="dxa"/>
              <w:end w:w="120" w:type="dxa"/>
            </w:tcMar>
            <w:vAlign w:val="center"/>
          </w:tcPr>
          <w:p>
            <w:pPr>
              <w:jc w:val="left"/>
            </w:pPr>
            <w:r>
              <w:rPr>
                <w:color w:val="28323C"/>
                <w:sz w:val="17"/>
              </w:rPr>
            </w:r>
          </w:p>
        </w:tc>
        <w:tc>
          <w:tcPr>
            <w:tcW w:type="dxa" w:w="2154"/>
            <w:shd w:fill="FFFFFF"/>
            <w:tcMar>
              <w:top w:w="115" w:type="dxa"/>
              <w:start w:w="120" w:type="dxa"/>
              <w:bottom w:w="115" w:type="dxa"/>
              <w:end w:w="120" w:type="dxa"/>
            </w:tcMar>
            <w:vAlign w:val="center"/>
          </w:tcPr>
          <w:p>
            <w:pPr>
              <w:jc w:val="left"/>
            </w:pPr>
            <w:r>
              <w:rPr>
                <w:color w:val="28323C"/>
                <w:sz w:val="17"/>
              </w:rPr>
            </w:r>
          </w:p>
        </w:tc>
      </w:tr>
      <w:tr>
        <w:tc>
          <w:tcPr>
            <w:tcW w:type="dxa" w:w="680"/>
            <w:shd w:fill="F4F5F7"/>
            <w:tcMar>
              <w:top w:w="115" w:type="dxa"/>
              <w:start w:w="120" w:type="dxa"/>
              <w:bottom w:w="115" w:type="dxa"/>
              <w:end w:w="120" w:type="dxa"/>
            </w:tcMar>
            <w:vAlign w:val="center"/>
          </w:tcPr>
          <w:p>
            <w:pPr>
              <w:jc w:val="center"/>
            </w:pPr>
            <w:r>
              <w:rPr>
                <w:color w:val="28323C"/>
                <w:sz w:val="17"/>
              </w:rPr>
              <w:t>4</w:t>
            </w:r>
          </w:p>
        </w:tc>
        <w:tc>
          <w:tcPr>
            <w:tcW w:type="dxa" w:w="1531"/>
            <w:shd w:fill="FFFFFF"/>
            <w:tcMar>
              <w:top w:w="115" w:type="dxa"/>
              <w:start w:w="120" w:type="dxa"/>
              <w:bottom w:w="115" w:type="dxa"/>
              <w:end w:w="120" w:type="dxa"/>
            </w:tcMar>
            <w:vAlign w:val="center"/>
          </w:tcPr>
          <w:p>
            <w:pPr>
              <w:jc w:val="left"/>
            </w:pPr>
            <w:r>
              <w:rPr>
                <w:color w:val="28323C"/>
                <w:sz w:val="17"/>
              </w:rPr>
            </w:r>
          </w:p>
        </w:tc>
        <w:tc>
          <w:tcPr>
            <w:tcW w:type="dxa" w:w="1247"/>
            <w:shd w:fill="FFFFFF"/>
            <w:tcMar>
              <w:top w:w="115" w:type="dxa"/>
              <w:start w:w="120" w:type="dxa"/>
              <w:bottom w:w="115" w:type="dxa"/>
              <w:end w:w="120" w:type="dxa"/>
            </w:tcMar>
            <w:vAlign w:val="center"/>
          </w:tcPr>
          <w:p>
            <w:pPr>
              <w:jc w:val="left"/>
            </w:pPr>
            <w:r>
              <w:rPr>
                <w:color w:val="28323C"/>
                <w:sz w:val="17"/>
              </w:rPr>
            </w:r>
          </w:p>
        </w:tc>
        <w:tc>
          <w:tcPr>
            <w:tcW w:type="dxa" w:w="1191"/>
            <w:shd w:fill="FFFFFF"/>
            <w:tcMar>
              <w:top w:w="115" w:type="dxa"/>
              <w:start w:w="120" w:type="dxa"/>
              <w:bottom w:w="115" w:type="dxa"/>
              <w:end w:w="120" w:type="dxa"/>
            </w:tcMar>
            <w:vAlign w:val="center"/>
          </w:tcPr>
          <w:p>
            <w:pPr>
              <w:jc w:val="left"/>
            </w:pPr>
            <w:r>
              <w:rPr>
                <w:color w:val="28323C"/>
                <w:sz w:val="17"/>
              </w:rPr>
            </w:r>
          </w:p>
        </w:tc>
        <w:tc>
          <w:tcPr>
            <w:tcW w:type="dxa" w:w="2211"/>
            <w:shd w:fill="FFFFFF"/>
            <w:tcMar>
              <w:top w:w="115" w:type="dxa"/>
              <w:start w:w="120" w:type="dxa"/>
              <w:bottom w:w="115" w:type="dxa"/>
              <w:end w:w="120" w:type="dxa"/>
            </w:tcMar>
            <w:vAlign w:val="center"/>
          </w:tcPr>
          <w:p>
            <w:pPr>
              <w:jc w:val="left"/>
            </w:pPr>
            <w:r>
              <w:rPr>
                <w:color w:val="28323C"/>
                <w:sz w:val="17"/>
              </w:rPr>
            </w:r>
          </w:p>
        </w:tc>
        <w:tc>
          <w:tcPr>
            <w:tcW w:type="dxa" w:w="2154"/>
            <w:shd w:fill="FFFFFF"/>
            <w:tcMar>
              <w:top w:w="115" w:type="dxa"/>
              <w:start w:w="120" w:type="dxa"/>
              <w:bottom w:w="115" w:type="dxa"/>
              <w:end w:w="120" w:type="dxa"/>
            </w:tcMar>
            <w:vAlign w:val="center"/>
          </w:tcPr>
          <w:p>
            <w:pPr>
              <w:jc w:val="left"/>
            </w:pPr>
            <w:r>
              <w:rPr>
                <w:color w:val="28323C"/>
                <w:sz w:val="17"/>
              </w:rPr>
            </w:r>
          </w:p>
        </w:tc>
      </w:tr>
      <w:tr>
        <w:tc>
          <w:tcPr>
            <w:tcW w:type="dxa" w:w="680"/>
            <w:shd w:fill="F4F5F7"/>
            <w:tcMar>
              <w:top w:w="115" w:type="dxa"/>
              <w:start w:w="120" w:type="dxa"/>
              <w:bottom w:w="115" w:type="dxa"/>
              <w:end w:w="120" w:type="dxa"/>
            </w:tcMar>
            <w:vAlign w:val="center"/>
          </w:tcPr>
          <w:p>
            <w:pPr>
              <w:jc w:val="center"/>
            </w:pPr>
            <w:r>
              <w:rPr>
                <w:color w:val="28323C"/>
                <w:sz w:val="17"/>
              </w:rPr>
              <w:t>5</w:t>
            </w:r>
          </w:p>
        </w:tc>
        <w:tc>
          <w:tcPr>
            <w:tcW w:type="dxa" w:w="1531"/>
            <w:shd w:fill="FFFFFF"/>
            <w:tcMar>
              <w:top w:w="115" w:type="dxa"/>
              <w:start w:w="120" w:type="dxa"/>
              <w:bottom w:w="115" w:type="dxa"/>
              <w:end w:w="120" w:type="dxa"/>
            </w:tcMar>
            <w:vAlign w:val="center"/>
          </w:tcPr>
          <w:p>
            <w:pPr>
              <w:jc w:val="left"/>
            </w:pPr>
            <w:r>
              <w:rPr>
                <w:color w:val="28323C"/>
                <w:sz w:val="17"/>
              </w:rPr>
            </w:r>
          </w:p>
        </w:tc>
        <w:tc>
          <w:tcPr>
            <w:tcW w:type="dxa" w:w="1247"/>
            <w:shd w:fill="FFFFFF"/>
            <w:tcMar>
              <w:top w:w="115" w:type="dxa"/>
              <w:start w:w="120" w:type="dxa"/>
              <w:bottom w:w="115" w:type="dxa"/>
              <w:end w:w="120" w:type="dxa"/>
            </w:tcMar>
            <w:vAlign w:val="center"/>
          </w:tcPr>
          <w:p>
            <w:pPr>
              <w:jc w:val="left"/>
            </w:pPr>
            <w:r>
              <w:rPr>
                <w:color w:val="28323C"/>
                <w:sz w:val="17"/>
              </w:rPr>
            </w:r>
          </w:p>
        </w:tc>
        <w:tc>
          <w:tcPr>
            <w:tcW w:type="dxa" w:w="1191"/>
            <w:shd w:fill="FFFFFF"/>
            <w:tcMar>
              <w:top w:w="115" w:type="dxa"/>
              <w:start w:w="120" w:type="dxa"/>
              <w:bottom w:w="115" w:type="dxa"/>
              <w:end w:w="120" w:type="dxa"/>
            </w:tcMar>
            <w:vAlign w:val="center"/>
          </w:tcPr>
          <w:p>
            <w:pPr>
              <w:jc w:val="left"/>
            </w:pPr>
            <w:r>
              <w:rPr>
                <w:color w:val="28323C"/>
                <w:sz w:val="17"/>
              </w:rPr>
            </w:r>
          </w:p>
        </w:tc>
        <w:tc>
          <w:tcPr>
            <w:tcW w:type="dxa" w:w="2211"/>
            <w:shd w:fill="FFFFFF"/>
            <w:tcMar>
              <w:top w:w="115" w:type="dxa"/>
              <w:start w:w="120" w:type="dxa"/>
              <w:bottom w:w="115" w:type="dxa"/>
              <w:end w:w="120" w:type="dxa"/>
            </w:tcMar>
            <w:vAlign w:val="center"/>
          </w:tcPr>
          <w:p>
            <w:pPr>
              <w:jc w:val="left"/>
            </w:pPr>
            <w:r>
              <w:rPr>
                <w:color w:val="28323C"/>
                <w:sz w:val="17"/>
              </w:rPr>
            </w:r>
          </w:p>
        </w:tc>
        <w:tc>
          <w:tcPr>
            <w:tcW w:type="dxa" w:w="2154"/>
            <w:shd w:fill="FFFFFF"/>
            <w:tcMar>
              <w:top w:w="115" w:type="dxa"/>
              <w:start w:w="120" w:type="dxa"/>
              <w:bottom w:w="115" w:type="dxa"/>
              <w:end w:w="120" w:type="dxa"/>
            </w:tcMar>
            <w:vAlign w:val="center"/>
          </w:tcPr>
          <w:p>
            <w:pPr>
              <w:jc w:val="left"/>
            </w:pPr>
            <w:r>
              <w:rPr>
                <w:color w:val="28323C"/>
                <w:sz w:val="17"/>
              </w:rPr>
            </w:r>
          </w:p>
        </w:tc>
      </w:tr>
      <w:tr>
        <w:tc>
          <w:tcPr>
            <w:tcW w:type="dxa" w:w="680"/>
            <w:shd w:fill="F4F5F7"/>
            <w:tcMar>
              <w:top w:w="115" w:type="dxa"/>
              <w:start w:w="120" w:type="dxa"/>
              <w:bottom w:w="115" w:type="dxa"/>
              <w:end w:w="120" w:type="dxa"/>
            </w:tcMar>
            <w:vAlign w:val="center"/>
          </w:tcPr>
          <w:p>
            <w:pPr>
              <w:jc w:val="center"/>
            </w:pPr>
            <w:r>
              <w:rPr>
                <w:color w:val="28323C"/>
                <w:sz w:val="17"/>
              </w:rPr>
              <w:t>6</w:t>
            </w:r>
          </w:p>
        </w:tc>
        <w:tc>
          <w:tcPr>
            <w:tcW w:type="dxa" w:w="1531"/>
            <w:shd w:fill="FFFFFF"/>
            <w:tcMar>
              <w:top w:w="115" w:type="dxa"/>
              <w:start w:w="120" w:type="dxa"/>
              <w:bottom w:w="115" w:type="dxa"/>
              <w:end w:w="120" w:type="dxa"/>
            </w:tcMar>
            <w:vAlign w:val="center"/>
          </w:tcPr>
          <w:p>
            <w:pPr>
              <w:jc w:val="left"/>
            </w:pPr>
            <w:r>
              <w:rPr>
                <w:color w:val="28323C"/>
                <w:sz w:val="17"/>
              </w:rPr>
            </w:r>
          </w:p>
        </w:tc>
        <w:tc>
          <w:tcPr>
            <w:tcW w:type="dxa" w:w="1247"/>
            <w:shd w:fill="FFFFFF"/>
            <w:tcMar>
              <w:top w:w="115" w:type="dxa"/>
              <w:start w:w="120" w:type="dxa"/>
              <w:bottom w:w="115" w:type="dxa"/>
              <w:end w:w="120" w:type="dxa"/>
            </w:tcMar>
            <w:vAlign w:val="center"/>
          </w:tcPr>
          <w:p>
            <w:pPr>
              <w:jc w:val="left"/>
            </w:pPr>
            <w:r>
              <w:rPr>
                <w:color w:val="28323C"/>
                <w:sz w:val="17"/>
              </w:rPr>
            </w:r>
          </w:p>
        </w:tc>
        <w:tc>
          <w:tcPr>
            <w:tcW w:type="dxa" w:w="1191"/>
            <w:shd w:fill="FFFFFF"/>
            <w:tcMar>
              <w:top w:w="115" w:type="dxa"/>
              <w:start w:w="120" w:type="dxa"/>
              <w:bottom w:w="115" w:type="dxa"/>
              <w:end w:w="120" w:type="dxa"/>
            </w:tcMar>
            <w:vAlign w:val="center"/>
          </w:tcPr>
          <w:p>
            <w:pPr>
              <w:jc w:val="left"/>
            </w:pPr>
            <w:r>
              <w:rPr>
                <w:color w:val="28323C"/>
                <w:sz w:val="17"/>
              </w:rPr>
            </w:r>
          </w:p>
        </w:tc>
        <w:tc>
          <w:tcPr>
            <w:tcW w:type="dxa" w:w="2211"/>
            <w:shd w:fill="FFFFFF"/>
            <w:tcMar>
              <w:top w:w="115" w:type="dxa"/>
              <w:start w:w="120" w:type="dxa"/>
              <w:bottom w:w="115" w:type="dxa"/>
              <w:end w:w="120" w:type="dxa"/>
            </w:tcMar>
            <w:vAlign w:val="center"/>
          </w:tcPr>
          <w:p>
            <w:pPr>
              <w:jc w:val="left"/>
            </w:pPr>
            <w:r>
              <w:rPr>
                <w:color w:val="28323C"/>
                <w:sz w:val="17"/>
              </w:rPr>
            </w:r>
          </w:p>
        </w:tc>
        <w:tc>
          <w:tcPr>
            <w:tcW w:type="dxa" w:w="2154"/>
            <w:shd w:fill="FFFFFF"/>
            <w:tcMar>
              <w:top w:w="115" w:type="dxa"/>
              <w:start w:w="120" w:type="dxa"/>
              <w:bottom w:w="115" w:type="dxa"/>
              <w:end w:w="120" w:type="dxa"/>
            </w:tcMar>
            <w:vAlign w:val="center"/>
          </w:tcPr>
          <w:p>
            <w:pPr>
              <w:jc w:val="left"/>
            </w:pPr>
            <w:r>
              <w:rPr>
                <w:color w:val="28323C"/>
                <w:sz w:val="17"/>
              </w:rPr>
            </w:r>
          </w:p>
        </w:tc>
      </w:tr>
      <w:tr>
        <w:tc>
          <w:tcPr>
            <w:tcW w:type="dxa" w:w="680"/>
            <w:shd w:fill="F4F5F7"/>
            <w:tcMar>
              <w:top w:w="115" w:type="dxa"/>
              <w:start w:w="120" w:type="dxa"/>
              <w:bottom w:w="115" w:type="dxa"/>
              <w:end w:w="120" w:type="dxa"/>
            </w:tcMar>
            <w:vAlign w:val="center"/>
          </w:tcPr>
          <w:p>
            <w:pPr>
              <w:jc w:val="center"/>
            </w:pPr>
            <w:r>
              <w:rPr>
                <w:color w:val="28323C"/>
                <w:sz w:val="17"/>
              </w:rPr>
              <w:t>7</w:t>
            </w:r>
          </w:p>
        </w:tc>
        <w:tc>
          <w:tcPr>
            <w:tcW w:type="dxa" w:w="1531"/>
            <w:shd w:fill="FFFFFF"/>
            <w:tcMar>
              <w:top w:w="115" w:type="dxa"/>
              <w:start w:w="120" w:type="dxa"/>
              <w:bottom w:w="115" w:type="dxa"/>
              <w:end w:w="120" w:type="dxa"/>
            </w:tcMar>
            <w:vAlign w:val="center"/>
          </w:tcPr>
          <w:p>
            <w:pPr>
              <w:jc w:val="left"/>
            </w:pPr>
            <w:r>
              <w:rPr>
                <w:color w:val="28323C"/>
                <w:sz w:val="17"/>
              </w:rPr>
            </w:r>
          </w:p>
        </w:tc>
        <w:tc>
          <w:tcPr>
            <w:tcW w:type="dxa" w:w="1247"/>
            <w:shd w:fill="FFFFFF"/>
            <w:tcMar>
              <w:top w:w="115" w:type="dxa"/>
              <w:start w:w="120" w:type="dxa"/>
              <w:bottom w:w="115" w:type="dxa"/>
              <w:end w:w="120" w:type="dxa"/>
            </w:tcMar>
            <w:vAlign w:val="center"/>
          </w:tcPr>
          <w:p>
            <w:pPr>
              <w:jc w:val="left"/>
            </w:pPr>
            <w:r>
              <w:rPr>
                <w:color w:val="28323C"/>
                <w:sz w:val="17"/>
              </w:rPr>
            </w:r>
          </w:p>
        </w:tc>
        <w:tc>
          <w:tcPr>
            <w:tcW w:type="dxa" w:w="1191"/>
            <w:shd w:fill="FFFFFF"/>
            <w:tcMar>
              <w:top w:w="115" w:type="dxa"/>
              <w:start w:w="120" w:type="dxa"/>
              <w:bottom w:w="115" w:type="dxa"/>
              <w:end w:w="120" w:type="dxa"/>
            </w:tcMar>
            <w:vAlign w:val="center"/>
          </w:tcPr>
          <w:p>
            <w:pPr>
              <w:jc w:val="left"/>
            </w:pPr>
            <w:r>
              <w:rPr>
                <w:color w:val="28323C"/>
                <w:sz w:val="17"/>
              </w:rPr>
            </w:r>
          </w:p>
        </w:tc>
        <w:tc>
          <w:tcPr>
            <w:tcW w:type="dxa" w:w="2211"/>
            <w:shd w:fill="FFFFFF"/>
            <w:tcMar>
              <w:top w:w="115" w:type="dxa"/>
              <w:start w:w="120" w:type="dxa"/>
              <w:bottom w:w="115" w:type="dxa"/>
              <w:end w:w="120" w:type="dxa"/>
            </w:tcMar>
            <w:vAlign w:val="center"/>
          </w:tcPr>
          <w:p>
            <w:pPr>
              <w:jc w:val="left"/>
            </w:pPr>
            <w:r>
              <w:rPr>
                <w:color w:val="28323C"/>
                <w:sz w:val="17"/>
              </w:rPr>
            </w:r>
          </w:p>
        </w:tc>
        <w:tc>
          <w:tcPr>
            <w:tcW w:type="dxa" w:w="2154"/>
            <w:shd w:fill="FFFFFF"/>
            <w:tcMar>
              <w:top w:w="115" w:type="dxa"/>
              <w:start w:w="120" w:type="dxa"/>
              <w:bottom w:w="115" w:type="dxa"/>
              <w:end w:w="120" w:type="dxa"/>
            </w:tcMar>
            <w:vAlign w:val="center"/>
          </w:tcPr>
          <w:p>
            <w:pPr>
              <w:jc w:val="left"/>
            </w:pPr>
            <w:r>
              <w:rPr>
                <w:color w:val="28323C"/>
                <w:sz w:val="17"/>
              </w:rPr>
            </w:r>
          </w:p>
        </w:tc>
      </w:tr>
    </w:tbl>
    <w:p/>
    <w:p>
      <w:pPr>
        <w:spacing w:before="140" w:after="60" w:line="252" w:lineRule="auto"/>
      </w:pPr>
      <w:r>
        <w:rPr>
          <w:rFonts w:ascii="Aptos Display" w:hAnsi="Aptos Display"/>
          <w:b/>
          <w:color w:val="334866"/>
          <w:sz w:val="28"/>
        </w:rPr>
        <w:t>12. Co dalej?</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vAlign w:val="center"/>
            <w:tcMar>
              <w:top w:w="115" w:type="dxa"/>
              <w:start w:w="125" w:type="dxa"/>
              <w:bottom w:w="115" w:type="dxa"/>
              <w:end w:w="125" w:type="dxa"/>
            </w:tcMar>
            <w:shd w:fill="EEF6F0"/>
          </w:tcPr>
          <w:p>
            <w:r>
              <w:rPr>
                <w:b/>
                <w:color w:val="334866"/>
                <w:sz w:val="21"/>
              </w:rPr>
              <w:t>Jeśli w tle widać cichy konflikt</w:t>
            </w:r>
          </w:p>
          <w:p>
            <w:pPr>
              <w:spacing w:before="40" w:after="0" w:line="259" w:lineRule="auto"/>
            </w:pPr>
            <w:r>
              <w:rPr>
                <w:color w:val="28323C"/>
                <w:sz w:val="19"/>
              </w:rPr>
              <w:t>Przejdź do PDF: Konflikt między kotami. Sprawdź blokowanie przejść, ustępowanie zasobów i presję społeczną.</w:t>
            </w:r>
          </w:p>
        </w:tc>
        <w:tc>
          <w:tcPr>
            <w:tcW w:type="dxa" w:w="5100"/>
            <w:vAlign w:val="center"/>
            <w:tcMar>
              <w:top w:w="115" w:type="dxa"/>
              <w:start w:w="125" w:type="dxa"/>
              <w:bottom w:w="115" w:type="dxa"/>
              <w:end w:w="125" w:type="dxa"/>
            </w:tcMar>
            <w:shd w:fill="F8F1E7"/>
          </w:tcPr>
          <w:p>
            <w:r>
              <w:rPr>
                <w:b/>
                <w:color w:val="334866"/>
                <w:sz w:val="21"/>
              </w:rPr>
              <w:t>Jeśli pojawiły się problemy kuwetowe</w:t>
            </w:r>
          </w:p>
          <w:p>
            <w:pPr>
              <w:spacing w:before="40" w:after="0" w:line="259" w:lineRule="auto"/>
            </w:pPr>
            <w:r>
              <w:rPr>
                <w:color w:val="28323C"/>
                <w:sz w:val="19"/>
              </w:rPr>
              <w:t>Przejdź do PDF: Kot boi się kuwety? lub do flagshipu Problem poza kuwetą, jeśli obraz jest szeroki i mieszany.</w:t>
            </w:r>
          </w:p>
        </w:tc>
      </w:tr>
      <w:tr>
        <w:tc>
          <w:tcPr>
            <w:tcW w:type="dxa" w:w="5100"/>
            <w:vAlign w:val="center"/>
            <w:tcMar>
              <w:top w:w="115" w:type="dxa"/>
              <w:start w:w="125" w:type="dxa"/>
              <w:bottom w:w="115" w:type="dxa"/>
              <w:end w:w="125" w:type="dxa"/>
            </w:tcMar>
            <w:shd w:fill="EFF4FA"/>
          </w:tcPr>
          <w:p>
            <w:r>
              <w:rPr>
                <w:b/>
                <w:color w:val="334866"/>
                <w:sz w:val="21"/>
              </w:rPr>
              <w:t>Jeśli problem dotyczy ogólnego przeciążenia</w:t>
            </w:r>
          </w:p>
          <w:p>
            <w:pPr>
              <w:spacing w:before="40" w:after="0" w:line="259" w:lineRule="auto"/>
            </w:pPr>
            <w:r>
              <w:rPr>
                <w:color w:val="28323C"/>
                <w:sz w:val="19"/>
              </w:rPr>
              <w:t>Wróć do lead magnetu: Kot żyje w napięciu i porównaj 6 oznak napięcia z codziennym funkcjonowaniem kota.</w:t>
            </w:r>
          </w:p>
        </w:tc>
        <w:tc>
          <w:tcPr>
            <w:tcW w:type="dxa" w:w="5100"/>
            <w:vAlign w:val="center"/>
            <w:tcMar>
              <w:top w:w="115" w:type="dxa"/>
              <w:start w:w="125" w:type="dxa"/>
              <w:bottom w:w="115" w:type="dxa"/>
              <w:end w:w="125" w:type="dxa"/>
            </w:tcMar>
            <w:shd w:fill="F1ECF8"/>
          </w:tcPr>
          <w:p>
            <w:r>
              <w:rPr>
                <w:b/>
                <w:color w:val="334866"/>
                <w:sz w:val="21"/>
              </w:rPr>
              <w:t>Jeśli nie wiesz, która warstwa jest główna</w:t>
            </w:r>
          </w:p>
          <w:p>
            <w:pPr>
              <w:spacing w:before="40" w:after="0" w:line="259" w:lineRule="auto"/>
            </w:pPr>
            <w:r>
              <w:rPr>
                <w:color w:val="28323C"/>
                <w:sz w:val="19"/>
              </w:rPr>
              <w:t>Umów konsultację 15 min i przyjdź z mapą domu, nagraniami i 7-dniowym dziennikiem obserwacji.</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4F5F7"/>
            <w:tcMar>
              <w:top w:w="140" w:type="dxa"/>
              <w:start w:w="170" w:type="dxa"/>
              <w:bottom w:w="140" w:type="dxa"/>
              <w:end w:w="170" w:type="dxa"/>
            </w:tcMar>
          </w:tcPr>
          <w:p>
            <w:r>
              <w:rPr>
                <w:b/>
                <w:color w:val="334866"/>
                <w:sz w:val="22"/>
              </w:rPr>
              <w:t>Podsumowanie</w:t>
            </w:r>
          </w:p>
          <w:p>
            <w:pPr>
              <w:spacing w:before="40" w:after="0" w:line="269" w:lineRule="auto"/>
            </w:pPr>
            <w:r>
              <w:rPr>
                <w:color w:val="28323C"/>
                <w:sz w:val="20"/>
              </w:rPr>
              <w:t>Najskuteczniejsza pomoc opiera się na trzech zasadach: najpierw bezpieczeństwo, potem przewidywalność, a dopiero na końcu aktywizacja. To podejście pomaga odróżnić ostrożność adaptacyjną od przeciążenia i nie zamieniać zmiany w długotrwałe cierpienie.</w:t>
            </w:r>
          </w:p>
        </w:tc>
      </w:tr>
    </w:tbl>
    <w:p/>
    <w:p/>
    <w:p>
      <w:r>
        <w:rPr>
          <w:rFonts w:ascii="Georgia" w:hAnsi="Georgia"/>
          <w:b/>
          <w:color w:val="58456F"/>
          <w:sz w:val="32"/>
        </w:rPr>
        <w:t>Kiedy ten materiał zwykle wystarcza</w:t>
      </w:r>
    </w:p>
    <w:p>
      <w:r>
        <w:rPr>
          <w:rFonts w:ascii="Georgia" w:hAnsi="Georgia"/>
          <w:b w:val="0"/>
          <w:color w:val="24313A"/>
          <w:sz w:val="22"/>
        </w:rPr>
        <w:t>• zwykle wystarcza, jeśli wycofanie pojawiło się po zmianie w domu i nie towarzyszą mu silne objawy bólu lub choroby</w:t>
      </w:r>
    </w:p>
    <w:p>
      <w:r>
        <w:rPr>
          <w:rFonts w:ascii="Georgia" w:hAnsi="Georgia"/>
          <w:b w:val="0"/>
          <w:color w:val="24313A"/>
          <w:sz w:val="22"/>
        </w:rPr>
        <w:t>• po 72 godzinach i kolejnych 10–14 dniach kot częściej korzysta z przestrzeni i odzyskuje dostęp do normalnego życia</w:t>
      </w:r>
    </w:p>
    <w:p>
      <w:r>
        <w:rPr>
          <w:rFonts w:ascii="Georgia" w:hAnsi="Georgia"/>
          <w:b w:val="0"/>
          <w:color w:val="24313A"/>
          <w:sz w:val="22"/>
        </w:rPr>
        <w:t>• obraz jest spójny z przeciążeniem zmianą, a nie z gwałtownym pogorszeniem stanu zdrowia</w:t>
      </w:r>
    </w:p>
    <w:p/>
    <w:p>
      <w:r>
        <w:rPr>
          <w:rFonts w:ascii="Georgia" w:hAnsi="Georgia"/>
          <w:b/>
          <w:color w:val="58456F"/>
          <w:sz w:val="32"/>
        </w:rPr>
        <w:t>Co dalej?</w:t>
      </w:r>
    </w:p>
    <w:p>
      <w:r>
        <w:rPr>
          <w:rFonts w:ascii="Georgia" w:hAnsi="Georgia"/>
          <w:b w:val="0"/>
          <w:color w:val="24313A"/>
          <w:sz w:val="24"/>
        </w:rPr>
        <w:t>Jeśli w tle dominuje konflikt społeczny, przejdź do ścieżki relacyjnej. Jeśli po zmianach pojawił się problem kuwetowy, wybierz ścieżkę kuwetową. Jeśli obraz jest mieszany albo trwa zbyt długo, najlepszym następnym ruchem jest konsultacja.</w:t>
      </w:r>
    </w:p>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D7882"/>
        <w:sz w:val="18"/>
      </w:rPr>
      <w:t xml:space="preserve">Strona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2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