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66727C"/>
          <w:sz w:val="20"/>
        </w:rPr>
        <w:t>Flagship PDF • ścieżka kuwetowa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1ECF7"/>
            <w:tcMar>
              <w:top w:w="240" w:type="dxa"/>
              <w:start w:w="260" w:type="dxa"/>
              <w:bottom w:w="220" w:type="dxa"/>
              <w:end w:w="260" w:type="dxa"/>
            </w:tcMar>
          </w:tcPr>
          <w:p>
            <w:r>
              <w:rPr>
                <w:rFonts w:ascii="Aptos Display" w:hAnsi="Aptos Display"/>
                <w:b/>
                <w:color w:val="4E3758"/>
                <w:sz w:val="50"/>
              </w:rPr>
              <w:t>Problem poza kuwetą</w:t>
            </w:r>
          </w:p>
          <w:p>
            <w:pPr>
              <w:spacing w:before="80" w:after="40" w:line="264" w:lineRule="auto"/>
            </w:pPr>
            <w:r>
              <w:rPr>
                <w:b/>
                <w:color w:val="7A5A86"/>
                <w:sz w:val="28"/>
              </w:rPr>
              <w:t>Jak uporządkować diagnostykę, środowisko i plan pomocy bez zgadywania</w:t>
            </w:r>
          </w:p>
          <w:p>
            <w:pPr>
              <w:spacing w:before="120" w:after="120" w:line="276" w:lineRule="auto"/>
            </w:pPr>
            <w:r>
              <w:rPr>
                <w:color w:val="27323A"/>
                <w:sz w:val="22"/>
              </w:rPr>
              <w:t>Najszersze kompendium w ścieżce kuwetowej. Pomaga odróżnić problem medyczny, FIC i stres, znakowanie oraz awersję do kuwety, a potem przełożyć to na logiczny plan działań w domu i podczas konsultacji.</w:t>
            </w:r>
          </w:p>
          <w:p>
            <w:pPr>
              <w:pStyle w:val="ListBullet"/>
              <w:spacing w:before="0" w:after="0" w:line="240" w:lineRule="auto"/>
            </w:pPr>
            <w:r>
              <w:rPr>
                <w:color w:val="27323A"/>
                <w:sz w:val="20"/>
              </w:rPr>
              <w:t>4 główne grupy przyczyn + mapa diagnostyczna</w:t>
            </w:r>
          </w:p>
          <w:p>
            <w:pPr>
              <w:pStyle w:val="ListBullet"/>
              <w:spacing w:before="0" w:after="0" w:line="240" w:lineRule="auto"/>
            </w:pPr>
            <w:r>
              <w:rPr>
                <w:color w:val="27323A"/>
                <w:sz w:val="20"/>
              </w:rPr>
              <w:t>projekt idealnej kuwety, dom wielokotowy i 5 filarów środowiska</w:t>
            </w:r>
          </w:p>
          <w:p>
            <w:pPr>
              <w:pStyle w:val="ListBullet"/>
              <w:spacing w:before="0" w:after="0" w:line="240" w:lineRule="auto"/>
            </w:pPr>
            <w:r>
              <w:rPr>
                <w:color w:val="27323A"/>
                <w:sz w:val="20"/>
              </w:rPr>
              <w:t>plan krok po kroku, audyt, dziennik i objawy alarmowe</w:t>
            </w:r>
          </w:p>
        </w:tc>
      </w:tr>
    </w:tbl>
    <w:p/>
    <w:p>
      <w:pPr>
        <w:jc w:val="center"/>
      </w:pPr>
      <w:r>
        <w:rPr>
          <w:i/>
          <w:color w:val="66727C"/>
          <w:sz w:val="20"/>
        </w:rPr>
        <w:t>Materiał edukacyjny oparty na klinicznym porządku myślenia. Nie zastępuje badania lekarsko-weterynaryjnego, ale pomaga szybciej dojść do właściwego rozpoznania i sensownego planu.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8"/>
            <w:tcMar>
              <w:top w:w="150" w:type="dxa"/>
              <w:start w:w="170" w:type="dxa"/>
              <w:bottom w:w="150" w:type="dxa"/>
              <w:end w:w="170" w:type="dxa"/>
            </w:tcMar>
          </w:tcPr>
          <w:p>
            <w:r>
              <w:rPr>
                <w:b/>
                <w:color w:val="4E3758"/>
                <w:sz w:val="22"/>
              </w:rPr>
              <w:t>Dla kogo jest ten materiał</w:t>
            </w:r>
          </w:p>
          <w:p>
            <w:pPr>
              <w:spacing w:before="40" w:after="0" w:line="276" w:lineRule="auto"/>
            </w:pPr>
            <w:r>
              <w:rPr>
                <w:color w:val="27323A"/>
                <w:sz w:val="20"/>
              </w:rPr>
              <w:t>Dla opiekuna, który widzi incydenty poza kuwetą i nie chce zgadywać, czy problem wynika z bólu, pęcherza, stresu, złej kuwety, znakowania czy napięcia społecznego. To flagship PDF dla sytuacji, w której problem jest szerszy niż pojedynczy objaw i wymaga uporządkowania całego obrazu.</w:t>
            </w:r>
          </w:p>
        </w:tc>
      </w:tr>
    </w:tbl>
    <w:p/>
    <w:p>
      <w:pPr>
        <w:pStyle w:val="Heading1"/>
      </w:pPr>
      <w:r>
        <w:t>Dla kogo jest ten materiał</w:t>
      </w:r>
    </w:p>
    <w:p>
      <w:r>
        <w:t>Dla opiekuna, który widzi już problem poza kuwetą i potrzebuje uporządkować diagnostykę: odróżnić znakowanie od mikcji poza kuwetą, ocenić tło medyczne, środowisko, konflikt i sens kolejnych kroków.</w:t>
      </w:r>
    </w:p>
    <w:p>
      <w:pPr>
        <w:spacing w:before="140" w:after="80" w:line="252" w:lineRule="auto"/>
      </w:pPr>
      <w:r>
        <w:rPr>
          <w:rFonts w:ascii="Aptos Display" w:hAnsi="Aptos Display"/>
          <w:b/>
          <w:color w:val="4E3758"/>
          <w:sz w:val="41"/>
        </w:rPr>
        <w:t>Co znajdziesz w środku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4E3758"/>
                <w:sz w:val="22"/>
              </w:rPr>
              <w:t>Mapa diagnostyczna</w:t>
            </w:r>
          </w:p>
          <w:p>
            <w:pPr>
              <w:spacing w:before="40" w:after="0" w:line="259" w:lineRule="auto"/>
            </w:pPr>
            <w:r>
              <w:rPr>
                <w:color w:val="27323A"/>
                <w:sz w:val="19"/>
              </w:rPr>
              <w:t>4 główne grupy przyczyn: medycyna, FIC i stres, znakowanie oraz środowisko i kuweta</w:t>
            </w:r>
          </w:p>
        </w:tc>
        <w:tc>
          <w:tcPr>
            <w:tcW w:type="dxa" w:w="5100"/>
            <w:vAlign w:val="center"/>
            <w:tcMar>
              <w:top w:w="120" w:type="dxa"/>
              <w:start w:w="130" w:type="dxa"/>
              <w:bottom w:w="120" w:type="dxa"/>
              <w:end w:w="130" w:type="dxa"/>
            </w:tcMar>
            <w:shd w:fill="EEF5EF"/>
          </w:tcPr>
          <w:p>
            <w:r>
              <w:rPr>
                <w:b/>
                <w:color w:val="4E3758"/>
                <w:sz w:val="22"/>
              </w:rPr>
              <w:t>Różnicowanie wzorca</w:t>
            </w:r>
          </w:p>
          <w:p>
            <w:pPr>
              <w:spacing w:before="40" w:after="0" w:line="259" w:lineRule="auto"/>
            </w:pPr>
            <w:r>
              <w:rPr>
                <w:color w:val="27323A"/>
                <w:sz w:val="19"/>
              </w:rPr>
              <w:t>jak odróżnić znakowanie, mikcję poza kuwetą, ból i awersję do kuwety</w:t>
            </w:r>
          </w:p>
        </w:tc>
      </w:tr>
      <w:tr>
        <w:tc>
          <w:tcPr>
            <w:tcW w:type="dxa" w:w="5100"/>
            <w:vAlign w:val="center"/>
            <w:tcMar>
              <w:top w:w="120" w:type="dxa"/>
              <w:start w:w="130" w:type="dxa"/>
              <w:bottom w:w="120" w:type="dxa"/>
              <w:end w:w="130" w:type="dxa"/>
            </w:tcMar>
            <w:shd w:fill="F8EEF3"/>
          </w:tcPr>
          <w:p>
            <w:r>
              <w:rPr>
                <w:b/>
                <w:color w:val="4E3758"/>
                <w:sz w:val="22"/>
              </w:rPr>
              <w:t>Projekt idealnej kuwety</w:t>
            </w:r>
          </w:p>
          <w:p>
            <w:pPr>
              <w:spacing w:before="40" w:after="0" w:line="259" w:lineRule="auto"/>
            </w:pPr>
            <w:r>
              <w:rPr>
                <w:color w:val="27323A"/>
                <w:sz w:val="19"/>
              </w:rPr>
              <w:t>wielkość, próg, żwirek, lokalizacja, droga wejścia i wyjścia</w:t>
            </w:r>
          </w:p>
        </w:tc>
        <w:tc>
          <w:tcPr>
            <w:tcW w:type="dxa" w:w="5100"/>
            <w:vAlign w:val="center"/>
            <w:tcMar>
              <w:top w:w="120" w:type="dxa"/>
              <w:start w:w="130" w:type="dxa"/>
              <w:bottom w:w="120" w:type="dxa"/>
              <w:end w:w="130" w:type="dxa"/>
            </w:tcMar>
            <w:shd w:fill="F8F1E5"/>
          </w:tcPr>
          <w:p>
            <w:r>
              <w:rPr>
                <w:b/>
                <w:color w:val="4E3758"/>
                <w:sz w:val="22"/>
              </w:rPr>
              <w:t>Dom wielokotowy</w:t>
            </w:r>
          </w:p>
          <w:p>
            <w:pPr>
              <w:spacing w:before="40" w:after="0" w:line="259" w:lineRule="auto"/>
            </w:pPr>
            <w:r>
              <w:rPr>
                <w:color w:val="27323A"/>
                <w:sz w:val="19"/>
              </w:rPr>
              <w:t>kiedy napięcie społeczne i blokowanie dostępu napędzają incydenty</w:t>
            </w:r>
          </w:p>
        </w:tc>
      </w:tr>
      <w:tr>
        <w:tc>
          <w:tcPr>
            <w:tcW w:type="dxa" w:w="5100"/>
            <w:vAlign w:val="center"/>
            <w:tcMar>
              <w:top w:w="120" w:type="dxa"/>
              <w:start w:w="130" w:type="dxa"/>
              <w:bottom w:w="120" w:type="dxa"/>
              <w:end w:w="130" w:type="dxa"/>
            </w:tcMar>
            <w:shd w:fill="F1ECF7"/>
          </w:tcPr>
          <w:p>
            <w:r>
              <w:rPr>
                <w:b/>
                <w:color w:val="4E3758"/>
                <w:sz w:val="22"/>
              </w:rPr>
              <w:t>Plan krok po kroku</w:t>
            </w:r>
          </w:p>
          <w:p>
            <w:pPr>
              <w:spacing w:before="40" w:after="0" w:line="259" w:lineRule="auto"/>
            </w:pPr>
            <w:r>
              <w:rPr>
                <w:color w:val="27323A"/>
                <w:sz w:val="19"/>
              </w:rPr>
              <w:t>co robić najpierw, czego nie pomijać i jak nie testować wszystkiego naraz</w:t>
            </w:r>
          </w:p>
        </w:tc>
        <w:tc>
          <w:tcPr>
            <w:tcW w:type="dxa" w:w="5100"/>
            <w:vAlign w:val="center"/>
            <w:tcMar>
              <w:top w:w="120" w:type="dxa"/>
              <w:start w:w="130" w:type="dxa"/>
              <w:bottom w:w="120" w:type="dxa"/>
              <w:end w:w="130" w:type="dxa"/>
            </w:tcMar>
            <w:shd w:fill="DFEAF3"/>
          </w:tcPr>
          <w:p>
            <w:r>
              <w:rPr>
                <w:b/>
                <w:color w:val="4E3758"/>
                <w:sz w:val="22"/>
              </w:rPr>
              <w:t>Audyt i dziennik</w:t>
            </w:r>
          </w:p>
          <w:p>
            <w:pPr>
              <w:spacing w:before="40" w:after="0" w:line="259" w:lineRule="auto"/>
            </w:pPr>
            <w:r>
              <w:rPr>
                <w:color w:val="27323A"/>
                <w:sz w:val="19"/>
              </w:rPr>
              <w:t>narzędzia do domu, do konsultacji i do oceny trendu poprawy</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8"/>
            <w:tcMar>
              <w:top w:w="150" w:type="dxa"/>
              <w:start w:w="170" w:type="dxa"/>
              <w:bottom w:w="150" w:type="dxa"/>
              <w:end w:w="170" w:type="dxa"/>
            </w:tcMar>
          </w:tcPr>
          <w:p>
            <w:r>
              <w:rPr>
                <w:b/>
                <w:color w:val="4E3758"/>
                <w:sz w:val="22"/>
              </w:rPr>
              <w:t>Najkrócej</w:t>
            </w:r>
          </w:p>
          <w:p>
            <w:pPr>
              <w:spacing w:before="40" w:after="0" w:line="276" w:lineRule="auto"/>
            </w:pPr>
            <w:r>
              <w:rPr>
                <w:color w:val="27323A"/>
                <w:sz w:val="20"/>
              </w:rPr>
              <w:t>Objaw jest punktem wyjścia, nie rozpoznaniem. Ten sam mocz na łóżku, dywanie albo przy drzwiach może wynikać z bólu przy mikcji, FIC, preferencji podłoża, lęku kuwetowego, znakowania albo konfliktu w domu wielokotowym. Ten materiał pomaga poukładać kolejne pytania, zamiast szukać jednego „triku”.</w:t>
            </w:r>
          </w:p>
        </w:tc>
      </w:tr>
    </w:tbl>
    <w:p/>
    <w:p>
      <w:pPr>
        <w:pStyle w:val="Heading1"/>
      </w:pPr>
      <w:r>
        <w:t>Najkrócej</w:t>
      </w:r>
    </w:p>
    <w:p>
      <w:r>
        <w:t>To flagship ścieżki kuwetowej: materiał nie daje jednego „triku”, tylko prowadzi przez pełną mapę decyzyjną — bezpieczeństwo kliniczne, rozpoznanie wzorca, audyt kuwety, ocenę stresorów i plan wdrażania zmian etapami.</w:t>
      </w:r>
    </w:p>
    <w:p>
      <w:pPr>
        <w:spacing w:before="140" w:after="80" w:line="252" w:lineRule="auto"/>
      </w:pPr>
      <w:r>
        <w:rPr>
          <w:rFonts w:ascii="Aptos Display" w:hAnsi="Aptos Display"/>
          <w:b/>
          <w:color w:val="4E3758"/>
          <w:sz w:val="41"/>
        </w:rPr>
        <w:t>4 główne grupy przyczyn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4E3758"/>
                <w:sz w:val="22"/>
              </w:rPr>
              <w:t>1. Przyczyny medyczne</w:t>
            </w:r>
          </w:p>
          <w:p>
            <w:pPr>
              <w:spacing w:before="40" w:after="0" w:line="259" w:lineRule="auto"/>
            </w:pPr>
            <w:r>
              <w:rPr>
                <w:color w:val="27323A"/>
                <w:sz w:val="19"/>
              </w:rPr>
              <w:t>ból, pilność, utrata kontroli, zaparcia, trudność wejścia do kuwety, choroby dolnych dróg moczowych</w:t>
            </w:r>
          </w:p>
        </w:tc>
        <w:tc>
          <w:tcPr>
            <w:tcW w:type="dxa" w:w="5100"/>
            <w:vAlign w:val="center"/>
            <w:tcMar>
              <w:top w:w="120" w:type="dxa"/>
              <w:start w:w="130" w:type="dxa"/>
              <w:bottom w:w="120" w:type="dxa"/>
              <w:end w:w="130" w:type="dxa"/>
            </w:tcMar>
            <w:shd w:fill="F8EEF3"/>
          </w:tcPr>
          <w:p>
            <w:r>
              <w:rPr>
                <w:b/>
                <w:color w:val="4E3758"/>
                <w:sz w:val="22"/>
              </w:rPr>
              <w:t>2. FIC i stres</w:t>
            </w:r>
          </w:p>
          <w:p>
            <w:pPr>
              <w:spacing w:before="40" w:after="0" w:line="259" w:lineRule="auto"/>
            </w:pPr>
            <w:r>
              <w:rPr>
                <w:color w:val="27323A"/>
                <w:sz w:val="19"/>
              </w:rPr>
              <w:t>objawy pęcherzowe, które nasilają się wraz z przewlekłym napięciem, utratą kontroli i zmianami rutyny</w:t>
            </w:r>
          </w:p>
        </w:tc>
      </w:tr>
      <w:tr>
        <w:tc>
          <w:tcPr>
            <w:tcW w:type="dxa" w:w="5100"/>
            <w:vAlign w:val="center"/>
            <w:tcMar>
              <w:top w:w="120" w:type="dxa"/>
              <w:start w:w="130" w:type="dxa"/>
              <w:bottom w:w="120" w:type="dxa"/>
              <w:end w:w="130" w:type="dxa"/>
            </w:tcMar>
            <w:shd w:fill="F8F1E5"/>
          </w:tcPr>
          <w:p>
            <w:r>
              <w:rPr>
                <w:b/>
                <w:color w:val="4E3758"/>
                <w:sz w:val="22"/>
              </w:rPr>
              <w:t>3. Znakowanie</w:t>
            </w:r>
          </w:p>
          <w:p>
            <w:pPr>
              <w:spacing w:before="40" w:after="0" w:line="259" w:lineRule="auto"/>
            </w:pPr>
            <w:r>
              <w:rPr>
                <w:color w:val="27323A"/>
                <w:sz w:val="19"/>
              </w:rPr>
              <w:t>komunikacja zapachowa, zwykle małymi porcjami, częściej na powierzchniach pionowych i w strefach granicznych</w:t>
            </w:r>
          </w:p>
        </w:tc>
        <w:tc>
          <w:tcPr>
            <w:tcW w:type="dxa" w:w="5100"/>
            <w:vAlign w:val="center"/>
            <w:tcMar>
              <w:top w:w="120" w:type="dxa"/>
              <w:start w:w="130" w:type="dxa"/>
              <w:bottom w:w="120" w:type="dxa"/>
              <w:end w:w="130" w:type="dxa"/>
            </w:tcMar>
            <w:shd w:fill="EEF5EF"/>
          </w:tcPr>
          <w:p>
            <w:r>
              <w:rPr>
                <w:b/>
                <w:color w:val="4E3758"/>
                <w:sz w:val="22"/>
              </w:rPr>
              <w:t>4. Środowisko i kuweta</w:t>
            </w:r>
          </w:p>
          <w:p>
            <w:pPr>
              <w:spacing w:before="40" w:after="0" w:line="259" w:lineRule="auto"/>
            </w:pPr>
            <w:r>
              <w:rPr>
                <w:color w:val="27323A"/>
                <w:sz w:val="19"/>
              </w:rPr>
              <w:t>awersja do kuwety, preferencja podłoża, za mała liczba kuwet, zła lokalizacja i presja społeczna</w:t>
            </w:r>
          </w:p>
        </w:tc>
      </w:tr>
    </w:tbl>
    <w:p/>
    <w:p>
      <w:pPr>
        <w:spacing w:before="140" w:after="60" w:line="252" w:lineRule="auto"/>
      </w:pPr>
      <w:r>
        <w:rPr>
          <w:rFonts w:ascii="Aptos Display" w:hAnsi="Aptos Display"/>
          <w:b/>
          <w:color w:val="4E3758"/>
          <w:sz w:val="28"/>
        </w:rPr>
        <w:t>Jak czytać tę mapę</w:t>
      </w:r>
    </w:p>
    <w:p>
      <w:pPr>
        <w:spacing w:before="0" w:after="120" w:line="283" w:lineRule="auto"/>
      </w:pPr>
      <w:r>
        <w:rPr>
          <w:color w:val="27323A"/>
          <w:sz w:val="21"/>
        </w:rPr>
        <w:t>W praktyce u jednego kota często współistnieje kilka mechanizmów. Może mieć zbyt małą kuwetę, jednocześnie żyć w konflikcie z drugim kotem i dodatkowo przechodzić epizod FIC. Dlatego dobry plan nie polega na jednej gwałtownej zmianie, ale na uporządkowaniu kolejności: bezpieczeństwo kliniczne, rozpoznanie wzorca, audyt kuwety, ocena stresorów i dopiero wtedy cierpliwe wdrażanie zmian.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5EF"/>
            <w:tcMar>
              <w:top w:w="140" w:type="dxa"/>
              <w:start w:w="150" w:type="dxa"/>
              <w:bottom w:w="120" w:type="dxa"/>
              <w:end w:w="150" w:type="dxa"/>
            </w:tcMar>
          </w:tcPr>
          <w:p>
            <w:r>
              <w:rPr>
                <w:b/>
                <w:color w:val="4E3758"/>
                <w:sz w:val="22"/>
              </w:rPr>
              <w:t>Trzy zasady, które skracają drogę do poprawy</w:t>
            </w:r>
          </w:p>
          <w:p>
            <w:pPr>
              <w:pStyle w:val="ListBullet"/>
              <w:spacing w:before="0" w:after="0" w:line="252" w:lineRule="auto"/>
            </w:pPr>
            <w:r>
              <w:rPr>
                <w:color w:val="27323A"/>
                <w:sz w:val="20"/>
              </w:rPr>
              <w:t>myśl równolegle o zdrowiu, środowisku i relacjach społecznych</w:t>
            </w:r>
          </w:p>
          <w:p>
            <w:pPr>
              <w:pStyle w:val="ListBullet"/>
              <w:spacing w:before="0" w:after="0" w:line="252" w:lineRule="auto"/>
            </w:pPr>
            <w:r>
              <w:rPr>
                <w:color w:val="27323A"/>
                <w:sz w:val="20"/>
              </w:rPr>
              <w:t>nie zakładaj złośliwości ani „charakteru” jako przyczyny</w:t>
            </w:r>
          </w:p>
          <w:p>
            <w:pPr>
              <w:pStyle w:val="ListBullet"/>
              <w:spacing w:before="0" w:after="0" w:line="252" w:lineRule="auto"/>
            </w:pPr>
            <w:r>
              <w:rPr>
                <w:color w:val="27323A"/>
                <w:sz w:val="20"/>
              </w:rPr>
              <w:t>nie wprowadzaj wszystkich zmian naraz, bo tracisz informację, co realnie działa</w:t>
            </w:r>
          </w:p>
        </w:tc>
      </w:tr>
    </w:tbl>
    <w:p/>
    <w:p>
      <w:pPr>
        <w:spacing w:before="140" w:after="80" w:line="252" w:lineRule="auto"/>
      </w:pPr>
      <w:r>
        <w:rPr>
          <w:rFonts w:ascii="Aptos Display" w:hAnsi="Aptos Display"/>
          <w:b/>
          <w:color w:val="4E3758"/>
          <w:sz w:val="41"/>
        </w:rPr>
        <w:t>Znakowanie czy mikcja poza kuwetą?</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DFEAF3"/>
            <w:tcMar>
              <w:top w:w="120" w:type="dxa"/>
              <w:start w:w="120" w:type="dxa"/>
              <w:bottom w:w="120" w:type="dxa"/>
              <w:end w:w="120" w:type="dxa"/>
            </w:tcMar>
            <w:vAlign w:val="center"/>
          </w:tcPr>
          <w:p>
            <w:pPr>
              <w:jc w:val="center"/>
            </w:pPr>
            <w:r>
              <w:rPr>
                <w:b/>
                <w:color w:val="4E3758"/>
                <w:sz w:val="19"/>
              </w:rPr>
              <w:t>Cecha</w:t>
            </w:r>
          </w:p>
        </w:tc>
        <w:tc>
          <w:tcPr>
            <w:tcW w:type="dxa" w:w="3458"/>
            <w:shd w:fill="DFEAF3"/>
            <w:tcMar>
              <w:top w:w="120" w:type="dxa"/>
              <w:start w:w="120" w:type="dxa"/>
              <w:bottom w:w="120" w:type="dxa"/>
              <w:end w:w="120" w:type="dxa"/>
            </w:tcMar>
            <w:vAlign w:val="center"/>
          </w:tcPr>
          <w:p>
            <w:pPr>
              <w:jc w:val="center"/>
            </w:pPr>
            <w:r>
              <w:rPr>
                <w:b/>
                <w:color w:val="4E3758"/>
                <w:sz w:val="19"/>
              </w:rPr>
              <w:t>Znakowanie moczem</w:t>
            </w:r>
          </w:p>
        </w:tc>
        <w:tc>
          <w:tcPr>
            <w:tcW w:type="dxa" w:w="3458"/>
            <w:shd w:fill="DFEAF3"/>
            <w:tcMar>
              <w:top w:w="120" w:type="dxa"/>
              <w:start w:w="120" w:type="dxa"/>
              <w:bottom w:w="120" w:type="dxa"/>
              <w:end w:w="120" w:type="dxa"/>
            </w:tcMar>
            <w:vAlign w:val="center"/>
          </w:tcPr>
          <w:p>
            <w:pPr>
              <w:jc w:val="center"/>
            </w:pPr>
            <w:r>
              <w:rPr>
                <w:b/>
                <w:color w:val="4E3758"/>
                <w:sz w:val="19"/>
              </w:rPr>
              <w:t>Mikcja poza kuwetą</w:t>
            </w:r>
          </w:p>
        </w:tc>
      </w:tr>
      <w:tr>
        <w:tc>
          <w:tcPr>
            <w:tcW w:type="dxa" w:w="1814"/>
            <w:shd w:fill="F4F5F7"/>
            <w:tcMar>
              <w:top w:w="115" w:type="dxa"/>
              <w:start w:w="120" w:type="dxa"/>
              <w:bottom w:w="115" w:type="dxa"/>
              <w:end w:w="120" w:type="dxa"/>
            </w:tcMar>
            <w:vAlign w:val="center"/>
          </w:tcPr>
          <w:p>
            <w:pPr>
              <w:jc w:val="center"/>
            </w:pPr>
            <w:r>
              <w:rPr>
                <w:color w:val="27323A"/>
                <w:sz w:val="18"/>
              </w:rPr>
              <w:t>Objętość moczu</w:t>
            </w:r>
          </w:p>
        </w:tc>
        <w:tc>
          <w:tcPr>
            <w:tcW w:type="dxa" w:w="3458"/>
            <w:shd w:fill="F8EEF3"/>
            <w:tcMar>
              <w:top w:w="115" w:type="dxa"/>
              <w:start w:w="120" w:type="dxa"/>
              <w:bottom w:w="115" w:type="dxa"/>
              <w:end w:w="120" w:type="dxa"/>
            </w:tcMar>
            <w:vAlign w:val="center"/>
          </w:tcPr>
          <w:p>
            <w:pPr>
              <w:jc w:val="left"/>
            </w:pPr>
            <w:r>
              <w:rPr>
                <w:color w:val="27323A"/>
                <w:sz w:val="18"/>
              </w:rPr>
              <w:t>zwykle mała</w:t>
            </w:r>
          </w:p>
        </w:tc>
        <w:tc>
          <w:tcPr>
            <w:tcW w:type="dxa" w:w="3458"/>
            <w:shd w:fill="F8EEF3"/>
            <w:tcMar>
              <w:top w:w="115" w:type="dxa"/>
              <w:start w:w="120" w:type="dxa"/>
              <w:bottom w:w="115" w:type="dxa"/>
              <w:end w:w="120" w:type="dxa"/>
            </w:tcMar>
            <w:vAlign w:val="center"/>
          </w:tcPr>
          <w:p>
            <w:pPr>
              <w:jc w:val="left"/>
            </w:pPr>
            <w:r>
              <w:rPr>
                <w:color w:val="27323A"/>
                <w:sz w:val="18"/>
              </w:rPr>
              <w:t>często większa</w:t>
            </w:r>
          </w:p>
        </w:tc>
      </w:tr>
      <w:tr>
        <w:tc>
          <w:tcPr>
            <w:tcW w:type="dxa" w:w="1814"/>
            <w:shd w:fill="F4F5F7"/>
            <w:tcMar>
              <w:top w:w="115" w:type="dxa"/>
              <w:start w:w="120" w:type="dxa"/>
              <w:bottom w:w="115" w:type="dxa"/>
              <w:end w:w="120" w:type="dxa"/>
            </w:tcMar>
            <w:vAlign w:val="center"/>
          </w:tcPr>
          <w:p>
            <w:pPr>
              <w:jc w:val="center"/>
            </w:pPr>
            <w:r>
              <w:rPr>
                <w:color w:val="27323A"/>
                <w:sz w:val="18"/>
              </w:rPr>
              <w:t>Powierzchnia</w:t>
            </w:r>
          </w:p>
        </w:tc>
        <w:tc>
          <w:tcPr>
            <w:tcW w:type="dxa" w:w="3458"/>
            <w:shd w:fill="EEF4F8"/>
            <w:tcMar>
              <w:top w:w="115" w:type="dxa"/>
              <w:start w:w="120" w:type="dxa"/>
              <w:bottom w:w="115" w:type="dxa"/>
              <w:end w:w="120" w:type="dxa"/>
            </w:tcMar>
            <w:vAlign w:val="center"/>
          </w:tcPr>
          <w:p>
            <w:pPr>
              <w:jc w:val="left"/>
            </w:pPr>
            <w:r>
              <w:rPr>
                <w:color w:val="27323A"/>
                <w:sz w:val="18"/>
              </w:rPr>
              <w:t>częściej pionowa</w:t>
            </w:r>
          </w:p>
        </w:tc>
        <w:tc>
          <w:tcPr>
            <w:tcW w:type="dxa" w:w="3458"/>
            <w:shd w:fill="EEF4F8"/>
            <w:tcMar>
              <w:top w:w="115" w:type="dxa"/>
              <w:start w:w="120" w:type="dxa"/>
              <w:bottom w:w="115" w:type="dxa"/>
              <w:end w:w="120" w:type="dxa"/>
            </w:tcMar>
            <w:vAlign w:val="center"/>
          </w:tcPr>
          <w:p>
            <w:pPr>
              <w:jc w:val="left"/>
            </w:pPr>
            <w:r>
              <w:rPr>
                <w:color w:val="27323A"/>
                <w:sz w:val="18"/>
              </w:rPr>
              <w:t>częściej pozioma</w:t>
            </w:r>
          </w:p>
        </w:tc>
      </w:tr>
      <w:tr>
        <w:tc>
          <w:tcPr>
            <w:tcW w:type="dxa" w:w="1814"/>
            <w:shd w:fill="F4F5F7"/>
            <w:tcMar>
              <w:top w:w="115" w:type="dxa"/>
              <w:start w:w="120" w:type="dxa"/>
              <w:bottom w:w="115" w:type="dxa"/>
              <w:end w:w="120" w:type="dxa"/>
            </w:tcMar>
            <w:vAlign w:val="center"/>
          </w:tcPr>
          <w:p>
            <w:pPr>
              <w:jc w:val="center"/>
            </w:pPr>
            <w:r>
              <w:rPr>
                <w:color w:val="27323A"/>
                <w:sz w:val="18"/>
              </w:rPr>
              <w:t>Postawa ciała</w:t>
            </w:r>
          </w:p>
        </w:tc>
        <w:tc>
          <w:tcPr>
            <w:tcW w:type="dxa" w:w="3458"/>
            <w:shd w:fill="EEF5EF"/>
            <w:tcMar>
              <w:top w:w="115" w:type="dxa"/>
              <w:start w:w="120" w:type="dxa"/>
              <w:bottom w:w="115" w:type="dxa"/>
              <w:end w:w="120" w:type="dxa"/>
            </w:tcMar>
            <w:vAlign w:val="center"/>
          </w:tcPr>
          <w:p>
            <w:pPr>
              <w:jc w:val="left"/>
            </w:pPr>
            <w:r>
              <w:rPr>
                <w:color w:val="27323A"/>
                <w:sz w:val="18"/>
              </w:rPr>
              <w:t>ogon uniesiony, często drży</w:t>
            </w:r>
          </w:p>
        </w:tc>
        <w:tc>
          <w:tcPr>
            <w:tcW w:type="dxa" w:w="3458"/>
            <w:shd w:fill="EEF5EF"/>
            <w:tcMar>
              <w:top w:w="115" w:type="dxa"/>
              <w:start w:w="120" w:type="dxa"/>
              <w:bottom w:w="115" w:type="dxa"/>
              <w:end w:w="120" w:type="dxa"/>
            </w:tcMar>
            <w:vAlign w:val="center"/>
          </w:tcPr>
          <w:p>
            <w:pPr>
              <w:jc w:val="left"/>
            </w:pPr>
            <w:r>
              <w:rPr>
                <w:color w:val="27323A"/>
                <w:sz w:val="18"/>
              </w:rPr>
              <w:t>pozycja bardziej zbliżona do normalnej mikcji</w:t>
            </w:r>
          </w:p>
        </w:tc>
      </w:tr>
      <w:tr>
        <w:tc>
          <w:tcPr>
            <w:tcW w:type="dxa" w:w="1814"/>
            <w:shd w:fill="F4F5F7"/>
            <w:tcMar>
              <w:top w:w="115" w:type="dxa"/>
              <w:start w:w="120" w:type="dxa"/>
              <w:bottom w:w="115" w:type="dxa"/>
              <w:end w:w="120" w:type="dxa"/>
            </w:tcMar>
            <w:vAlign w:val="center"/>
          </w:tcPr>
          <w:p>
            <w:pPr>
              <w:jc w:val="center"/>
            </w:pPr>
            <w:r>
              <w:rPr>
                <w:color w:val="27323A"/>
                <w:sz w:val="18"/>
              </w:rPr>
              <w:t>Tło problemu</w:t>
            </w:r>
          </w:p>
        </w:tc>
        <w:tc>
          <w:tcPr>
            <w:tcW w:type="dxa" w:w="3458"/>
            <w:shd w:fill="F8F1E5"/>
            <w:tcMar>
              <w:top w:w="115" w:type="dxa"/>
              <w:start w:w="120" w:type="dxa"/>
              <w:bottom w:w="115" w:type="dxa"/>
              <w:end w:w="120" w:type="dxa"/>
            </w:tcMar>
            <w:vAlign w:val="center"/>
          </w:tcPr>
          <w:p>
            <w:pPr>
              <w:jc w:val="left"/>
            </w:pPr>
            <w:r>
              <w:rPr>
                <w:color w:val="27323A"/>
                <w:sz w:val="18"/>
              </w:rPr>
              <w:t>terytorium, stres, komunikacja</w:t>
            </w:r>
          </w:p>
        </w:tc>
        <w:tc>
          <w:tcPr>
            <w:tcW w:type="dxa" w:w="3458"/>
            <w:shd w:fill="F8F1E5"/>
            <w:tcMar>
              <w:top w:w="115" w:type="dxa"/>
              <w:start w:w="120" w:type="dxa"/>
              <w:bottom w:w="115" w:type="dxa"/>
              <w:end w:w="120" w:type="dxa"/>
            </w:tcMar>
            <w:vAlign w:val="center"/>
          </w:tcPr>
          <w:p>
            <w:pPr>
              <w:jc w:val="left"/>
            </w:pPr>
            <w:r>
              <w:rPr>
                <w:color w:val="27323A"/>
                <w:sz w:val="18"/>
              </w:rPr>
              <w:t>ból, awersja do kuwety, preferencja podłoża lub trudność dostępu</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EEF3"/>
            <w:tcMar>
              <w:top w:w="150" w:type="dxa"/>
              <w:start w:w="170" w:type="dxa"/>
              <w:bottom w:w="150" w:type="dxa"/>
              <w:end w:w="170" w:type="dxa"/>
            </w:tcMar>
          </w:tcPr>
          <w:p>
            <w:r>
              <w:rPr>
                <w:b/>
                <w:color w:val="4E3758"/>
                <w:sz w:val="22"/>
              </w:rPr>
              <w:t>Pułapka interpretacyjna</w:t>
            </w:r>
          </w:p>
          <w:p>
            <w:pPr>
              <w:spacing w:before="40" w:after="0" w:line="276" w:lineRule="auto"/>
            </w:pPr>
            <w:r>
              <w:rPr>
                <w:color w:val="27323A"/>
                <w:sz w:val="20"/>
              </w:rPr>
              <w:t>Wiele domów przegrywa z problemem dlatego, że wszystkie incydenty wrzuca do jednego worka. Tymczasem znakowanie i mikcja poza kuwetą wymagają innej rozmowy diagnostycznej. Sama obserwacja ilości, powierzchni i postawy ciała może bardzo uporządkować kolejne decyzje.</w:t>
            </w:r>
          </w:p>
        </w:tc>
      </w:tr>
    </w:tbl>
    <w:p/>
    <w:p>
      <w:pPr>
        <w:spacing w:before="140" w:after="60" w:line="252" w:lineRule="auto"/>
      </w:pPr>
      <w:r>
        <w:rPr>
          <w:rFonts w:ascii="Aptos Display" w:hAnsi="Aptos Display"/>
          <w:b/>
          <w:color w:val="4E3758"/>
          <w:sz w:val="28"/>
        </w:rPr>
        <w:t>Kiedy myśleć szczególnie o FIC i stresie</w:t>
      </w:r>
    </w:p>
    <w:p>
      <w:pPr>
        <w:spacing w:before="0" w:after="120" w:line="283" w:lineRule="auto"/>
      </w:pPr>
      <w:r>
        <w:rPr>
          <w:color w:val="27323A"/>
          <w:sz w:val="21"/>
        </w:rPr>
        <w:t>Jeżeli pojawia się parcie, liczne wizyty w kuwecie, ból, nawracające epizody i wyraźny związek z napięciem środowiskowym, trzeba myśleć jednocześnie o ścieżce medycznej i stresowej. FIC nie oznacza, że problem jest „tylko behawioralny”. Oznacza, że objawy pęcherzowe i układ stresu mogą napędzać się nawzajem.</w:t>
      </w:r>
    </w:p>
    <w:p>
      <w:r>
        <w:br w:type="page"/>
      </w:r>
    </w:p>
    <w:p>
      <w:pPr>
        <w:spacing w:before="140" w:after="80" w:line="252" w:lineRule="auto"/>
      </w:pPr>
      <w:r>
        <w:rPr>
          <w:rFonts w:ascii="Aptos Display" w:hAnsi="Aptos Display"/>
          <w:b/>
          <w:color w:val="4E3758"/>
          <w:sz w:val="41"/>
        </w:rPr>
        <w:t>Projekt idealnej kuwety</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DFEAF3"/>
            <w:tcMar>
              <w:top w:w="120" w:type="dxa"/>
              <w:start w:w="120" w:type="dxa"/>
              <w:bottom w:w="120" w:type="dxa"/>
              <w:end w:w="120" w:type="dxa"/>
            </w:tcMar>
            <w:vAlign w:val="center"/>
          </w:tcPr>
          <w:p>
            <w:pPr>
              <w:jc w:val="center"/>
            </w:pPr>
            <w:r>
              <w:rPr>
                <w:b/>
                <w:color w:val="4E3758"/>
                <w:sz w:val="19"/>
              </w:rPr>
              <w:t>Element</w:t>
            </w:r>
          </w:p>
        </w:tc>
        <w:tc>
          <w:tcPr>
            <w:tcW w:type="dxa" w:w="3402"/>
            <w:shd w:fill="DFEAF3"/>
            <w:tcMar>
              <w:top w:w="120" w:type="dxa"/>
              <w:start w:w="120" w:type="dxa"/>
              <w:bottom w:w="120" w:type="dxa"/>
              <w:end w:w="120" w:type="dxa"/>
            </w:tcMar>
            <w:vAlign w:val="center"/>
          </w:tcPr>
          <w:p>
            <w:pPr>
              <w:jc w:val="center"/>
            </w:pPr>
            <w:r>
              <w:rPr>
                <w:b/>
                <w:color w:val="4E3758"/>
                <w:sz w:val="19"/>
              </w:rPr>
              <w:t>Najczęstszy błąd</w:t>
            </w:r>
          </w:p>
        </w:tc>
        <w:tc>
          <w:tcPr>
            <w:tcW w:type="dxa" w:w="3515"/>
            <w:shd w:fill="DFEAF3"/>
            <w:tcMar>
              <w:top w:w="120" w:type="dxa"/>
              <w:start w:w="120" w:type="dxa"/>
              <w:bottom w:w="120" w:type="dxa"/>
              <w:end w:w="120" w:type="dxa"/>
            </w:tcMar>
            <w:vAlign w:val="center"/>
          </w:tcPr>
          <w:p>
            <w:pPr>
              <w:jc w:val="center"/>
            </w:pPr>
            <w:r>
              <w:rPr>
                <w:b/>
                <w:color w:val="4E3758"/>
                <w:sz w:val="19"/>
              </w:rPr>
              <w:t>Rozwiązanie praktyczne</w:t>
            </w:r>
          </w:p>
        </w:tc>
      </w:tr>
      <w:tr>
        <w:tc>
          <w:tcPr>
            <w:tcW w:type="dxa" w:w="1814"/>
            <w:shd w:fill="F4F5F7"/>
            <w:tcMar>
              <w:top w:w="115" w:type="dxa"/>
              <w:start w:w="120" w:type="dxa"/>
              <w:bottom w:w="115" w:type="dxa"/>
              <w:end w:w="120" w:type="dxa"/>
            </w:tcMar>
            <w:vAlign w:val="center"/>
          </w:tcPr>
          <w:p>
            <w:pPr>
              <w:jc w:val="center"/>
            </w:pPr>
            <w:r>
              <w:rPr>
                <w:color w:val="27323A"/>
                <w:sz w:val="18"/>
              </w:rPr>
              <w:t>Wielkość</w:t>
            </w:r>
          </w:p>
        </w:tc>
        <w:tc>
          <w:tcPr>
            <w:tcW w:type="dxa" w:w="3402"/>
            <w:shd w:fill="EEF4F8"/>
            <w:tcMar>
              <w:top w:w="115" w:type="dxa"/>
              <w:start w:w="120" w:type="dxa"/>
              <w:bottom w:w="115" w:type="dxa"/>
              <w:end w:w="120" w:type="dxa"/>
            </w:tcMar>
            <w:vAlign w:val="center"/>
          </w:tcPr>
          <w:p>
            <w:pPr>
              <w:jc w:val="left"/>
            </w:pPr>
            <w:r>
              <w:rPr>
                <w:color w:val="27323A"/>
                <w:sz w:val="18"/>
              </w:rPr>
              <w:t>pojemnik jest zbyt krótki lub zbyt wąski</w:t>
            </w:r>
          </w:p>
        </w:tc>
        <w:tc>
          <w:tcPr>
            <w:tcW w:type="dxa" w:w="3515"/>
            <w:shd w:fill="EEF4F8"/>
            <w:tcMar>
              <w:top w:w="115" w:type="dxa"/>
              <w:start w:w="120" w:type="dxa"/>
              <w:bottom w:w="115" w:type="dxa"/>
              <w:end w:w="120" w:type="dxa"/>
            </w:tcMar>
            <w:vAlign w:val="center"/>
          </w:tcPr>
          <w:p>
            <w:pPr>
              <w:jc w:val="left"/>
            </w:pPr>
            <w:r>
              <w:rPr>
                <w:color w:val="27323A"/>
                <w:sz w:val="18"/>
              </w:rPr>
              <w:t>celuj w dużą powierzchnię, najlepiej około 1,5 długości kota</w:t>
            </w:r>
          </w:p>
        </w:tc>
      </w:tr>
      <w:tr>
        <w:tc>
          <w:tcPr>
            <w:tcW w:type="dxa" w:w="1814"/>
            <w:shd w:fill="F4F5F7"/>
            <w:tcMar>
              <w:top w:w="115" w:type="dxa"/>
              <w:start w:w="120" w:type="dxa"/>
              <w:bottom w:w="115" w:type="dxa"/>
              <w:end w:w="120" w:type="dxa"/>
            </w:tcMar>
            <w:vAlign w:val="center"/>
          </w:tcPr>
          <w:p>
            <w:pPr>
              <w:jc w:val="center"/>
            </w:pPr>
            <w:r>
              <w:rPr>
                <w:color w:val="27323A"/>
                <w:sz w:val="18"/>
              </w:rPr>
              <w:t>Próg wejścia</w:t>
            </w:r>
          </w:p>
        </w:tc>
        <w:tc>
          <w:tcPr>
            <w:tcW w:type="dxa" w:w="3402"/>
            <w:shd w:fill="EEF5EF"/>
            <w:tcMar>
              <w:top w:w="115" w:type="dxa"/>
              <w:start w:w="120" w:type="dxa"/>
              <w:bottom w:w="115" w:type="dxa"/>
              <w:end w:w="120" w:type="dxa"/>
            </w:tcMar>
            <w:vAlign w:val="center"/>
          </w:tcPr>
          <w:p>
            <w:pPr>
              <w:jc w:val="left"/>
            </w:pPr>
            <w:r>
              <w:rPr>
                <w:color w:val="27323A"/>
                <w:sz w:val="18"/>
              </w:rPr>
              <w:t>za wysoki dla seniora, kota z bólem lub niepewnego</w:t>
            </w:r>
          </w:p>
        </w:tc>
        <w:tc>
          <w:tcPr>
            <w:tcW w:type="dxa" w:w="3515"/>
            <w:shd w:fill="EEF5EF"/>
            <w:tcMar>
              <w:top w:w="115" w:type="dxa"/>
              <w:start w:w="120" w:type="dxa"/>
              <w:bottom w:w="115" w:type="dxa"/>
              <w:end w:w="120" w:type="dxa"/>
            </w:tcMar>
            <w:vAlign w:val="center"/>
          </w:tcPr>
          <w:p>
            <w:pPr>
              <w:jc w:val="left"/>
            </w:pPr>
            <w:r>
              <w:rPr>
                <w:color w:val="27323A"/>
                <w:sz w:val="18"/>
              </w:rPr>
              <w:t>dodaj kuwetę z niższym wejściem albo obniż jedną krawędź</w:t>
            </w:r>
          </w:p>
        </w:tc>
      </w:tr>
      <w:tr>
        <w:tc>
          <w:tcPr>
            <w:tcW w:type="dxa" w:w="1814"/>
            <w:shd w:fill="F4F5F7"/>
            <w:tcMar>
              <w:top w:w="115" w:type="dxa"/>
              <w:start w:w="120" w:type="dxa"/>
              <w:bottom w:w="115" w:type="dxa"/>
              <w:end w:w="120" w:type="dxa"/>
            </w:tcMar>
            <w:vAlign w:val="center"/>
          </w:tcPr>
          <w:p>
            <w:pPr>
              <w:jc w:val="center"/>
            </w:pPr>
            <w:r>
              <w:rPr>
                <w:color w:val="27323A"/>
                <w:sz w:val="18"/>
              </w:rPr>
              <w:t>Żwirek</w:t>
            </w:r>
          </w:p>
        </w:tc>
        <w:tc>
          <w:tcPr>
            <w:tcW w:type="dxa" w:w="3402"/>
            <w:shd w:fill="F8F1E5"/>
            <w:tcMar>
              <w:top w:w="115" w:type="dxa"/>
              <w:start w:w="120" w:type="dxa"/>
              <w:bottom w:w="115" w:type="dxa"/>
              <w:end w:w="120" w:type="dxa"/>
            </w:tcMar>
            <w:vAlign w:val="center"/>
          </w:tcPr>
          <w:p>
            <w:pPr>
              <w:jc w:val="left"/>
            </w:pPr>
            <w:r>
              <w:rPr>
                <w:color w:val="27323A"/>
                <w:sz w:val="18"/>
              </w:rPr>
              <w:t>perfumowany, zbyt gruby albo za głęboki</w:t>
            </w:r>
          </w:p>
        </w:tc>
        <w:tc>
          <w:tcPr>
            <w:tcW w:type="dxa" w:w="3515"/>
            <w:shd w:fill="F8F1E5"/>
            <w:tcMar>
              <w:top w:w="115" w:type="dxa"/>
              <w:start w:w="120" w:type="dxa"/>
              <w:bottom w:w="115" w:type="dxa"/>
              <w:end w:w="120" w:type="dxa"/>
            </w:tcMar>
            <w:vAlign w:val="center"/>
          </w:tcPr>
          <w:p>
            <w:pPr>
              <w:jc w:val="left"/>
            </w:pPr>
            <w:r>
              <w:rPr>
                <w:color w:val="27323A"/>
                <w:sz w:val="18"/>
              </w:rPr>
              <w:t>testuj wariant drobny, niescentowany i przewidywalny</w:t>
            </w:r>
          </w:p>
        </w:tc>
      </w:tr>
      <w:tr>
        <w:tc>
          <w:tcPr>
            <w:tcW w:type="dxa" w:w="1814"/>
            <w:shd w:fill="F4F5F7"/>
            <w:tcMar>
              <w:top w:w="115" w:type="dxa"/>
              <w:start w:w="120" w:type="dxa"/>
              <w:bottom w:w="115" w:type="dxa"/>
              <w:end w:w="120" w:type="dxa"/>
            </w:tcMar>
            <w:vAlign w:val="center"/>
          </w:tcPr>
          <w:p>
            <w:pPr>
              <w:jc w:val="center"/>
            </w:pPr>
            <w:r>
              <w:rPr>
                <w:color w:val="27323A"/>
                <w:sz w:val="18"/>
              </w:rPr>
              <w:t>Lokalizacja</w:t>
            </w:r>
          </w:p>
        </w:tc>
        <w:tc>
          <w:tcPr>
            <w:tcW w:type="dxa" w:w="3402"/>
            <w:shd w:fill="F8EEF3"/>
            <w:tcMar>
              <w:top w:w="115" w:type="dxa"/>
              <w:start w:w="120" w:type="dxa"/>
              <w:bottom w:w="115" w:type="dxa"/>
              <w:end w:w="120" w:type="dxa"/>
            </w:tcMar>
            <w:vAlign w:val="center"/>
          </w:tcPr>
          <w:p>
            <w:pPr>
              <w:jc w:val="left"/>
            </w:pPr>
            <w:r>
              <w:rPr>
                <w:color w:val="27323A"/>
                <w:sz w:val="18"/>
              </w:rPr>
              <w:t>hałas, pralka, ślepy zaułek, ciasny korytarz</w:t>
            </w:r>
          </w:p>
        </w:tc>
        <w:tc>
          <w:tcPr>
            <w:tcW w:type="dxa" w:w="3515"/>
            <w:shd w:fill="F8EEF3"/>
            <w:tcMar>
              <w:top w:w="115" w:type="dxa"/>
              <w:start w:w="120" w:type="dxa"/>
              <w:bottom w:w="115" w:type="dxa"/>
              <w:end w:w="120" w:type="dxa"/>
            </w:tcMar>
            <w:vAlign w:val="center"/>
          </w:tcPr>
          <w:p>
            <w:pPr>
              <w:jc w:val="left"/>
            </w:pPr>
            <w:r>
              <w:rPr>
                <w:color w:val="27323A"/>
                <w:sz w:val="18"/>
              </w:rPr>
              <w:t>ustaw kuwetę w miejscu cichym, z widokiem i drogą odwrotu</w:t>
            </w:r>
          </w:p>
        </w:tc>
      </w:tr>
      <w:tr>
        <w:tc>
          <w:tcPr>
            <w:tcW w:type="dxa" w:w="1814"/>
            <w:shd w:fill="F4F5F7"/>
            <w:tcMar>
              <w:top w:w="115" w:type="dxa"/>
              <w:start w:w="120" w:type="dxa"/>
              <w:bottom w:w="115" w:type="dxa"/>
              <w:end w:w="120" w:type="dxa"/>
            </w:tcMar>
            <w:vAlign w:val="center"/>
          </w:tcPr>
          <w:p>
            <w:pPr>
              <w:jc w:val="center"/>
            </w:pPr>
            <w:r>
              <w:rPr>
                <w:color w:val="27323A"/>
                <w:sz w:val="18"/>
              </w:rPr>
              <w:t>Liczba kuwet</w:t>
            </w:r>
          </w:p>
        </w:tc>
        <w:tc>
          <w:tcPr>
            <w:tcW w:type="dxa" w:w="3402"/>
            <w:shd w:fill="F1ECF7"/>
            <w:tcMar>
              <w:top w:w="115" w:type="dxa"/>
              <w:start w:w="120" w:type="dxa"/>
              <w:bottom w:w="115" w:type="dxa"/>
              <w:end w:w="120" w:type="dxa"/>
            </w:tcMar>
            <w:vAlign w:val="center"/>
          </w:tcPr>
          <w:p>
            <w:pPr>
              <w:jc w:val="left"/>
            </w:pPr>
            <w:r>
              <w:rPr>
                <w:color w:val="27323A"/>
                <w:sz w:val="18"/>
              </w:rPr>
              <w:t>zbyt mało lub wszystkie obok siebie</w:t>
            </w:r>
          </w:p>
        </w:tc>
        <w:tc>
          <w:tcPr>
            <w:tcW w:type="dxa" w:w="3515"/>
            <w:shd w:fill="F1ECF7"/>
            <w:tcMar>
              <w:top w:w="115" w:type="dxa"/>
              <w:start w:w="120" w:type="dxa"/>
              <w:bottom w:w="115" w:type="dxa"/>
              <w:end w:w="120" w:type="dxa"/>
            </w:tcMar>
            <w:vAlign w:val="center"/>
          </w:tcPr>
          <w:p>
            <w:pPr>
              <w:jc w:val="left"/>
            </w:pPr>
            <w:r>
              <w:rPr>
                <w:color w:val="27323A"/>
                <w:sz w:val="18"/>
              </w:rPr>
              <w:t>rozprosz kuwety w różnych częściach domu</w:t>
            </w:r>
          </w:p>
        </w:tc>
      </w:tr>
    </w:tbl>
    <w:p/>
    <w:p>
      <w:pPr>
        <w:spacing w:before="140" w:after="60" w:line="252" w:lineRule="auto"/>
      </w:pPr>
      <w:r>
        <w:rPr>
          <w:rFonts w:ascii="Aptos Display" w:hAnsi="Aptos Display"/>
          <w:b/>
          <w:color w:val="4E3758"/>
          <w:sz w:val="28"/>
        </w:rPr>
        <w:t>Dom wielokotowy i konflikt</w:t>
      </w:r>
    </w:p>
    <w:p>
      <w:pPr>
        <w:spacing w:before="0" w:after="120" w:line="283" w:lineRule="auto"/>
      </w:pPr>
      <w:r>
        <w:rPr>
          <w:color w:val="27323A"/>
          <w:sz w:val="21"/>
        </w:rPr>
        <w:t>W domu wielokotowym problem z kuwetą rzadko jest tylko „o kuwecie”. Nawet dobrze dobrany pojemnik przestaje działać, gdy prowadzi do niego wąski korytarz, próg broniony przez drugiego kota albo miejsce bez drogi ucieczki. Dwie kuwety stojące obok siebie nadal mogą działać jak jedna stacja, jeśli zmuszają koty do bliskiego kontaktu.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5"/>
            <w:tcMar>
              <w:top w:w="140" w:type="dxa"/>
              <w:start w:w="150" w:type="dxa"/>
              <w:bottom w:w="120" w:type="dxa"/>
              <w:end w:w="150" w:type="dxa"/>
            </w:tcMar>
          </w:tcPr>
          <w:p>
            <w:r>
              <w:rPr>
                <w:b/>
                <w:color w:val="4E3758"/>
                <w:sz w:val="22"/>
              </w:rPr>
              <w:t>Co zwykle widać w tle problemu</w:t>
            </w:r>
          </w:p>
          <w:p>
            <w:pPr>
              <w:pStyle w:val="ListBullet"/>
              <w:spacing w:before="0" w:after="0" w:line="252" w:lineRule="auto"/>
            </w:pPr>
            <w:r>
              <w:rPr>
                <w:color w:val="27323A"/>
                <w:sz w:val="20"/>
              </w:rPr>
              <w:t>osobne trasy dojścia i odejścia do kuwety są ważniejsze niż sama liczba pojemników</w:t>
            </w:r>
          </w:p>
          <w:p>
            <w:pPr>
              <w:pStyle w:val="ListBullet"/>
              <w:spacing w:before="0" w:after="0" w:line="252" w:lineRule="auto"/>
            </w:pPr>
            <w:r>
              <w:rPr>
                <w:color w:val="27323A"/>
                <w:sz w:val="20"/>
              </w:rPr>
              <w:t>kot zagrożony może korzystać z kuwety tylko nocą albo wtedy, gdy drugi kot śpi</w:t>
            </w:r>
          </w:p>
          <w:p>
            <w:pPr>
              <w:pStyle w:val="ListBullet"/>
              <w:spacing w:before="0" w:after="0" w:line="252" w:lineRule="auto"/>
            </w:pPr>
            <w:r>
              <w:rPr>
                <w:color w:val="27323A"/>
                <w:sz w:val="20"/>
              </w:rPr>
              <w:t>przy napięciu społecznym oceniaj też miski, przejścia, półki, kryjówki i uwagę człowieka</w:t>
            </w:r>
          </w:p>
        </w:tc>
      </w:tr>
    </w:tbl>
    <w:p/>
    <w:p>
      <w:pPr>
        <w:spacing w:before="140" w:after="80" w:line="252" w:lineRule="auto"/>
      </w:pPr>
      <w:r>
        <w:rPr>
          <w:rFonts w:ascii="Aptos Display" w:hAnsi="Aptos Display"/>
          <w:b/>
          <w:color w:val="4E3758"/>
          <w:sz w:val="41"/>
        </w:rPr>
        <w:t>Pięć filarów zdrowego środowiska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4E3758"/>
                <w:sz w:val="22"/>
              </w:rPr>
              <w:t>Bezpieczne miejsce</w:t>
            </w:r>
          </w:p>
          <w:p>
            <w:pPr>
              <w:spacing w:before="40" w:after="0" w:line="259" w:lineRule="auto"/>
            </w:pPr>
            <w:r>
              <w:rPr>
                <w:color w:val="27323A"/>
                <w:sz w:val="19"/>
              </w:rPr>
              <w:t>kot musi mieć możliwość spokojnego odpoczynku i przewidywalnego korzystania z zasobów</w:t>
            </w:r>
          </w:p>
        </w:tc>
        <w:tc>
          <w:tcPr>
            <w:tcW w:type="dxa" w:w="5100"/>
            <w:vAlign w:val="center"/>
            <w:tcMar>
              <w:top w:w="120" w:type="dxa"/>
              <w:start w:w="130" w:type="dxa"/>
              <w:bottom w:w="120" w:type="dxa"/>
              <w:end w:w="130" w:type="dxa"/>
            </w:tcMar>
            <w:shd w:fill="EEF5EF"/>
          </w:tcPr>
          <w:p>
            <w:r>
              <w:rPr>
                <w:b/>
                <w:color w:val="4E3758"/>
                <w:sz w:val="22"/>
              </w:rPr>
              <w:t>Rozdzielone zasoby</w:t>
            </w:r>
          </w:p>
          <w:p>
            <w:pPr>
              <w:spacing w:before="40" w:after="0" w:line="259" w:lineRule="auto"/>
            </w:pPr>
            <w:r>
              <w:rPr>
                <w:color w:val="27323A"/>
                <w:sz w:val="19"/>
              </w:rPr>
              <w:t>miski, kuwety, kryjówki i miejsca obserwacji nie mogą tworzyć jednej strefy ryzyka</w:t>
            </w:r>
          </w:p>
        </w:tc>
      </w:tr>
      <w:tr>
        <w:tc>
          <w:tcPr>
            <w:tcW w:type="dxa" w:w="5100"/>
            <w:vAlign w:val="center"/>
            <w:tcMar>
              <w:top w:w="120" w:type="dxa"/>
              <w:start w:w="130" w:type="dxa"/>
              <w:bottom w:w="120" w:type="dxa"/>
              <w:end w:w="130" w:type="dxa"/>
            </w:tcMar>
            <w:shd w:fill="F8EEF3"/>
          </w:tcPr>
          <w:p>
            <w:r>
              <w:rPr>
                <w:b/>
                <w:color w:val="4E3758"/>
                <w:sz w:val="22"/>
              </w:rPr>
              <w:t>Przewidywalne interakcje</w:t>
            </w:r>
          </w:p>
          <w:p>
            <w:pPr>
              <w:spacing w:before="40" w:after="0" w:line="259" w:lineRule="auto"/>
            </w:pPr>
            <w:r>
              <w:rPr>
                <w:color w:val="27323A"/>
                <w:sz w:val="19"/>
              </w:rPr>
              <w:t>kontakt z człowiekiem nie powinien dokładać przymusu, pośpiechu ani kary po incydencie</w:t>
            </w:r>
          </w:p>
        </w:tc>
        <w:tc>
          <w:tcPr>
            <w:tcW w:type="dxa" w:w="5100"/>
            <w:vAlign w:val="center"/>
            <w:tcMar>
              <w:top w:w="120" w:type="dxa"/>
              <w:start w:w="130" w:type="dxa"/>
              <w:bottom w:w="120" w:type="dxa"/>
              <w:end w:w="130" w:type="dxa"/>
            </w:tcMar>
            <w:shd w:fill="F8F1E5"/>
          </w:tcPr>
          <w:p>
            <w:r>
              <w:rPr>
                <w:b/>
                <w:color w:val="4E3758"/>
                <w:sz w:val="22"/>
              </w:rPr>
              <w:t>Znaczenie zapachu</w:t>
            </w:r>
          </w:p>
          <w:p>
            <w:pPr>
              <w:spacing w:before="40" w:after="0" w:line="259" w:lineRule="auto"/>
            </w:pPr>
            <w:r>
              <w:rPr>
                <w:color w:val="27323A"/>
                <w:sz w:val="19"/>
              </w:rPr>
              <w:t>silne detergenty i zbyt agresywne czyszczenie mogą utrwalać awersję albo niepokój</w:t>
            </w:r>
          </w:p>
        </w:tc>
      </w:tr>
      <w:tr>
        <w:tc>
          <w:tcPr>
            <w:tcW w:type="dxa" w:w="5100"/>
            <w:vAlign w:val="center"/>
            <w:tcMar>
              <w:top w:w="120" w:type="dxa"/>
              <w:start w:w="130" w:type="dxa"/>
              <w:bottom w:w="120" w:type="dxa"/>
              <w:end w:w="130" w:type="dxa"/>
            </w:tcMar>
            <w:shd w:fill="F1ECF7"/>
          </w:tcPr>
          <w:p>
            <w:r>
              <w:rPr>
                <w:b/>
                <w:color w:val="4E3758"/>
                <w:sz w:val="22"/>
              </w:rPr>
              <w:t>Zabawa i sekwencje łowieckie</w:t>
            </w:r>
          </w:p>
          <w:p>
            <w:pPr>
              <w:spacing w:before="40" w:after="0" w:line="259" w:lineRule="auto"/>
            </w:pPr>
            <w:r>
              <w:rPr>
                <w:color w:val="27323A"/>
                <w:sz w:val="19"/>
              </w:rPr>
              <w:t>regularna, sensowna aktywność obniża napięcie i poprawia regulację zachowania</w:t>
            </w:r>
          </w:p>
        </w:tc>
        <w:tc>
          <w:tcPr>
            <w:tcW w:type="dxa" w:w="5100"/>
            <w:vAlign w:val="center"/>
            <w:tcMar>
              <w:top w:w="120" w:type="dxa"/>
              <w:start w:w="130" w:type="dxa"/>
              <w:bottom w:w="120" w:type="dxa"/>
              <w:end w:w="130" w:type="dxa"/>
            </w:tcMar>
            <w:shd w:fill="FFFFFF"/>
          </w:tcP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5EF"/>
            <w:tcMar>
              <w:top w:w="150" w:type="dxa"/>
              <w:start w:w="170" w:type="dxa"/>
              <w:bottom w:w="150" w:type="dxa"/>
              <w:end w:w="170" w:type="dxa"/>
            </w:tcMar>
          </w:tcPr>
          <w:p>
            <w:r>
              <w:rPr>
                <w:b/>
                <w:color w:val="4E3758"/>
                <w:sz w:val="22"/>
              </w:rPr>
              <w:t>Ważne</w:t>
            </w:r>
          </w:p>
          <w:p>
            <w:pPr>
              <w:spacing w:before="40" w:after="0" w:line="276" w:lineRule="auto"/>
            </w:pPr>
            <w:r>
              <w:rPr>
                <w:color w:val="27323A"/>
                <w:sz w:val="20"/>
              </w:rPr>
              <w:t>Nie próbuj naprawiać kuwety w próżni. Jeżeli kot żyje w cichym konflikcie, ma ból przy ruchu albo funkcjonuje w domu pełnym hałasu, sama zmiana żwirku nie wystarczy.</w:t>
            </w:r>
          </w:p>
        </w:tc>
      </w:tr>
    </w:tbl>
    <w:p/>
    <w:p>
      <w:r>
        <w:br w:type="page"/>
      </w:r>
    </w:p>
    <w:p>
      <w:pPr>
        <w:spacing w:before="140" w:after="80" w:line="252" w:lineRule="auto"/>
      </w:pPr>
      <w:r>
        <w:rPr>
          <w:rFonts w:ascii="Aptos Display" w:hAnsi="Aptos Display"/>
          <w:b/>
          <w:color w:val="4E3758"/>
          <w:sz w:val="41"/>
        </w:rPr>
        <w:t>Plan postępowania krok po kroku</w:t>
      </w:r>
    </w:p>
    <w:tbl>
      <w:tblPr>
        <w:tblStyle w:val="TableGrid"/>
        <w:tblW w:type="auto" w:w="0"/>
        <w:jc w:val="center"/>
        <w:tblLook w:firstColumn="1" w:firstRow="1" w:lastColumn="0" w:lastRow="0" w:noHBand="0" w:noVBand="1" w:val="04A0"/>
      </w:tblPr>
      <w:tblGrid>
        <w:gridCol w:w="3400"/>
        <w:gridCol w:w="3400"/>
        <w:gridCol w:w="3400"/>
      </w:tblGrid>
      <w:tr>
        <w:tc>
          <w:tcPr>
            <w:tcW w:type="dxa" w:w="1134"/>
            <w:shd w:fill="DFEAF3"/>
            <w:tcMar>
              <w:top w:w="120" w:type="dxa"/>
              <w:start w:w="120" w:type="dxa"/>
              <w:bottom w:w="120" w:type="dxa"/>
              <w:end w:w="120" w:type="dxa"/>
            </w:tcMar>
            <w:vAlign w:val="center"/>
          </w:tcPr>
          <w:p>
            <w:pPr>
              <w:jc w:val="center"/>
            </w:pPr>
            <w:r>
              <w:rPr>
                <w:b/>
                <w:color w:val="4E3758"/>
                <w:sz w:val="18"/>
              </w:rPr>
              <w:t>Krok</w:t>
            </w:r>
          </w:p>
        </w:tc>
        <w:tc>
          <w:tcPr>
            <w:tcW w:type="dxa" w:w="4649"/>
            <w:shd w:fill="DFEAF3"/>
            <w:tcMar>
              <w:top w:w="120" w:type="dxa"/>
              <w:start w:w="120" w:type="dxa"/>
              <w:bottom w:w="120" w:type="dxa"/>
              <w:end w:w="120" w:type="dxa"/>
            </w:tcMar>
            <w:vAlign w:val="center"/>
          </w:tcPr>
          <w:p>
            <w:pPr>
              <w:jc w:val="center"/>
            </w:pPr>
            <w:r>
              <w:rPr>
                <w:b/>
                <w:color w:val="4E3758"/>
                <w:sz w:val="18"/>
              </w:rPr>
              <w:t>Co robisz</w:t>
            </w:r>
          </w:p>
        </w:tc>
        <w:tc>
          <w:tcPr>
            <w:tcW w:type="dxa" w:w="2948"/>
            <w:shd w:fill="DFEAF3"/>
            <w:tcMar>
              <w:top w:w="120" w:type="dxa"/>
              <w:start w:w="120" w:type="dxa"/>
              <w:bottom w:w="120" w:type="dxa"/>
              <w:end w:w="120" w:type="dxa"/>
            </w:tcMar>
            <w:vAlign w:val="center"/>
          </w:tcPr>
          <w:p>
            <w:pPr>
              <w:jc w:val="center"/>
            </w:pPr>
            <w:r>
              <w:rPr>
                <w:b/>
                <w:color w:val="4E3758"/>
                <w:sz w:val="18"/>
              </w:rPr>
              <w:t>Cel</w:t>
            </w:r>
          </w:p>
        </w:tc>
      </w:tr>
      <w:tr>
        <w:tc>
          <w:tcPr>
            <w:tcW w:type="dxa" w:w="1134"/>
            <w:shd w:fill="F4F5F7"/>
            <w:tcMar>
              <w:top w:w="115" w:type="dxa"/>
              <w:start w:w="120" w:type="dxa"/>
              <w:bottom w:w="115" w:type="dxa"/>
              <w:end w:w="120" w:type="dxa"/>
            </w:tcMar>
            <w:vAlign w:val="center"/>
          </w:tcPr>
          <w:p>
            <w:pPr>
              <w:jc w:val="center"/>
            </w:pPr>
            <w:r>
              <w:rPr>
                <w:color w:val="27323A"/>
                <w:sz w:val="18"/>
              </w:rPr>
              <w:t>1. Wyklucz stan nagły</w:t>
            </w:r>
          </w:p>
        </w:tc>
        <w:tc>
          <w:tcPr>
            <w:tcW w:type="dxa" w:w="4649"/>
            <w:shd w:fill="F8EEF3"/>
            <w:tcMar>
              <w:top w:w="115" w:type="dxa"/>
              <w:start w:w="120" w:type="dxa"/>
              <w:bottom w:w="115" w:type="dxa"/>
              <w:end w:w="120" w:type="dxa"/>
            </w:tcMar>
            <w:vAlign w:val="center"/>
          </w:tcPr>
          <w:p>
            <w:pPr>
              <w:jc w:val="left"/>
            </w:pPr>
            <w:r>
              <w:rPr>
                <w:color w:val="27323A"/>
                <w:sz w:val="18"/>
              </w:rPr>
              <w:t>sprawdzasz, czy nie ma parcia bez oddawania moczu, silnego bólu, wielokrotnych wizyt w kuwecie lub nagłego pogorszenia u seniora</w:t>
            </w:r>
          </w:p>
        </w:tc>
        <w:tc>
          <w:tcPr>
            <w:tcW w:type="dxa" w:w="2948"/>
            <w:shd w:fill="F8EEF3"/>
            <w:tcMar>
              <w:top w:w="115" w:type="dxa"/>
              <w:start w:w="120" w:type="dxa"/>
              <w:bottom w:w="115" w:type="dxa"/>
              <w:end w:w="120" w:type="dxa"/>
            </w:tcMar>
            <w:vAlign w:val="center"/>
          </w:tcPr>
          <w:p>
            <w:pPr>
              <w:jc w:val="left"/>
            </w:pPr>
            <w:r>
              <w:rPr>
                <w:color w:val="27323A"/>
                <w:sz w:val="18"/>
              </w:rPr>
              <w:t>nie przegapić sytuacji wymagającej pilnej pomocy</w:t>
            </w:r>
          </w:p>
        </w:tc>
      </w:tr>
      <w:tr>
        <w:tc>
          <w:tcPr>
            <w:tcW w:type="dxa" w:w="1134"/>
            <w:shd w:fill="F4F5F7"/>
            <w:tcMar>
              <w:top w:w="115" w:type="dxa"/>
              <w:start w:w="120" w:type="dxa"/>
              <w:bottom w:w="115" w:type="dxa"/>
              <w:end w:w="120" w:type="dxa"/>
            </w:tcMar>
            <w:vAlign w:val="center"/>
          </w:tcPr>
          <w:p>
            <w:pPr>
              <w:jc w:val="center"/>
            </w:pPr>
            <w:r>
              <w:rPr>
                <w:color w:val="27323A"/>
                <w:sz w:val="18"/>
              </w:rPr>
              <w:t>2. Zbierz wywiad i badania</w:t>
            </w:r>
          </w:p>
        </w:tc>
        <w:tc>
          <w:tcPr>
            <w:tcW w:type="dxa" w:w="4649"/>
            <w:shd w:fill="EEF4F8"/>
            <w:tcMar>
              <w:top w:w="115" w:type="dxa"/>
              <w:start w:w="120" w:type="dxa"/>
              <w:bottom w:w="115" w:type="dxa"/>
              <w:end w:w="120" w:type="dxa"/>
            </w:tcMar>
            <w:vAlign w:val="center"/>
          </w:tcPr>
          <w:p>
            <w:pPr>
              <w:jc w:val="left"/>
            </w:pPr>
            <w:r>
              <w:rPr>
                <w:color w:val="27323A"/>
                <w:sz w:val="18"/>
              </w:rPr>
              <w:t>notujesz wzór incydentów, objawy towarzyszące, zmiany w domu i przygotowujesz pytania do lekarza</w:t>
            </w:r>
          </w:p>
        </w:tc>
        <w:tc>
          <w:tcPr>
            <w:tcW w:type="dxa" w:w="2948"/>
            <w:shd w:fill="EEF4F8"/>
            <w:tcMar>
              <w:top w:w="115" w:type="dxa"/>
              <w:start w:w="120" w:type="dxa"/>
              <w:bottom w:w="115" w:type="dxa"/>
              <w:end w:w="120" w:type="dxa"/>
            </w:tcMar>
            <w:vAlign w:val="center"/>
          </w:tcPr>
          <w:p>
            <w:pPr>
              <w:jc w:val="left"/>
            </w:pPr>
            <w:r>
              <w:rPr>
                <w:color w:val="27323A"/>
                <w:sz w:val="18"/>
              </w:rPr>
              <w:t>oddzielić to, co medyczne, od tego, co środowiskowe</w:t>
            </w:r>
          </w:p>
        </w:tc>
      </w:tr>
      <w:tr>
        <w:tc>
          <w:tcPr>
            <w:tcW w:type="dxa" w:w="1134"/>
            <w:shd w:fill="F4F5F7"/>
            <w:tcMar>
              <w:top w:w="115" w:type="dxa"/>
              <w:start w:w="120" w:type="dxa"/>
              <w:bottom w:w="115" w:type="dxa"/>
              <w:end w:w="120" w:type="dxa"/>
            </w:tcMar>
            <w:vAlign w:val="center"/>
          </w:tcPr>
          <w:p>
            <w:pPr>
              <w:jc w:val="center"/>
            </w:pPr>
            <w:r>
              <w:rPr>
                <w:color w:val="27323A"/>
                <w:sz w:val="18"/>
              </w:rPr>
              <w:t>3. Oceń kuwetę i żwirek</w:t>
            </w:r>
          </w:p>
        </w:tc>
        <w:tc>
          <w:tcPr>
            <w:tcW w:type="dxa" w:w="4649"/>
            <w:shd w:fill="EEF5EF"/>
            <w:tcMar>
              <w:top w:w="115" w:type="dxa"/>
              <w:start w:w="120" w:type="dxa"/>
              <w:bottom w:w="115" w:type="dxa"/>
              <w:end w:w="120" w:type="dxa"/>
            </w:tcMar>
            <w:vAlign w:val="center"/>
          </w:tcPr>
          <w:p>
            <w:pPr>
              <w:jc w:val="left"/>
            </w:pPr>
            <w:r>
              <w:rPr>
                <w:color w:val="27323A"/>
                <w:sz w:val="18"/>
              </w:rPr>
              <w:t>sprawdzasz wielkość, próg, podłoże, zapach, czystość i drogę ucieczki</w:t>
            </w:r>
          </w:p>
        </w:tc>
        <w:tc>
          <w:tcPr>
            <w:tcW w:type="dxa" w:w="2948"/>
            <w:shd w:fill="EEF5EF"/>
            <w:tcMar>
              <w:top w:w="115" w:type="dxa"/>
              <w:start w:w="120" w:type="dxa"/>
              <w:bottom w:w="115" w:type="dxa"/>
              <w:end w:w="120" w:type="dxa"/>
            </w:tcMar>
            <w:vAlign w:val="center"/>
          </w:tcPr>
          <w:p>
            <w:pPr>
              <w:jc w:val="left"/>
            </w:pPr>
            <w:r>
              <w:rPr>
                <w:color w:val="27323A"/>
                <w:sz w:val="18"/>
              </w:rPr>
              <w:t>usunąć najbardziej oczywiste bariery korzystania</w:t>
            </w:r>
          </w:p>
        </w:tc>
      </w:tr>
      <w:tr>
        <w:tc>
          <w:tcPr>
            <w:tcW w:type="dxa" w:w="1134"/>
            <w:shd w:fill="F4F5F7"/>
            <w:tcMar>
              <w:top w:w="115" w:type="dxa"/>
              <w:start w:w="120" w:type="dxa"/>
              <w:bottom w:w="115" w:type="dxa"/>
              <w:end w:w="120" w:type="dxa"/>
            </w:tcMar>
            <w:vAlign w:val="center"/>
          </w:tcPr>
          <w:p>
            <w:pPr>
              <w:jc w:val="center"/>
            </w:pPr>
            <w:r>
              <w:rPr>
                <w:color w:val="27323A"/>
                <w:sz w:val="18"/>
              </w:rPr>
              <w:t>4. Oceń stresory i relacje</w:t>
            </w:r>
          </w:p>
        </w:tc>
        <w:tc>
          <w:tcPr>
            <w:tcW w:type="dxa" w:w="4649"/>
            <w:shd w:fill="F8F1E5"/>
            <w:tcMar>
              <w:top w:w="115" w:type="dxa"/>
              <w:start w:w="120" w:type="dxa"/>
              <w:bottom w:w="115" w:type="dxa"/>
              <w:end w:w="120" w:type="dxa"/>
            </w:tcMar>
            <w:vAlign w:val="center"/>
          </w:tcPr>
          <w:p>
            <w:pPr>
              <w:jc w:val="left"/>
            </w:pPr>
            <w:r>
              <w:rPr>
                <w:color w:val="27323A"/>
                <w:sz w:val="18"/>
              </w:rPr>
              <w:t>patrzysz na konflikt z innym kotem, blokowanie przejść, hałas, zmiany rytmu dnia i koty za oknem</w:t>
            </w:r>
          </w:p>
        </w:tc>
        <w:tc>
          <w:tcPr>
            <w:tcW w:type="dxa" w:w="2948"/>
            <w:shd w:fill="F8F1E5"/>
            <w:tcMar>
              <w:top w:w="115" w:type="dxa"/>
              <w:start w:w="120" w:type="dxa"/>
              <w:bottom w:w="115" w:type="dxa"/>
              <w:end w:w="120" w:type="dxa"/>
            </w:tcMar>
            <w:vAlign w:val="center"/>
          </w:tcPr>
          <w:p>
            <w:pPr>
              <w:jc w:val="left"/>
            </w:pPr>
            <w:r>
              <w:rPr>
                <w:color w:val="27323A"/>
                <w:sz w:val="18"/>
              </w:rPr>
              <w:t>zobaczyć, co napędza unikanie albo znakowanie</w:t>
            </w:r>
          </w:p>
        </w:tc>
      </w:tr>
      <w:tr>
        <w:tc>
          <w:tcPr>
            <w:tcW w:type="dxa" w:w="1134"/>
            <w:shd w:fill="F4F5F7"/>
            <w:tcMar>
              <w:top w:w="115" w:type="dxa"/>
              <w:start w:w="120" w:type="dxa"/>
              <w:bottom w:w="115" w:type="dxa"/>
              <w:end w:w="120" w:type="dxa"/>
            </w:tcMar>
            <w:vAlign w:val="center"/>
          </w:tcPr>
          <w:p>
            <w:pPr>
              <w:jc w:val="center"/>
            </w:pPr>
            <w:r>
              <w:rPr>
                <w:color w:val="27323A"/>
                <w:sz w:val="18"/>
              </w:rPr>
              <w:t>5. Wdrażaj zmiany etapami</w:t>
            </w:r>
          </w:p>
        </w:tc>
        <w:tc>
          <w:tcPr>
            <w:tcW w:type="dxa" w:w="4649"/>
            <w:shd w:fill="F1ECF7"/>
            <w:tcMar>
              <w:top w:w="115" w:type="dxa"/>
              <w:start w:w="120" w:type="dxa"/>
              <w:bottom w:w="115" w:type="dxa"/>
              <w:end w:w="120" w:type="dxa"/>
            </w:tcMar>
            <w:vAlign w:val="center"/>
          </w:tcPr>
          <w:p>
            <w:pPr>
              <w:jc w:val="left"/>
            </w:pPr>
            <w:r>
              <w:rPr>
                <w:color w:val="27323A"/>
                <w:sz w:val="18"/>
              </w:rPr>
              <w:t>dodajesz i porządkujesz zasoby bez chaosu oraz obserwujesz trend, a nie pojedynczy dzień</w:t>
            </w:r>
          </w:p>
        </w:tc>
        <w:tc>
          <w:tcPr>
            <w:tcW w:type="dxa" w:w="2948"/>
            <w:shd w:fill="F1ECF7"/>
            <w:tcMar>
              <w:top w:w="115" w:type="dxa"/>
              <w:start w:w="120" w:type="dxa"/>
              <w:bottom w:w="115" w:type="dxa"/>
              <w:end w:w="120" w:type="dxa"/>
            </w:tcMar>
            <w:vAlign w:val="center"/>
          </w:tcPr>
          <w:p>
            <w:pPr>
              <w:jc w:val="left"/>
            </w:pPr>
            <w:r>
              <w:rPr>
                <w:color w:val="27323A"/>
                <w:sz w:val="18"/>
              </w:rPr>
              <w:t>wiedzieć, co realnie działa</w:t>
            </w:r>
          </w:p>
        </w:tc>
      </w:tr>
      <w:tr>
        <w:tc>
          <w:tcPr>
            <w:tcW w:type="dxa" w:w="1134"/>
            <w:shd w:fill="F4F5F7"/>
            <w:tcMar>
              <w:top w:w="115" w:type="dxa"/>
              <w:start w:w="120" w:type="dxa"/>
              <w:bottom w:w="115" w:type="dxa"/>
              <w:end w:w="120" w:type="dxa"/>
            </w:tcMar>
            <w:vAlign w:val="center"/>
          </w:tcPr>
          <w:p>
            <w:pPr>
              <w:jc w:val="center"/>
            </w:pPr>
            <w:r>
              <w:rPr>
                <w:color w:val="27323A"/>
                <w:sz w:val="18"/>
              </w:rPr>
              <w:t>6. Prowadź dziennik i koryguj plan</w:t>
            </w:r>
          </w:p>
        </w:tc>
        <w:tc>
          <w:tcPr>
            <w:tcW w:type="dxa" w:w="4649"/>
            <w:shd w:fill="DFEAF3"/>
            <w:tcMar>
              <w:top w:w="115" w:type="dxa"/>
              <w:start w:w="120" w:type="dxa"/>
              <w:bottom w:w="115" w:type="dxa"/>
              <w:end w:w="120" w:type="dxa"/>
            </w:tcMar>
            <w:vAlign w:val="center"/>
          </w:tcPr>
          <w:p>
            <w:pPr>
              <w:jc w:val="left"/>
            </w:pPr>
            <w:r>
              <w:rPr>
                <w:color w:val="27323A"/>
                <w:sz w:val="18"/>
              </w:rPr>
              <w:t>po 7-14 dniach oceniasz, czy poprawa jest wystarczająca, czy trzeba wejść w głębszą diagnostykę lub konsultację</w:t>
            </w:r>
          </w:p>
        </w:tc>
        <w:tc>
          <w:tcPr>
            <w:tcW w:type="dxa" w:w="2948"/>
            <w:shd w:fill="DFEAF3"/>
            <w:tcMar>
              <w:top w:w="115" w:type="dxa"/>
              <w:start w:w="120" w:type="dxa"/>
              <w:bottom w:w="115" w:type="dxa"/>
              <w:end w:w="120" w:type="dxa"/>
            </w:tcMar>
            <w:vAlign w:val="center"/>
          </w:tcPr>
          <w:p>
            <w:pPr>
              <w:jc w:val="left"/>
            </w:pPr>
            <w:r>
              <w:rPr>
                <w:color w:val="27323A"/>
                <w:sz w:val="18"/>
              </w:rPr>
              <w:t>podjąć następny krok na podstawie danych</w:t>
            </w:r>
          </w:p>
        </w:tc>
      </w:tr>
    </w:tbl>
    <w:p/>
    <w:p>
      <w:pPr>
        <w:spacing w:before="140" w:after="60" w:line="252" w:lineRule="auto"/>
      </w:pPr>
      <w:r>
        <w:rPr>
          <w:rFonts w:ascii="Aptos Display" w:hAnsi="Aptos Display"/>
          <w:b/>
          <w:color w:val="4E3758"/>
          <w:sz w:val="28"/>
        </w:rPr>
        <w:t>Najczęstsze błędy opiekunów</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FEAF3"/>
            <w:tcMar>
              <w:top w:w="120" w:type="dxa"/>
              <w:start w:w="120" w:type="dxa"/>
              <w:bottom w:w="120" w:type="dxa"/>
              <w:end w:w="120" w:type="dxa"/>
            </w:tcMar>
            <w:vAlign w:val="center"/>
          </w:tcPr>
          <w:p>
            <w:pPr>
              <w:jc w:val="center"/>
            </w:pPr>
            <w:r>
              <w:rPr>
                <w:b/>
                <w:color w:val="4E3758"/>
                <w:sz w:val="18"/>
              </w:rPr>
              <w:t>Sytuacja</w:t>
            </w:r>
          </w:p>
        </w:tc>
        <w:tc>
          <w:tcPr>
            <w:tcW w:type="dxa" w:w="3458"/>
            <w:shd w:fill="DFEAF3"/>
            <w:tcMar>
              <w:top w:w="120" w:type="dxa"/>
              <w:start w:w="120" w:type="dxa"/>
              <w:bottom w:w="120" w:type="dxa"/>
              <w:end w:w="120" w:type="dxa"/>
            </w:tcMar>
            <w:vAlign w:val="center"/>
          </w:tcPr>
          <w:p>
            <w:pPr>
              <w:jc w:val="center"/>
            </w:pPr>
            <w:r>
              <w:rPr>
                <w:b/>
                <w:color w:val="4E3758"/>
                <w:sz w:val="18"/>
              </w:rPr>
              <w:t>Co pogarsza problem</w:t>
            </w:r>
          </w:p>
        </w:tc>
        <w:tc>
          <w:tcPr>
            <w:tcW w:type="dxa" w:w="3572"/>
            <w:shd w:fill="DFEAF3"/>
            <w:tcMar>
              <w:top w:w="120" w:type="dxa"/>
              <w:start w:w="120" w:type="dxa"/>
              <w:bottom w:w="120" w:type="dxa"/>
              <w:end w:w="120" w:type="dxa"/>
            </w:tcMar>
            <w:vAlign w:val="center"/>
          </w:tcPr>
          <w:p>
            <w:pPr>
              <w:jc w:val="center"/>
            </w:pPr>
            <w:r>
              <w:rPr>
                <w:b/>
                <w:color w:val="4E3758"/>
                <w:sz w:val="18"/>
              </w:rPr>
              <w:t>Co zwykle pomaga</w:t>
            </w:r>
          </w:p>
        </w:tc>
      </w:tr>
      <w:tr>
        <w:tc>
          <w:tcPr>
            <w:tcW w:type="dxa" w:w="1701"/>
            <w:shd w:fill="F4F5F7"/>
            <w:tcMar>
              <w:top w:w="115" w:type="dxa"/>
              <w:start w:w="120" w:type="dxa"/>
              <w:bottom w:w="115" w:type="dxa"/>
              <w:end w:w="120" w:type="dxa"/>
            </w:tcMar>
            <w:vAlign w:val="center"/>
          </w:tcPr>
          <w:p>
            <w:pPr>
              <w:jc w:val="center"/>
            </w:pPr>
            <w:r>
              <w:rPr>
                <w:color w:val="27323A"/>
                <w:sz w:val="18"/>
              </w:rPr>
              <w:t>Nowy incydent</w:t>
            </w:r>
          </w:p>
        </w:tc>
        <w:tc>
          <w:tcPr>
            <w:tcW w:type="dxa" w:w="3458"/>
            <w:shd w:fill="F8EEF3"/>
            <w:tcMar>
              <w:top w:w="115" w:type="dxa"/>
              <w:start w:w="120" w:type="dxa"/>
              <w:bottom w:w="115" w:type="dxa"/>
              <w:end w:w="120" w:type="dxa"/>
            </w:tcMar>
            <w:vAlign w:val="center"/>
          </w:tcPr>
          <w:p>
            <w:pPr>
              <w:jc w:val="left"/>
            </w:pPr>
            <w:r>
              <w:rPr>
                <w:color w:val="27323A"/>
                <w:sz w:val="18"/>
              </w:rPr>
              <w:t>kara, krzyk, pośpiech i pocieranie miejsca „żeby zapamiętał”</w:t>
            </w:r>
          </w:p>
        </w:tc>
        <w:tc>
          <w:tcPr>
            <w:tcW w:type="dxa" w:w="3572"/>
            <w:shd w:fill="F8EEF3"/>
            <w:tcMar>
              <w:top w:w="115" w:type="dxa"/>
              <w:start w:w="120" w:type="dxa"/>
              <w:bottom w:w="115" w:type="dxa"/>
              <w:end w:w="120" w:type="dxa"/>
            </w:tcMar>
            <w:vAlign w:val="center"/>
          </w:tcPr>
          <w:p>
            <w:pPr>
              <w:jc w:val="left"/>
            </w:pPr>
            <w:r>
              <w:rPr>
                <w:color w:val="27323A"/>
                <w:sz w:val="18"/>
              </w:rPr>
              <w:t>spokojna dokumentacja, szybka ocena kliniczna i logiczne porządkowanie środowiska</w:t>
            </w:r>
          </w:p>
        </w:tc>
      </w:tr>
      <w:tr>
        <w:tc>
          <w:tcPr>
            <w:tcW w:type="dxa" w:w="1701"/>
            <w:shd w:fill="F4F5F7"/>
            <w:tcMar>
              <w:top w:w="115" w:type="dxa"/>
              <w:start w:w="120" w:type="dxa"/>
              <w:bottom w:w="115" w:type="dxa"/>
              <w:end w:w="120" w:type="dxa"/>
            </w:tcMar>
            <w:vAlign w:val="center"/>
          </w:tcPr>
          <w:p>
            <w:pPr>
              <w:jc w:val="center"/>
            </w:pPr>
            <w:r>
              <w:rPr>
                <w:color w:val="27323A"/>
                <w:sz w:val="18"/>
              </w:rPr>
              <w:t>Problemy z kuwetą</w:t>
            </w:r>
          </w:p>
        </w:tc>
        <w:tc>
          <w:tcPr>
            <w:tcW w:type="dxa" w:w="3458"/>
            <w:shd w:fill="EEF4F8"/>
            <w:tcMar>
              <w:top w:w="115" w:type="dxa"/>
              <w:start w:w="120" w:type="dxa"/>
              <w:bottom w:w="115" w:type="dxa"/>
              <w:end w:w="120" w:type="dxa"/>
            </w:tcMar>
            <w:vAlign w:val="center"/>
          </w:tcPr>
          <w:p>
            <w:pPr>
              <w:jc w:val="left"/>
            </w:pPr>
            <w:r>
              <w:rPr>
                <w:color w:val="27323A"/>
                <w:sz w:val="18"/>
              </w:rPr>
              <w:t>jedna mała kuweta w kącie i częste eksperymenty ze wszystkim naraz</w:t>
            </w:r>
          </w:p>
        </w:tc>
        <w:tc>
          <w:tcPr>
            <w:tcW w:type="dxa" w:w="3572"/>
            <w:shd w:fill="EEF4F8"/>
            <w:tcMar>
              <w:top w:w="115" w:type="dxa"/>
              <w:start w:w="120" w:type="dxa"/>
              <w:bottom w:w="115" w:type="dxa"/>
              <w:end w:w="120" w:type="dxa"/>
            </w:tcMar>
            <w:vAlign w:val="center"/>
          </w:tcPr>
          <w:p>
            <w:pPr>
              <w:jc w:val="left"/>
            </w:pPr>
            <w:r>
              <w:rPr>
                <w:color w:val="27323A"/>
                <w:sz w:val="18"/>
              </w:rPr>
              <w:t>większa liczba kuwet, różne punkty domu i stopniowe testowanie zmian</w:t>
            </w:r>
          </w:p>
        </w:tc>
      </w:tr>
      <w:tr>
        <w:tc>
          <w:tcPr>
            <w:tcW w:type="dxa" w:w="1701"/>
            <w:shd w:fill="F4F5F7"/>
            <w:tcMar>
              <w:top w:w="115" w:type="dxa"/>
              <w:start w:w="120" w:type="dxa"/>
              <w:bottom w:w="115" w:type="dxa"/>
              <w:end w:w="120" w:type="dxa"/>
            </w:tcMar>
            <w:vAlign w:val="center"/>
          </w:tcPr>
          <w:p>
            <w:pPr>
              <w:jc w:val="center"/>
            </w:pPr>
            <w:r>
              <w:rPr>
                <w:color w:val="27323A"/>
                <w:sz w:val="18"/>
              </w:rPr>
              <w:t>Dom wielokotowy</w:t>
            </w:r>
          </w:p>
        </w:tc>
        <w:tc>
          <w:tcPr>
            <w:tcW w:type="dxa" w:w="3458"/>
            <w:shd w:fill="EEF5EF"/>
            <w:tcMar>
              <w:top w:w="115" w:type="dxa"/>
              <w:start w:w="120" w:type="dxa"/>
              <w:bottom w:w="115" w:type="dxa"/>
              <w:end w:w="120" w:type="dxa"/>
            </w:tcMar>
            <w:vAlign w:val="center"/>
          </w:tcPr>
          <w:p>
            <w:pPr>
              <w:jc w:val="left"/>
            </w:pPr>
            <w:r>
              <w:rPr>
                <w:color w:val="27323A"/>
                <w:sz w:val="18"/>
              </w:rPr>
              <w:t>ignorowanie cichego konfliktu, bo nie ma bójek</w:t>
            </w:r>
          </w:p>
        </w:tc>
        <w:tc>
          <w:tcPr>
            <w:tcW w:type="dxa" w:w="3572"/>
            <w:shd w:fill="EEF5EF"/>
            <w:tcMar>
              <w:top w:w="115" w:type="dxa"/>
              <w:start w:w="120" w:type="dxa"/>
              <w:bottom w:w="115" w:type="dxa"/>
              <w:end w:w="120" w:type="dxa"/>
            </w:tcMar>
            <w:vAlign w:val="center"/>
          </w:tcPr>
          <w:p>
            <w:pPr>
              <w:jc w:val="left"/>
            </w:pPr>
            <w:r>
              <w:rPr>
                <w:color w:val="27323A"/>
                <w:sz w:val="18"/>
              </w:rPr>
              <w:t>rozproszenie zasobów i analiza relacji oraz tras przejścia</w:t>
            </w:r>
          </w:p>
        </w:tc>
      </w:tr>
      <w:tr>
        <w:tc>
          <w:tcPr>
            <w:tcW w:type="dxa" w:w="1701"/>
            <w:shd w:fill="F4F5F7"/>
            <w:tcMar>
              <w:top w:w="115" w:type="dxa"/>
              <w:start w:w="120" w:type="dxa"/>
              <w:bottom w:w="115" w:type="dxa"/>
              <w:end w:w="120" w:type="dxa"/>
            </w:tcMar>
            <w:vAlign w:val="center"/>
          </w:tcPr>
          <w:p>
            <w:pPr>
              <w:jc w:val="center"/>
            </w:pPr>
            <w:r>
              <w:rPr>
                <w:color w:val="27323A"/>
                <w:sz w:val="18"/>
              </w:rPr>
              <w:t>Nawrót objawów</w:t>
            </w:r>
          </w:p>
        </w:tc>
        <w:tc>
          <w:tcPr>
            <w:tcW w:type="dxa" w:w="3458"/>
            <w:shd w:fill="F8F1E5"/>
            <w:tcMar>
              <w:top w:w="115" w:type="dxa"/>
              <w:start w:w="120" w:type="dxa"/>
              <w:bottom w:w="115" w:type="dxa"/>
              <w:end w:w="120" w:type="dxa"/>
            </w:tcMar>
            <w:vAlign w:val="center"/>
          </w:tcPr>
          <w:p>
            <w:pPr>
              <w:jc w:val="left"/>
            </w:pPr>
            <w:r>
              <w:rPr>
                <w:color w:val="27323A"/>
                <w:sz w:val="18"/>
              </w:rPr>
              <w:t>samo czyszczenie plam bez pracy nad przyczyną</w:t>
            </w:r>
          </w:p>
        </w:tc>
        <w:tc>
          <w:tcPr>
            <w:tcW w:type="dxa" w:w="3572"/>
            <w:shd w:fill="F8F1E5"/>
            <w:tcMar>
              <w:top w:w="115" w:type="dxa"/>
              <w:start w:w="120" w:type="dxa"/>
              <w:bottom w:w="115" w:type="dxa"/>
              <w:end w:w="120" w:type="dxa"/>
            </w:tcMar>
            <w:vAlign w:val="center"/>
          </w:tcPr>
          <w:p>
            <w:pPr>
              <w:jc w:val="left"/>
            </w:pPr>
            <w:r>
              <w:rPr>
                <w:color w:val="27323A"/>
                <w:sz w:val="18"/>
              </w:rPr>
              <w:t>łączenie higieny z terapią przyczynową i monitoringiem</w:t>
            </w:r>
          </w:p>
        </w:tc>
      </w:tr>
    </w:tbl>
    <w:p/>
    <w:p>
      <w:pPr>
        <w:spacing w:before="140" w:after="80" w:line="252" w:lineRule="auto"/>
      </w:pPr>
      <w:r>
        <w:rPr>
          <w:rFonts w:ascii="Aptos Display" w:hAnsi="Aptos Display"/>
          <w:b/>
          <w:color w:val="4E3758"/>
          <w:sz w:val="41"/>
        </w:rPr>
        <w:t>Audyt domu i dziennik incydentów</w:t>
      </w:r>
    </w:p>
    <w:tbl>
      <w:tblPr>
        <w:tblStyle w:val="TableGrid"/>
        <w:tblW w:type="auto" w:w="0"/>
        <w:jc w:val="center"/>
        <w:tblLook w:firstColumn="1" w:firstRow="1" w:lastColumn="0" w:lastRow="0" w:noHBand="0" w:noVBand="1" w:val="04A0"/>
      </w:tblPr>
      <w:tblGrid>
        <w:gridCol w:w="3400"/>
        <w:gridCol w:w="3400"/>
        <w:gridCol w:w="3400"/>
      </w:tblGrid>
      <w:tr>
        <w:tc>
          <w:tcPr>
            <w:tcW w:type="dxa" w:w="5159"/>
            <w:shd w:fill="DFEAF3"/>
            <w:tcMar>
              <w:top w:w="120" w:type="dxa"/>
              <w:start w:w="120" w:type="dxa"/>
              <w:bottom w:w="120" w:type="dxa"/>
              <w:end w:w="120" w:type="dxa"/>
            </w:tcMar>
            <w:vAlign w:val="center"/>
          </w:tcPr>
          <w:p>
            <w:pPr>
              <w:jc w:val="center"/>
            </w:pPr>
            <w:r>
              <w:rPr>
                <w:b/>
                <w:color w:val="4E3758"/>
                <w:sz w:val="18"/>
              </w:rPr>
              <w:t>Pytanie audytowe</w:t>
            </w:r>
          </w:p>
        </w:tc>
        <w:tc>
          <w:tcPr>
            <w:tcW w:type="dxa" w:w="1587"/>
            <w:shd w:fill="DFEAF3"/>
            <w:tcMar>
              <w:top w:w="120" w:type="dxa"/>
              <w:start w:w="120" w:type="dxa"/>
              <w:bottom w:w="120" w:type="dxa"/>
              <w:end w:w="120" w:type="dxa"/>
            </w:tcMar>
            <w:vAlign w:val="center"/>
          </w:tcPr>
          <w:p>
            <w:pPr>
              <w:jc w:val="center"/>
            </w:pPr>
            <w:r>
              <w:rPr>
                <w:b/>
                <w:color w:val="4E3758"/>
                <w:sz w:val="18"/>
              </w:rPr>
              <w:t>Tak / Nie</w:t>
            </w:r>
          </w:p>
        </w:tc>
        <w:tc>
          <w:tcPr>
            <w:tcW w:type="dxa" w:w="2324"/>
            <w:shd w:fill="DFEAF3"/>
            <w:tcMar>
              <w:top w:w="120" w:type="dxa"/>
              <w:start w:w="120" w:type="dxa"/>
              <w:bottom w:w="120" w:type="dxa"/>
              <w:end w:w="120" w:type="dxa"/>
            </w:tcMar>
            <w:vAlign w:val="center"/>
          </w:tcPr>
          <w:p>
            <w:pPr>
              <w:jc w:val="center"/>
            </w:pPr>
            <w:r>
              <w:rPr>
                <w:b/>
                <w:color w:val="4E3758"/>
                <w:sz w:val="18"/>
              </w:rPr>
              <w:t>Uwagi</w:t>
            </w:r>
          </w:p>
        </w:tc>
      </w:tr>
      <w:tr>
        <w:tc>
          <w:tcPr>
            <w:tcW w:type="dxa" w:w="5159"/>
            <w:shd w:fill="F4F5F7"/>
            <w:tcMar>
              <w:top w:w="115" w:type="dxa"/>
              <w:start w:w="120" w:type="dxa"/>
              <w:bottom w:w="115" w:type="dxa"/>
              <w:end w:w="120" w:type="dxa"/>
            </w:tcMar>
            <w:vAlign w:val="center"/>
          </w:tcPr>
          <w:p>
            <w:pPr>
              <w:jc w:val="center"/>
            </w:pPr>
            <w:r>
              <w:rPr>
                <w:color w:val="27323A"/>
                <w:sz w:val="18"/>
              </w:rPr>
              <w:t>Czy w domu jest więcej niż jedna opcja kuwety dopasowana do kota?</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r>
        <w:tc>
          <w:tcPr>
            <w:tcW w:type="dxa" w:w="5159"/>
            <w:shd w:fill="F4F5F7"/>
            <w:tcMar>
              <w:top w:w="115" w:type="dxa"/>
              <w:start w:w="120" w:type="dxa"/>
              <w:bottom w:w="115" w:type="dxa"/>
              <w:end w:w="120" w:type="dxa"/>
            </w:tcMar>
            <w:vAlign w:val="center"/>
          </w:tcPr>
          <w:p>
            <w:pPr>
              <w:jc w:val="center"/>
            </w:pPr>
            <w:r>
              <w:rPr>
                <w:color w:val="27323A"/>
                <w:sz w:val="18"/>
              </w:rPr>
              <w:t>Czy kuwety są rozproszone, a nie ustawione obok siebie?</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r>
        <w:tc>
          <w:tcPr>
            <w:tcW w:type="dxa" w:w="5159"/>
            <w:shd w:fill="F4F5F7"/>
            <w:tcMar>
              <w:top w:w="115" w:type="dxa"/>
              <w:start w:w="120" w:type="dxa"/>
              <w:bottom w:w="115" w:type="dxa"/>
              <w:end w:w="120" w:type="dxa"/>
            </w:tcMar>
            <w:vAlign w:val="center"/>
          </w:tcPr>
          <w:p>
            <w:pPr>
              <w:jc w:val="center"/>
            </w:pPr>
            <w:r>
              <w:rPr>
                <w:color w:val="27323A"/>
                <w:sz w:val="18"/>
              </w:rPr>
              <w:t>Czy przynajmniej jedna kuweta stoi z dala od hałasu i ruchu domowego?</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r>
        <w:tc>
          <w:tcPr>
            <w:tcW w:type="dxa" w:w="5159"/>
            <w:shd w:fill="F4F5F7"/>
            <w:tcMar>
              <w:top w:w="115" w:type="dxa"/>
              <w:start w:w="120" w:type="dxa"/>
              <w:bottom w:w="115" w:type="dxa"/>
              <w:end w:w="120" w:type="dxa"/>
            </w:tcMar>
            <w:vAlign w:val="center"/>
          </w:tcPr>
          <w:p>
            <w:pPr>
              <w:jc w:val="center"/>
            </w:pPr>
            <w:r>
              <w:rPr>
                <w:color w:val="27323A"/>
                <w:sz w:val="18"/>
              </w:rPr>
              <w:t>Czy kot ma dostęp bez mijania psa lub dominującego kota?</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r>
        <w:tc>
          <w:tcPr>
            <w:tcW w:type="dxa" w:w="5159"/>
            <w:shd w:fill="F4F5F7"/>
            <w:tcMar>
              <w:top w:w="115" w:type="dxa"/>
              <w:start w:w="120" w:type="dxa"/>
              <w:bottom w:w="115" w:type="dxa"/>
              <w:end w:w="120" w:type="dxa"/>
            </w:tcMar>
            <w:vAlign w:val="center"/>
          </w:tcPr>
          <w:p>
            <w:pPr>
              <w:jc w:val="center"/>
            </w:pPr>
            <w:r>
              <w:rPr>
                <w:color w:val="27323A"/>
                <w:sz w:val="18"/>
              </w:rPr>
              <w:t>Czy żwirek jest akceptowany, niescentowany i przewidywalny?</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r>
        <w:tc>
          <w:tcPr>
            <w:tcW w:type="dxa" w:w="5159"/>
            <w:shd w:fill="F4F5F7"/>
            <w:tcMar>
              <w:top w:w="115" w:type="dxa"/>
              <w:start w:w="120" w:type="dxa"/>
              <w:bottom w:w="115" w:type="dxa"/>
              <w:end w:w="120" w:type="dxa"/>
            </w:tcMar>
            <w:vAlign w:val="center"/>
          </w:tcPr>
          <w:p>
            <w:pPr>
              <w:jc w:val="center"/>
            </w:pPr>
            <w:r>
              <w:rPr>
                <w:color w:val="27323A"/>
                <w:sz w:val="18"/>
              </w:rPr>
              <w:t>Czy w ostatnich tygodniach zaszła zmiana w domu, rutynie lub relacjach?</w:t>
            </w:r>
          </w:p>
        </w:tc>
        <w:tc>
          <w:tcPr>
            <w:tcW w:type="dxa" w:w="1587"/>
            <w:shd w:fill="FFFFFF"/>
            <w:tcMar>
              <w:top w:w="115" w:type="dxa"/>
              <w:start w:w="120" w:type="dxa"/>
              <w:bottom w:w="115" w:type="dxa"/>
              <w:end w:w="120" w:type="dxa"/>
            </w:tcMar>
            <w:vAlign w:val="center"/>
          </w:tcPr>
          <w:p>
            <w:pPr>
              <w:jc w:val="left"/>
            </w:pPr>
            <w:r>
              <w:rPr>
                <w:color w:val="27323A"/>
                <w:sz w:val="18"/>
              </w:rPr>
            </w:r>
          </w:p>
        </w:tc>
        <w:tc>
          <w:tcPr>
            <w:tcW w:type="dxa" w:w="2324"/>
            <w:shd w:fill="FFFFFF"/>
            <w:tcMar>
              <w:top w:w="115" w:type="dxa"/>
              <w:start w:w="120" w:type="dxa"/>
              <w:bottom w:w="115" w:type="dxa"/>
              <w:end w:w="120" w:type="dxa"/>
            </w:tcMar>
            <w:vAlign w:val="center"/>
          </w:tcPr>
          <w:p>
            <w:pPr>
              <w:jc w:val="left"/>
            </w:pPr>
            <w:r>
              <w:rPr>
                <w:color w:val="27323A"/>
                <w:sz w:val="18"/>
              </w:rPr>
            </w:r>
          </w:p>
        </w:tc>
      </w:tr>
    </w:tbl>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74"/>
            <w:shd w:fill="DFEAF3"/>
            <w:tcMar>
              <w:top w:w="120" w:type="dxa"/>
              <w:start w:w="120" w:type="dxa"/>
              <w:bottom w:w="120" w:type="dxa"/>
              <w:end w:w="120" w:type="dxa"/>
            </w:tcMar>
          </w:tcPr>
          <w:p>
            <w:pPr>
              <w:jc w:val="center"/>
            </w:pPr>
            <w:r>
              <w:rPr>
                <w:b/>
                <w:color w:val="4E3758"/>
                <w:sz w:val="18"/>
              </w:rPr>
              <w:t>Data i godzina</w:t>
            </w:r>
          </w:p>
        </w:tc>
        <w:tc>
          <w:tcPr>
            <w:tcW w:type="dxa" w:w="1644"/>
            <w:shd w:fill="DFEAF3"/>
            <w:tcMar>
              <w:top w:w="120" w:type="dxa"/>
              <w:start w:w="120" w:type="dxa"/>
              <w:bottom w:w="120" w:type="dxa"/>
              <w:end w:w="120" w:type="dxa"/>
            </w:tcMar>
          </w:tcPr>
          <w:p>
            <w:pPr>
              <w:jc w:val="center"/>
            </w:pPr>
            <w:r>
              <w:rPr>
                <w:b/>
                <w:color w:val="4E3758"/>
                <w:sz w:val="18"/>
              </w:rPr>
              <w:t>Miejsce</w:t>
            </w:r>
          </w:p>
        </w:tc>
        <w:tc>
          <w:tcPr>
            <w:tcW w:type="dxa" w:w="2324"/>
            <w:shd w:fill="DFEAF3"/>
            <w:tcMar>
              <w:top w:w="120" w:type="dxa"/>
              <w:start w:w="120" w:type="dxa"/>
              <w:bottom w:w="120" w:type="dxa"/>
              <w:end w:w="120" w:type="dxa"/>
            </w:tcMar>
          </w:tcPr>
          <w:p>
            <w:pPr>
              <w:jc w:val="center"/>
            </w:pPr>
            <w:r>
              <w:rPr>
                <w:b/>
                <w:color w:val="4E3758"/>
                <w:sz w:val="18"/>
              </w:rPr>
              <w:t>Co wydarzyło się tuż przed</w:t>
            </w:r>
          </w:p>
        </w:tc>
        <w:tc>
          <w:tcPr>
            <w:tcW w:type="dxa" w:w="1814"/>
            <w:shd w:fill="DFEAF3"/>
            <w:tcMar>
              <w:top w:w="120" w:type="dxa"/>
              <w:start w:w="120" w:type="dxa"/>
              <w:bottom w:w="120" w:type="dxa"/>
              <w:end w:w="120" w:type="dxa"/>
            </w:tcMar>
          </w:tcPr>
          <w:p>
            <w:pPr>
              <w:jc w:val="center"/>
            </w:pPr>
            <w:r>
              <w:rPr>
                <w:b/>
                <w:color w:val="4E3758"/>
                <w:sz w:val="18"/>
              </w:rPr>
              <w:t>Wzór incydentu</w:t>
            </w:r>
          </w:p>
        </w:tc>
        <w:tc>
          <w:tcPr>
            <w:tcW w:type="dxa" w:w="2268"/>
            <w:shd w:fill="DFEAF3"/>
            <w:tcMar>
              <w:top w:w="120" w:type="dxa"/>
              <w:start w:w="120" w:type="dxa"/>
              <w:bottom w:w="120" w:type="dxa"/>
              <w:end w:w="120" w:type="dxa"/>
            </w:tcMar>
          </w:tcPr>
          <w:p>
            <w:pPr>
              <w:jc w:val="center"/>
            </w:pPr>
            <w:r>
              <w:rPr>
                <w:b/>
                <w:color w:val="4E3758"/>
                <w:sz w:val="18"/>
              </w:rPr>
              <w:t>Uwagi o zachowaniu</w:t>
            </w: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r>
        <w:tc>
          <w:tcPr>
            <w:tcW w:type="dxa" w:w="1474"/>
            <w:tcMar>
              <w:top w:w="170" w:type="dxa"/>
              <w:start w:w="120" w:type="dxa"/>
              <w:bottom w:w="170" w:type="dxa"/>
              <w:end w:w="120" w:type="dxa"/>
            </w:tcMar>
            <w:shd w:fill="F4F5F7"/>
            <w:vAlign w:val="center"/>
          </w:tcPr>
          <w:p/>
        </w:tc>
        <w:tc>
          <w:tcPr>
            <w:tcW w:type="dxa" w:w="1644"/>
            <w:tcMar>
              <w:top w:w="170" w:type="dxa"/>
              <w:start w:w="120" w:type="dxa"/>
              <w:bottom w:w="170" w:type="dxa"/>
              <w:end w:w="120" w:type="dxa"/>
            </w:tcMar>
            <w:vAlign w:val="center"/>
          </w:tcPr>
          <w:p/>
        </w:tc>
        <w:tc>
          <w:tcPr>
            <w:tcW w:type="dxa" w:w="2324"/>
            <w:tcMar>
              <w:top w:w="170" w:type="dxa"/>
              <w:start w:w="120" w:type="dxa"/>
              <w:bottom w:w="170" w:type="dxa"/>
              <w:end w:w="120" w:type="dxa"/>
            </w:tcMar>
            <w:vAlign w:val="center"/>
          </w:tcPr>
          <w:p/>
        </w:tc>
        <w:tc>
          <w:tcPr>
            <w:tcW w:type="dxa" w:w="1814"/>
            <w:tcMar>
              <w:top w:w="170" w:type="dxa"/>
              <w:start w:w="120" w:type="dxa"/>
              <w:bottom w:w="170" w:type="dxa"/>
              <w:end w:w="120" w:type="dxa"/>
            </w:tcMar>
            <w:vAlign w:val="center"/>
          </w:tcPr>
          <w:p/>
        </w:tc>
        <w:tc>
          <w:tcPr>
            <w:tcW w:type="dxa" w:w="2268"/>
            <w:tcMar>
              <w:top w:w="170" w:type="dxa"/>
              <w:start w:w="120" w:type="dxa"/>
              <w:bottom w:w="170" w:type="dxa"/>
              <w:end w:w="120" w:type="dxa"/>
            </w:tcMar>
            <w:vAlign w:val="center"/>
          </w:tcPr>
          <w:p/>
        </w:tc>
      </w:tr>
    </w:tbl>
    <w:p/>
    <w:p>
      <w:r>
        <w:br w:type="page"/>
      </w:r>
    </w:p>
    <w:p>
      <w:pPr>
        <w:spacing w:before="140" w:after="80" w:line="252" w:lineRule="auto"/>
      </w:pPr>
      <w:r>
        <w:rPr>
          <w:rFonts w:ascii="Aptos Display" w:hAnsi="Aptos Display"/>
          <w:b/>
          <w:color w:val="4E3758"/>
          <w:sz w:val="41"/>
        </w:rPr>
        <w:t>Objawy alarmowe i dalsze kroki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EEF3"/>
            <w:tcMar>
              <w:top w:w="140" w:type="dxa"/>
              <w:start w:w="150" w:type="dxa"/>
              <w:bottom w:w="120" w:type="dxa"/>
              <w:end w:w="150" w:type="dxa"/>
            </w:tcMar>
          </w:tcPr>
          <w:p>
            <w:r>
              <w:rPr>
                <w:b/>
                <w:color w:val="4E3758"/>
                <w:sz w:val="22"/>
              </w:rPr>
              <w:t>Kiedy nie czekać i od razu zaczynać od lekarza</w:t>
            </w:r>
          </w:p>
          <w:p>
            <w:pPr>
              <w:pStyle w:val="ListBullet"/>
              <w:spacing w:before="0" w:after="0" w:line="252" w:lineRule="auto"/>
            </w:pPr>
            <w:r>
              <w:rPr>
                <w:color w:val="27323A"/>
                <w:sz w:val="20"/>
              </w:rPr>
              <w:t>parcie bez oddawania moczu, szczególnie u kocura</w:t>
            </w:r>
          </w:p>
          <w:p>
            <w:pPr>
              <w:pStyle w:val="ListBullet"/>
              <w:spacing w:before="0" w:after="0" w:line="252" w:lineRule="auto"/>
            </w:pPr>
            <w:r>
              <w:rPr>
                <w:color w:val="27323A"/>
                <w:sz w:val="20"/>
              </w:rPr>
              <w:t>silny ból, wokalizacja, liczne wizyty w kuwecie lub krew w moczu</w:t>
            </w:r>
          </w:p>
          <w:p>
            <w:pPr>
              <w:pStyle w:val="ListBullet"/>
              <w:spacing w:before="0" w:after="0" w:line="252" w:lineRule="auto"/>
            </w:pPr>
            <w:r>
              <w:rPr>
                <w:color w:val="27323A"/>
                <w:sz w:val="20"/>
              </w:rPr>
              <w:t>nagły problem u seniora albo kota z wyraźną zmianą apetytu, pragnienia lub aktywności</w:t>
            </w:r>
          </w:p>
          <w:p>
            <w:pPr>
              <w:pStyle w:val="ListBullet"/>
              <w:spacing w:before="0" w:after="0" w:line="252" w:lineRule="auto"/>
            </w:pPr>
            <w:r>
              <w:rPr>
                <w:color w:val="27323A"/>
                <w:sz w:val="20"/>
              </w:rPr>
              <w:t>nawracające incydenty mimo uporządkowania kuwety i podstawowej diagnostyki</w:t>
            </w:r>
          </w:p>
        </w:tc>
      </w:tr>
    </w:tbl>
    <w:p/>
    <w:p/>
    <w:p>
      <w:r>
        <w:rPr>
          <w:rFonts w:ascii="Georgia" w:hAnsi="Georgia"/>
          <w:b/>
          <w:color w:val="58456F"/>
          <w:sz w:val="32"/>
        </w:rPr>
        <w:t>Kiedy ten materiał zwykle wystarcza</w:t>
      </w:r>
    </w:p>
    <w:p>
      <w:r>
        <w:rPr>
          <w:rFonts w:ascii="Georgia" w:hAnsi="Georgia"/>
          <w:b w:val="0"/>
          <w:color w:val="24313A"/>
          <w:sz w:val="22"/>
        </w:rPr>
        <w:t>• zwykle wystarcza, jeśli potrzebujesz uporządkować mieszany obraz problemu i przejść przez pełny audyt zdrowia, środowiska i wzorca eliminacji</w:t>
      </w:r>
    </w:p>
    <w:p>
      <w:r>
        <w:rPr>
          <w:rFonts w:ascii="Georgia" w:hAnsi="Georgia"/>
          <w:b w:val="0"/>
          <w:color w:val="24313A"/>
          <w:sz w:val="22"/>
        </w:rPr>
        <w:t>• po wdrożeniu planu widać stopniowe ograniczanie incydentów i lepsze dopasowanie kuwety oraz środowiska</w:t>
      </w:r>
    </w:p>
    <w:p>
      <w:r>
        <w:rPr>
          <w:rFonts w:ascii="Georgia" w:hAnsi="Georgia"/>
          <w:b w:val="0"/>
          <w:color w:val="24313A"/>
          <w:sz w:val="22"/>
        </w:rPr>
        <w:t>• nie ma stanu nagłego ani obrazu, który wymaga pilnej diagnostyki ponad to, co już zostało wdrożone</w:t>
      </w:r>
    </w:p>
    <w:p/>
    <w:p>
      <w:r>
        <w:rPr>
          <w:rFonts w:ascii="Georgia" w:hAnsi="Georgia"/>
          <w:b w:val="0"/>
          <w:color w:val="24313A"/>
          <w:sz w:val="24"/>
        </w:rPr>
        <w:t>Jeśli po audycie nadal nie wiesz, który mechanizm dominuje, konsultacja zwykle oszczędza najwięcej czasu. Jeżeli obraz zawęża się do lęku kuwetowego, konfliktu między kotami albo zmian po stresorze, możesz wrócić do węższego PDF-u z tej ścieżki.</w:t>
      </w:r>
    </w:p>
    <w:p>
      <w:pPr>
        <w:spacing w:before="140" w:after="60" w:line="252" w:lineRule="auto"/>
      </w:pPr>
      <w:r>
        <w:rPr>
          <w:rFonts w:ascii="Aptos Display" w:hAnsi="Aptos Display"/>
          <w:b/>
          <w:color w:val="4E3758"/>
          <w:sz w:val="28"/>
        </w:rPr>
        <w:t>Co dalej po tym PDF-ie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4E3758"/>
                <w:sz w:val="22"/>
              </w:rPr>
              <w:t>Kot boi się kuwety?</w:t>
            </w:r>
          </w:p>
          <w:p>
            <w:pPr>
              <w:spacing w:before="40" w:after="0" w:line="259" w:lineRule="auto"/>
            </w:pPr>
            <w:r>
              <w:rPr>
                <w:color w:val="27323A"/>
                <w:sz w:val="19"/>
              </w:rPr>
              <w:t>jeśli główny problem wygląda jak lęk kuwetowy i chcesz wejść głębiej w audyt jednego objawu</w:t>
            </w:r>
          </w:p>
        </w:tc>
        <w:tc>
          <w:tcPr>
            <w:tcW w:type="dxa" w:w="5100"/>
            <w:vAlign w:val="center"/>
            <w:tcMar>
              <w:top w:w="120" w:type="dxa"/>
              <w:start w:w="130" w:type="dxa"/>
              <w:bottom w:w="120" w:type="dxa"/>
              <w:end w:w="130" w:type="dxa"/>
            </w:tcMar>
            <w:shd w:fill="EEF5EF"/>
          </w:tcPr>
          <w:p>
            <w:r>
              <w:rPr>
                <w:b/>
                <w:color w:val="4E3758"/>
                <w:sz w:val="22"/>
              </w:rPr>
              <w:t>Konflikt między kotami</w:t>
            </w:r>
          </w:p>
          <w:p>
            <w:pPr>
              <w:spacing w:before="40" w:after="0" w:line="259" w:lineRule="auto"/>
            </w:pPr>
            <w:r>
              <w:rPr>
                <w:color w:val="27323A"/>
                <w:sz w:val="19"/>
              </w:rPr>
              <w:t>jeśli w tle widać blokowanie przejść, ustępowanie zasobów i cichą presję społeczną</w:t>
            </w:r>
          </w:p>
        </w:tc>
      </w:tr>
      <w:tr>
        <w:tc>
          <w:tcPr>
            <w:tcW w:type="dxa" w:w="5100"/>
            <w:vAlign w:val="center"/>
            <w:tcMar>
              <w:top w:w="120" w:type="dxa"/>
              <w:start w:w="130" w:type="dxa"/>
              <w:bottom w:w="120" w:type="dxa"/>
              <w:end w:w="130" w:type="dxa"/>
            </w:tcMar>
            <w:shd w:fill="F8F1E5"/>
          </w:tcPr>
          <w:p>
            <w:r>
              <w:rPr>
                <w:b/>
                <w:color w:val="4E3758"/>
                <w:sz w:val="22"/>
              </w:rPr>
              <w:t>Kot żyje w napięciu</w:t>
            </w:r>
          </w:p>
          <w:p>
            <w:pPr>
              <w:spacing w:before="40" w:after="0" w:line="259" w:lineRule="auto"/>
            </w:pPr>
            <w:r>
              <w:rPr>
                <w:color w:val="27323A"/>
                <w:sz w:val="19"/>
              </w:rPr>
              <w:t>jeśli chcesz szerzej ocenić wzorce stresu, zanim wybierzesz dalszą ścieżkę</w:t>
            </w:r>
          </w:p>
        </w:tc>
        <w:tc>
          <w:tcPr>
            <w:tcW w:type="dxa" w:w="5100"/>
            <w:vAlign w:val="center"/>
            <w:tcMar>
              <w:top w:w="120" w:type="dxa"/>
              <w:start w:w="130" w:type="dxa"/>
              <w:bottom w:w="120" w:type="dxa"/>
              <w:end w:w="130" w:type="dxa"/>
            </w:tcMar>
            <w:shd w:fill="F1ECF7"/>
          </w:tcPr>
          <w:p>
            <w:r>
              <w:rPr>
                <w:b/>
                <w:color w:val="4E3758"/>
                <w:sz w:val="22"/>
              </w:rPr>
              <w:t>Konsultacja 15 min</w:t>
            </w:r>
          </w:p>
          <w:p>
            <w:pPr>
              <w:spacing w:before="40" w:after="0" w:line="259" w:lineRule="auto"/>
            </w:pPr>
            <w:r>
              <w:rPr>
                <w:color w:val="27323A"/>
                <w:sz w:val="19"/>
              </w:rPr>
              <w:t>jeśli nie wiesz, która warstwa problemu jest główna albo chcesz szybciej ułożyć plan</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DFEAF3"/>
            <w:tcMar>
              <w:top w:w="150" w:type="dxa"/>
              <w:start w:w="170" w:type="dxa"/>
              <w:bottom w:w="150" w:type="dxa"/>
              <w:end w:w="170" w:type="dxa"/>
            </w:tcMar>
          </w:tcPr>
          <w:p>
            <w:r>
              <w:rPr>
                <w:b/>
                <w:color w:val="4E3758"/>
                <w:sz w:val="22"/>
              </w:rPr>
              <w:t>Finalny sens tego kompendium</w:t>
            </w:r>
          </w:p>
          <w:p>
            <w:pPr>
              <w:spacing w:before="40" w:after="0" w:line="276" w:lineRule="auto"/>
            </w:pPr>
            <w:r>
              <w:rPr>
                <w:color w:val="27323A"/>
                <w:sz w:val="20"/>
              </w:rPr>
              <w:t>To materiał flagowy dla opiekuna, który chce przestać zgadywać. Zamiast pytać tylko „jak oduczyć kota?”, pomaga zadać właściwe pytania o zdrowie, środowisko, relacje i wzorzec incydentu — a potem przełożyć odpowiedzi na sensowny plan działania.</w:t>
            </w:r>
          </w:p>
        </w:tc>
      </w:tr>
    </w:tbl>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C"/>
        <w:sz w:val="18"/>
      </w:rPr>
      <w:t xml:space="preserve">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