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i/>
          <w:color w:val="5B6573"/>
          <w:sz w:val="20"/>
        </w:rPr>
        <w:t>Seria: Kompendium opiekuna kota</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086"/>
      </w:tblGrid>
      <w:tr>
        <w:tc>
          <w:tcPr>
            <w:tcW w:type="dxa" w:w="10086"/>
            <w:shd w:fill="EAF0F8"/>
            <w:tcMar>
              <w:top w:w="260" w:type="dxa"/>
              <w:start w:w="260" w:type="dxa"/>
              <w:bottom w:w="220" w:type="dxa"/>
              <w:end w:w="260" w:type="dxa"/>
            </w:tcMar>
          </w:tcPr>
          <w:p>
            <w:pPr>
              <w:jc w:val="left"/>
            </w:pPr>
            <w:r>
              <w:rPr>
                <w:b/>
                <w:color w:val="344B69"/>
                <w:sz w:val="50"/>
              </w:rPr>
              <w:t>Czy Twój kot żyje w napięciu?</w:t>
            </w:r>
          </w:p>
          <w:p>
            <w:pPr>
              <w:spacing w:before="80" w:after="40" w:line="276" w:lineRule="auto"/>
            </w:pPr>
            <w:r>
              <w:rPr>
                <w:b/>
                <w:color w:val="4B668F"/>
                <w:sz w:val="30"/>
              </w:rPr>
              <w:t>6 cichych oznak, które łatwo przeoczyć</w:t>
            </w:r>
          </w:p>
          <w:p>
            <w:pPr>
              <w:spacing w:before="120" w:after="120" w:line="276" w:lineRule="auto"/>
            </w:pPr>
            <w:r>
              <w:rPr>
                <w:color w:val="1F2833"/>
                <w:sz w:val="22"/>
              </w:rPr>
              <w:t>Jak rozpoznać subtelny stres, odróżnić go od choroby i zdecydować, od czego zacząć, zanim problem stanie się większy.</w:t>
            </w:r>
          </w:p>
          <w:p>
            <w:pPr>
              <w:pStyle w:val="ListBullet"/>
              <w:spacing w:before="0" w:after="0" w:line="240" w:lineRule="auto"/>
            </w:pPr>
            <w:r>
              <w:rPr>
                <w:color w:val="1F2833"/>
                <w:sz w:val="21"/>
              </w:rPr>
              <w:t>szybki test 6 oznak napięcia</w:t>
            </w:r>
          </w:p>
          <w:p>
            <w:pPr>
              <w:pStyle w:val="ListBullet"/>
              <w:spacing w:before="0" w:after="0" w:line="240" w:lineRule="auto"/>
            </w:pPr>
            <w:r>
              <w:rPr>
                <w:color w:val="1F2833"/>
                <w:sz w:val="21"/>
              </w:rPr>
              <w:t>plan na pierwsze 72 godziny i kolejne 14 dni</w:t>
            </w:r>
          </w:p>
          <w:p>
            <w:pPr>
              <w:pStyle w:val="ListBullet"/>
              <w:spacing w:before="0" w:after="0" w:line="240" w:lineRule="auto"/>
            </w:pPr>
            <w:r>
              <w:rPr>
                <w:color w:val="1F2833"/>
                <w:sz w:val="21"/>
              </w:rPr>
              <w:t>czerwone flagi, dziennik obserwacji i kolejny krok</w:t>
            </w:r>
          </w:p>
        </w:tc>
      </w:tr>
    </w:tbl>
    <w:p/>
    <w:p>
      <w:pPr>
        <w:jc w:val="center"/>
      </w:pPr>
      <w:r>
        <w:rPr>
          <w:i/>
          <w:color w:val="5B6573"/>
          <w:sz w:val="21"/>
        </w:rPr>
        <w:t>Materiał edukacyjny dla opiekunów kotów oparty na źródłach weterynaryjnych i behawioralnych.</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10086"/>
      </w:tblGrid>
      <w:tr>
        <w:tc>
          <w:tcPr>
            <w:tcW w:type="dxa" w:w="10086"/>
            <w:shd w:fill="F1EEF8"/>
            <w:tcMar>
              <w:top w:w="150" w:type="dxa"/>
              <w:start w:w="160" w:type="dxa"/>
              <w:bottom w:w="150" w:type="dxa"/>
              <w:end w:w="160" w:type="dxa"/>
            </w:tcMar>
          </w:tcPr>
          <w:p>
            <w:r>
              <w:rPr>
                <w:b/>
                <w:color w:val="344B69"/>
                <w:sz w:val="22"/>
              </w:rPr>
              <w:t>Jak korzystać z tego materiału</w:t>
            </w:r>
          </w:p>
          <w:p>
            <w:pPr>
              <w:spacing w:before="60" w:after="0" w:line="276" w:lineRule="auto"/>
            </w:pPr>
            <w:r>
              <w:rPr>
                <w:color w:val="1F2833"/>
                <w:sz w:val="21"/>
              </w:rPr>
              <w:t>To nie jest PDF do „szybkiego etykietowania” kota. To materiał wejściowy: pomaga zauważyć wzorce, zebrać pierwsze dane i zdecydować, czy głównym problemem jest napięcie środowiskowe, konflikt społeczny, problem kuwetowy, trudność po zmianie, czy ścieżka medyczna.</w:t>
            </w:r>
          </w:p>
        </w:tc>
      </w:tr>
    </w:tbl>
    <w:p/>
    <w:p>
      <w:pPr>
        <w:pStyle w:val="Heading1"/>
        <w:spacing w:before="200" w:after="120" w:line="264" w:lineRule="auto"/>
        <w:jc w:val="left"/>
      </w:pPr>
      <w:r>
        <w:rPr>
          <w:rFonts w:ascii="Aptos Display" w:hAnsi="Aptos Display"/>
          <w:b/>
          <w:color w:val="344B69"/>
          <w:sz w:val="40"/>
        </w:rPr>
        <w:t>Dla kogo jest ten materiał</w:t>
      </w:r>
    </w:p>
    <w:p>
      <w:pPr>
        <w:pStyle w:val="ListBullet"/>
      </w:pPr>
      <w:r>
        <w:rPr>
          <w:color w:val="1F2833"/>
          <w:sz w:val="21"/>
        </w:rPr>
        <w:t>dla opiekuna, który widzi zmianę zachowania, ale nie wie jeszcze, czy chodzi o stres, ból czy konflikt</w:t>
      </w:r>
    </w:p>
    <w:p>
      <w:pPr>
        <w:pStyle w:val="ListBullet"/>
      </w:pPr>
      <w:r>
        <w:rPr>
          <w:color w:val="1F2833"/>
          <w:sz w:val="21"/>
        </w:rPr>
        <w:t>dla kota, który „po prostu stał się bardziej wycofany”, mniej elastyczny albo zaczął funkcjonować tylko w części domu</w:t>
      </w:r>
    </w:p>
    <w:p>
      <w:pPr>
        <w:pStyle w:val="ListBullet"/>
      </w:pPr>
      <w:r>
        <w:rPr>
          <w:color w:val="1F2833"/>
          <w:sz w:val="21"/>
        </w:rPr>
        <w:t>dla sytuacji po zmianach w domu, przy cichym napięciu między kotami albo przy pierwszych subtelnych objawach wokół kuwety, snu i kontaktu</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10086"/>
      </w:tblGrid>
      <w:tr>
        <w:tc>
          <w:tcPr>
            <w:tcW w:type="dxa" w:w="10086"/>
            <w:shd w:fill="EEF5EE"/>
            <w:tcMar>
              <w:top w:w="150" w:type="dxa"/>
              <w:start w:w="160" w:type="dxa"/>
              <w:bottom w:w="150" w:type="dxa"/>
              <w:end w:w="160" w:type="dxa"/>
            </w:tcMar>
          </w:tcPr>
          <w:p>
            <w:r>
              <w:rPr>
                <w:b/>
                <w:color w:val="344B69"/>
                <w:sz w:val="22"/>
              </w:rPr>
              <w:t>W środku znajdziesz</w:t>
            </w:r>
          </w:p>
          <w:p>
            <w:pPr>
              <w:spacing w:before="60" w:after="0" w:line="276" w:lineRule="auto"/>
            </w:pPr>
            <w:r>
              <w:rPr>
                <w:color w:val="1F2833"/>
                <w:sz w:val="21"/>
              </w:rPr>
              <w:t>6 oznak napięcia, prosty filtr: kiedy działać od razu, plan na pierwsze 72 godziny, plan na 14 dni, kwestionariusz domu, dziennik obserwacji i routing do kolejnego właściwego kroku.</w:t>
            </w:r>
          </w:p>
        </w:tc>
      </w:tr>
    </w:tbl>
    <w:p/>
    <w:p>
      <w:pPr>
        <w:pStyle w:val="Heading1"/>
      </w:pPr>
      <w:r>
        <w:t>Co znajdziesz w środku</w:t>
      </w:r>
    </w:p>
    <w:p>
      <w:r>
        <w:t>6 cichych oznak napięcia, szybki filtr czerwonych flag, plan pierwszych 72 godzin, plan 14 dni, kwestionariusz domu, dziennik obserwacji i routing do kolejnego właściwego PDF-u lub konsultacji.</w:t>
      </w:r>
    </w:p>
    <w:p>
      <w:pPr>
        <w:pStyle w:val="Heading1"/>
      </w:pPr>
      <w:r>
        <w:t>Najkrócej</w:t>
      </w:r>
    </w:p>
    <w:p>
      <w:r>
        <w:t>Ten materiał zwykle wystarcza jako pierwszy porządkujący krok: pomaga zobaczyć, czy kot naprawdę żyje w napięciu, co obserwować przez 7–14 dni i kiedy problem należy skierować dalej do ścieżki relacyjnej, kuwetowej, zmian w domu albo konsultacji.</w:t>
      </w:r>
    </w:p>
    <w:p>
      <w:pPr>
        <w:pStyle w:val="Heading1"/>
        <w:spacing w:before="200" w:after="120" w:line="264" w:lineRule="auto"/>
        <w:jc w:val="left"/>
      </w:pPr>
      <w:r>
        <w:rPr>
          <w:rFonts w:ascii="Aptos Display" w:hAnsi="Aptos Display"/>
          <w:b/>
          <w:color w:val="344B69"/>
          <w:sz w:val="40"/>
        </w:rPr>
        <w:t>Szybki test: 6 cichych oznak napięcia</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5043"/>
        <w:gridCol w:w="5043"/>
      </w:tblGrid>
      <w:tr>
        <w:tc>
          <w:tcPr>
            <w:tcW w:type="dxa" w:w="5043"/>
            <w:shd w:fill="EAF0F8"/>
            <w:tcMar>
              <w:top w:w="140" w:type="dxa"/>
              <w:start w:w="140" w:type="dxa"/>
              <w:bottom w:w="140" w:type="dxa"/>
              <w:end w:w="140" w:type="dxa"/>
            </w:tcMar>
          </w:tcPr>
          <w:p>
            <w:pPr>
              <w:jc w:val="left"/>
            </w:pPr>
            <w:r>
              <w:rPr>
                <w:b/>
                <w:color w:val="344B69"/>
                <w:sz w:val="22"/>
              </w:rPr>
              <w:t>1. Zawężenie przestrzeni</w:t>
            </w:r>
          </w:p>
          <w:p>
            <w:pPr>
              <w:spacing w:before="60" w:after="0" w:line="264" w:lineRule="auto"/>
            </w:pPr>
            <w:r>
              <w:rPr>
                <w:color w:val="1F2833"/>
                <w:sz w:val="20"/>
              </w:rPr>
              <w:t>kot częściej przebywa wysoko, pod łóżkiem albo przy ścianach i rzadziej odpoczywa swobodnie w centrum domu</w:t>
            </w:r>
          </w:p>
        </w:tc>
        <w:tc>
          <w:tcPr>
            <w:tcW w:type="dxa" w:w="5043"/>
            <w:shd w:fill="EEF5EE"/>
            <w:tcMar>
              <w:top w:w="140" w:type="dxa"/>
              <w:start w:w="140" w:type="dxa"/>
              <w:bottom w:w="140" w:type="dxa"/>
              <w:end w:w="140" w:type="dxa"/>
            </w:tcMar>
          </w:tcPr>
          <w:p>
            <w:pPr>
              <w:jc w:val="left"/>
            </w:pPr>
            <w:r>
              <w:rPr>
                <w:b/>
                <w:color w:val="344B69"/>
                <w:sz w:val="22"/>
              </w:rPr>
              <w:t>2. Zmiana rytmu dnia</w:t>
            </w:r>
          </w:p>
          <w:p>
            <w:pPr>
              <w:spacing w:before="60" w:after="0" w:line="264" w:lineRule="auto"/>
            </w:pPr>
            <w:r>
              <w:rPr>
                <w:color w:val="1F2833"/>
                <w:sz w:val="20"/>
              </w:rPr>
              <w:t>je, pije lub wychodzi dopiero wtedy, gdy dom cichnie i nikt go nie obserwuje</w:t>
            </w:r>
          </w:p>
        </w:tc>
      </w:tr>
      <w:tr>
        <w:tc>
          <w:tcPr>
            <w:tcW w:type="dxa" w:w="5043"/>
            <w:shd w:fill="F5F1E7"/>
            <w:tcMar>
              <w:top w:w="140" w:type="dxa"/>
              <w:start w:w="140" w:type="dxa"/>
              <w:bottom w:w="140" w:type="dxa"/>
              <w:end w:w="140" w:type="dxa"/>
            </w:tcMar>
          </w:tcPr>
          <w:p>
            <w:pPr>
              <w:jc w:val="left"/>
            </w:pPr>
            <w:r>
              <w:rPr>
                <w:b/>
                <w:color w:val="344B69"/>
                <w:sz w:val="22"/>
              </w:rPr>
              <w:t>3. Wzmożona czujność</w:t>
            </w:r>
          </w:p>
          <w:p>
            <w:pPr>
              <w:spacing w:before="60" w:after="0" w:line="264" w:lineRule="auto"/>
            </w:pPr>
            <w:r>
              <w:rPr>
                <w:color w:val="1F2833"/>
                <w:sz w:val="20"/>
              </w:rPr>
              <w:t>zastyganie, nasłuchiwanie, zatrzymywanie się na progach, rozszerzone źrenice i krótkie eksploracje</w:t>
            </w:r>
          </w:p>
        </w:tc>
        <w:tc>
          <w:tcPr>
            <w:tcW w:type="dxa" w:w="5043"/>
            <w:shd w:fill="F8EFF1"/>
            <w:tcMar>
              <w:top w:w="140" w:type="dxa"/>
              <w:start w:w="140" w:type="dxa"/>
              <w:bottom w:w="140" w:type="dxa"/>
              <w:end w:w="140" w:type="dxa"/>
            </w:tcMar>
          </w:tcPr>
          <w:p>
            <w:pPr>
              <w:jc w:val="left"/>
            </w:pPr>
            <w:r>
              <w:rPr>
                <w:b/>
                <w:color w:val="344B69"/>
                <w:sz w:val="22"/>
              </w:rPr>
              <w:t>4. Mniej przewidywalny kontakt</w:t>
            </w:r>
          </w:p>
          <w:p>
            <w:pPr>
              <w:spacing w:before="60" w:after="0" w:line="264" w:lineRule="auto"/>
            </w:pPr>
            <w:r>
              <w:rPr>
                <w:color w:val="1F2833"/>
                <w:sz w:val="20"/>
              </w:rPr>
              <w:t>szybciej się wycofuje, kończy zabawę po kilku sekundach albo gorzej toleruje dotyk</w:t>
            </w:r>
          </w:p>
        </w:tc>
      </w:tr>
      <w:tr>
        <w:tc>
          <w:tcPr>
            <w:tcW w:type="dxa" w:w="5043"/>
            <w:shd w:fill="F1EEF8"/>
            <w:tcMar>
              <w:top w:w="140" w:type="dxa"/>
              <w:start w:w="140" w:type="dxa"/>
              <w:bottom w:w="140" w:type="dxa"/>
              <w:end w:w="140" w:type="dxa"/>
            </w:tcMar>
          </w:tcPr>
          <w:p>
            <w:pPr>
              <w:jc w:val="left"/>
            </w:pPr>
            <w:r>
              <w:rPr>
                <w:b/>
                <w:color w:val="344B69"/>
                <w:sz w:val="22"/>
              </w:rPr>
              <w:t>5. Zmiany w funkcjach podstawowych</w:t>
            </w:r>
          </w:p>
          <w:p>
            <w:pPr>
              <w:spacing w:before="60" w:after="0" w:line="264" w:lineRule="auto"/>
            </w:pPr>
            <w:r>
              <w:rPr>
                <w:color w:val="1F2833"/>
                <w:sz w:val="20"/>
              </w:rPr>
              <w:t>pojawiają się odchylenia w śnie, pielęgnacji, apetycie lub korzystaniu z kuwety</w:t>
            </w:r>
          </w:p>
        </w:tc>
        <w:tc>
          <w:tcPr>
            <w:tcW w:type="dxa" w:w="5043"/>
            <w:shd w:fill="E9F2EA"/>
            <w:tcMar>
              <w:top w:w="140" w:type="dxa"/>
              <w:start w:w="140" w:type="dxa"/>
              <w:bottom w:w="140" w:type="dxa"/>
              <w:end w:w="140" w:type="dxa"/>
            </w:tcMar>
          </w:tcPr>
          <w:p>
            <w:pPr>
              <w:jc w:val="left"/>
            </w:pPr>
            <w:r>
              <w:rPr>
                <w:b/>
                <w:color w:val="344B69"/>
                <w:sz w:val="22"/>
              </w:rPr>
              <w:t>6. Unikanie utrzymuje się po zmianie</w:t>
            </w:r>
          </w:p>
          <w:p>
            <w:pPr>
              <w:spacing w:before="60" w:after="0" w:line="264" w:lineRule="auto"/>
            </w:pPr>
            <w:r>
              <w:rPr>
                <w:color w:val="1F2833"/>
                <w:sz w:val="20"/>
              </w:rPr>
              <w:t>mimo końca remontu, wizyty gości lub innego bodźca kot nadal nie wraca stopniowo do normy</w:t>
            </w:r>
          </w:p>
        </w:tc>
      </w:tr>
    </w:tbl>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10086"/>
      </w:tblGrid>
      <w:tr>
        <w:tc>
          <w:tcPr>
            <w:tcW w:type="dxa" w:w="10086"/>
            <w:shd w:fill="F5F1E7"/>
            <w:tcMar>
              <w:top w:w="150" w:type="dxa"/>
              <w:start w:w="160" w:type="dxa"/>
              <w:bottom w:w="150" w:type="dxa"/>
              <w:end w:w="160" w:type="dxa"/>
            </w:tcMar>
          </w:tcPr>
          <w:p>
            <w:r>
              <w:rPr>
                <w:b/>
                <w:color w:val="344B69"/>
                <w:sz w:val="22"/>
              </w:rPr>
              <w:t>Jak czytać ten wynik</w:t>
            </w:r>
          </w:p>
          <w:p>
            <w:pPr>
              <w:spacing w:before="60" w:after="0" w:line="276" w:lineRule="auto"/>
            </w:pPr>
            <w:r>
              <w:rPr>
                <w:color w:val="1F2833"/>
                <w:sz w:val="21"/>
              </w:rPr>
              <w:t>Jeśli regularnie widzisz 2–3 z tych oznak jednocześnie, potraktuj sprawę jak realny problem do uporządkowania. Nie czekaj na „większy kryzys”, jeśli zakres normalnego życia kota już się zawęża.</w:t>
            </w:r>
          </w:p>
        </w:tc>
      </w:tr>
    </w:tbl>
    <w:p/>
    <w:p>
      <w:pPr>
        <w:pStyle w:val="Heading1"/>
        <w:spacing w:before="200" w:after="120" w:line="264" w:lineRule="auto"/>
        <w:jc w:val="left"/>
      </w:pPr>
      <w:r>
        <w:rPr>
          <w:rFonts w:ascii="Aptos Display" w:hAnsi="Aptos Display"/>
          <w:b/>
          <w:color w:val="344B69"/>
          <w:sz w:val="40"/>
        </w:rPr>
        <w:t>Dlaczego ciche napięcie łatwo przeoczyć</w:t>
      </w:r>
    </w:p>
    <w:p>
      <w:pPr>
        <w:spacing w:before="0" w:after="120" w:line="288" w:lineRule="auto"/>
      </w:pPr>
      <w:r>
        <w:rPr>
          <w:color w:val="1F2833"/>
          <w:sz w:val="21"/>
        </w:rPr>
        <w:t>Kot nie zawsze pokazuje stres w sposób spektakularny. Częściej redukuje aktywność, wybiera bezpieczne punkty, przerywa kontakt albo przenosi podstawowe czynności na godziny ciszy. Dla człowieka taki kot może wyglądać na wyjątkowo spokojnego, podczas gdy w praktyce żyje w stałej czujności.</w:t>
      </w:r>
    </w:p>
    <w:p>
      <w:pPr>
        <w:spacing w:before="0" w:after="120" w:line="288" w:lineRule="auto"/>
      </w:pPr>
      <w:r>
        <w:rPr>
          <w:color w:val="1F2833"/>
          <w:sz w:val="21"/>
        </w:rPr>
        <w:t>Najbardziej użyteczna nie jest więc etykieta „lękowy”, lecz pytanie: czy zakres normalnego życia kota pozostał szeroki? Czy nadal je, odpoczywa, bawi się i porusza po domu bez nadmiernej ostrożności?</w:t>
      </w:r>
    </w:p>
    <w:p>
      <w:pPr>
        <w:pStyle w:val="Heading2"/>
        <w:spacing w:before="160" w:after="60" w:line="264" w:lineRule="auto"/>
      </w:pPr>
      <w:r>
        <w:rPr>
          <w:b/>
          <w:color w:val="344B69"/>
          <w:sz w:val="28"/>
        </w:rPr>
        <w:t>1. Zawężenie przestrzeni</w:t>
      </w:r>
    </w:p>
    <w:p>
      <w:pPr>
        <w:spacing w:before="0" w:after="120" w:line="288" w:lineRule="auto"/>
      </w:pPr>
      <w:r>
        <w:rPr>
          <w:color w:val="1F2833"/>
          <w:sz w:val="21"/>
        </w:rPr>
        <w:t>Jednym z najwcześniejszych objawów jest to, że kot przestaje korzystać z całego domu. Zaczyna funkcjonować w kilku punktach, które uznaje za bezpieczne, i coraz rzadziej pojawia się w miejscach otwartych lub na trasach, gdzie mógłby zostać zaskoczony.</w:t>
      </w:r>
    </w:p>
    <w:p>
      <w:pPr>
        <w:spacing w:before="0" w:after="120" w:line="288" w:lineRule="auto"/>
      </w:pPr>
      <w:r>
        <w:rPr>
          <w:color w:val="1F2833"/>
          <w:sz w:val="21"/>
        </w:rPr>
        <w:t>W domu wielokotowym to często jeden z najlepszych wskaźników cichej presji społecznej: kot nie musi być goniony. Wystarczy, że regularnie ustępuje przejścia, odpuszcza miski lub czeka, aż drugi zwierzak zaśnie.</w:t>
      </w:r>
    </w:p>
    <w:p>
      <w:pPr>
        <w:pStyle w:val="Heading2"/>
        <w:spacing w:before="160" w:after="60" w:line="264" w:lineRule="auto"/>
      </w:pPr>
      <w:r>
        <w:rPr>
          <w:b/>
          <w:color w:val="344B69"/>
          <w:sz w:val="28"/>
        </w:rPr>
        <w:t>2. Zmiana rytmu dnia</w:t>
      </w:r>
    </w:p>
    <w:p>
      <w:pPr>
        <w:spacing w:before="0" w:after="120" w:line="288" w:lineRule="auto"/>
      </w:pPr>
      <w:r>
        <w:rPr>
          <w:color w:val="1F2833"/>
          <w:sz w:val="21"/>
        </w:rPr>
        <w:t>Kot żyjący w napięciu często przenosi aktywność na pory, w których dom staje się cichy i przewidywalny. Może jeść późno wieczorem, korzystać z kuwety dopiero nocą lub bawić się wyłącznie wtedy, gdy nikt go nie obserwuje.</w:t>
      </w:r>
    </w:p>
    <w:p>
      <w:pPr>
        <w:pStyle w:val="Heading2"/>
        <w:spacing w:before="160" w:after="60" w:line="264" w:lineRule="auto"/>
      </w:pPr>
      <w:r>
        <w:rPr>
          <w:b/>
          <w:color w:val="344B69"/>
          <w:sz w:val="28"/>
        </w:rPr>
        <w:t>3. Wzmożona czujność</w:t>
      </w:r>
    </w:p>
    <w:p>
      <w:pPr>
        <w:spacing w:before="0" w:after="120" w:line="288" w:lineRule="auto"/>
      </w:pPr>
      <w:r>
        <w:rPr>
          <w:color w:val="1F2833"/>
          <w:sz w:val="21"/>
        </w:rPr>
        <w:t>Przewlekła czujność oznacza, że układ nerwowy ma problem z przełączeniem się z trybu monitorowania na tryb odpoczynku. Kot przerywa mycie, nasłuchuje, zawraca na progach albo reaguje na najmniejszy ruch człowieka.</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10086"/>
      </w:tblGrid>
      <w:tr>
        <w:tc>
          <w:tcPr>
            <w:tcW w:type="dxa" w:w="10086"/>
            <w:shd w:fill="EAF0F8"/>
            <w:tcMar>
              <w:top w:w="150" w:type="dxa"/>
              <w:start w:w="160" w:type="dxa"/>
              <w:bottom w:w="150" w:type="dxa"/>
              <w:end w:w="160" w:type="dxa"/>
            </w:tcMar>
          </w:tcPr>
          <w:p>
            <w:r>
              <w:rPr>
                <w:b/>
                <w:color w:val="344B69"/>
                <w:sz w:val="22"/>
              </w:rPr>
              <w:t>Wskazówka praktyczna</w:t>
            </w:r>
          </w:p>
          <w:p>
            <w:pPr>
              <w:spacing w:before="60" w:after="0" w:line="276" w:lineRule="auto"/>
            </w:pPr>
            <w:r>
              <w:rPr>
                <w:color w:val="1F2833"/>
                <w:sz w:val="21"/>
              </w:rPr>
              <w:t>Jeśli chcesz ocenić napięcie obiektywniej, nagraj kota podczas odpoczynku i podczas przechodzenia przez mieszkanie. Wideo często ujawnia rzeczy niewidoczne „na żywo”: zawahanie na progu, przyspieszone skanowanie otoczenia albo nagłe zastyganie.</w:t>
            </w:r>
          </w:p>
        </w:tc>
      </w:tr>
    </w:tbl>
    <w:p/>
    <w:p>
      <w:pPr>
        <w:pStyle w:val="Heading2"/>
        <w:spacing w:before="160" w:after="60" w:line="264" w:lineRule="auto"/>
      </w:pPr>
      <w:r>
        <w:rPr>
          <w:b/>
          <w:color w:val="344B69"/>
          <w:sz w:val="28"/>
        </w:rPr>
        <w:t>4. Mniej przewidywalny kontakt społeczny</w:t>
      </w:r>
    </w:p>
    <w:p>
      <w:pPr>
        <w:spacing w:before="0" w:after="120" w:line="288" w:lineRule="auto"/>
      </w:pPr>
      <w:r>
        <w:rPr>
          <w:color w:val="1F2833"/>
          <w:sz w:val="21"/>
        </w:rPr>
        <w:t>Kot żyjący w napięciu może nadal szukać bliskości, ale robi to na krótszych, bardziej kruchych warunkach. Szybciej odchodzi, wybiera obserwowanie z dystansu, kończy głaskanie po kilku sekundach albo gorzej toleruje dotyk.</w:t>
      </w:r>
    </w:p>
    <w:p>
      <w:pPr>
        <w:pStyle w:val="Heading2"/>
        <w:spacing w:before="160" w:after="60" w:line="264" w:lineRule="auto"/>
      </w:pPr>
      <w:r>
        <w:rPr>
          <w:b/>
          <w:color w:val="344B69"/>
          <w:sz w:val="28"/>
        </w:rPr>
        <w:t>5. Zmiany w funkcjach podstawowych</w:t>
      </w:r>
    </w:p>
    <w:p>
      <w:pPr>
        <w:spacing w:before="0" w:after="120" w:line="288" w:lineRule="auto"/>
      </w:pPr>
      <w:r>
        <w:rPr>
          <w:color w:val="1F2833"/>
          <w:sz w:val="21"/>
        </w:rPr>
        <w:t>Stres przewlekły rzadko zostaje wyłącznie w sferze emocji. Bardzo często widać go w drobnych odchyleniach biologicznych: spadku apetytu, ostrożniejszym podejściu do miski, fragmentarycznym śnie, pomijaniu pielęgnacji albo subtelnych zmianach wokół kuwety.</w:t>
      </w:r>
    </w:p>
    <w:p>
      <w:pPr>
        <w:pStyle w:val="Heading2"/>
        <w:spacing w:before="160" w:after="60" w:line="264" w:lineRule="auto"/>
      </w:pPr>
      <w:r>
        <w:rPr>
          <w:b/>
          <w:color w:val="344B69"/>
          <w:sz w:val="28"/>
        </w:rPr>
        <w:t>6. Unikanie utrzymuje się po zmianie</w:t>
      </w:r>
    </w:p>
    <w:p>
      <w:pPr>
        <w:spacing w:before="0" w:after="120" w:line="288" w:lineRule="auto"/>
      </w:pPr>
      <w:r>
        <w:rPr>
          <w:color w:val="1F2833"/>
          <w:sz w:val="21"/>
        </w:rPr>
        <w:t>Większość kotów potrzebuje czasu po zmianie środowiska, remoncie czy wizycie gości. Problem zaczyna się wtedy, gdy po ustaniu bodźca zachowanie nie wraca stopniowo do normy, lecz utrwala się jako nowy styl funkcjonowania.</w:t>
      </w:r>
    </w:p>
    <w:p>
      <w:pPr>
        <w:pStyle w:val="Heading1"/>
        <w:spacing w:before="200" w:after="120" w:line="264" w:lineRule="auto"/>
        <w:jc w:val="left"/>
      </w:pPr>
      <w:r>
        <w:rPr>
          <w:rFonts w:ascii="Aptos Display" w:hAnsi="Aptos Display"/>
          <w:b/>
          <w:color w:val="344B69"/>
          <w:sz w:val="40"/>
        </w:rPr>
        <w:t>Czy to jeszcze stres, czy już ścieżka medyczna?</w:t>
      </w:r>
    </w:p>
    <w:p>
      <w:pPr>
        <w:spacing w:before="0" w:after="120" w:line="288" w:lineRule="auto"/>
      </w:pPr>
      <w:r>
        <w:rPr>
          <w:color w:val="1F2833"/>
          <w:sz w:val="21"/>
        </w:rPr>
        <w:t>To jedno z najważniejszych pytań klinicznych. Kot z bólem może chować się, ograniczać przestrzeń, jeść ostrożniej i stać się mniej przewidywalny społecznie. Z kolei kot przewlekle zestresowany może rozwijać objawy somatyczne. Odróżnienie jednego od drugiego nie polega więc na prostym wyborze „albo-albo”.</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10086"/>
      </w:tblGrid>
      <w:tr>
        <w:tc>
          <w:tcPr>
            <w:tcW w:type="dxa" w:w="10086"/>
            <w:shd w:fill="F8EFF1"/>
            <w:tcMar>
              <w:top w:w="150" w:type="dxa"/>
              <w:start w:w="160" w:type="dxa"/>
              <w:bottom w:w="150" w:type="dxa"/>
              <w:end w:w="160" w:type="dxa"/>
            </w:tcMar>
          </w:tcPr>
          <w:p>
            <w:r>
              <w:rPr>
                <w:b/>
                <w:color w:val="344B69"/>
                <w:sz w:val="22"/>
              </w:rPr>
              <w:t>Najpierw obserwacja, ale przy tych objawach nie czekaj</w:t>
            </w:r>
          </w:p>
          <w:p>
            <w:pPr>
              <w:spacing w:before="60" w:after="0" w:line="276" w:lineRule="auto"/>
            </w:pPr>
            <w:r>
              <w:rPr>
                <w:color w:val="1F2833"/>
                <w:sz w:val="21"/>
              </w:rPr>
              <w:t>Nagła zmiana zachowania, problem z oddawaniem moczu, ból przy ruchu, gwałtowny spadek apetytu, wymioty, biegunka, odwodnienie, dezorientacja lub objawy neurologiczne wymagają szybkiej konsultacji weterynaryjnej.</w:t>
            </w:r>
          </w:p>
        </w:tc>
      </w:tr>
    </w:tbl>
    <w:p/>
    <w:tbl>
      <w:tblPr>
        <w:tblStyle w:val="TableGrid"/>
        <w:tblW w:type="auto" w:w="0"/>
        <w:jc w:val="center"/>
        <w:tblLook w:firstColumn="1" w:firstRow="1" w:lastColumn="0" w:lastRow="0" w:noHBand="0" w:noVBand="1" w:val="04A0"/>
      </w:tblPr>
      <w:tblGrid>
        <w:gridCol w:w="3362"/>
        <w:gridCol w:w="3362"/>
        <w:gridCol w:w="3362"/>
      </w:tblGrid>
      <w:tr>
        <w:tc>
          <w:tcPr>
            <w:tcW w:type="dxa" w:w="2835"/>
            <w:vAlign w:val="center"/>
            <w:shd w:fill="EAF0F8"/>
            <w:tcMar>
              <w:top w:w="120" w:type="dxa"/>
              <w:start w:w="120" w:type="dxa"/>
              <w:bottom w:w="120" w:type="dxa"/>
              <w:end w:w="120" w:type="dxa"/>
            </w:tcMar>
          </w:tcPr>
          <w:p>
            <w:pPr>
              <w:jc w:val="center"/>
            </w:pPr>
            <w:r>
              <w:rPr>
                <w:b/>
                <w:color w:val="344B69"/>
                <w:sz w:val="19"/>
              </w:rPr>
              <w:t>Obraz zachowania</w:t>
            </w:r>
          </w:p>
        </w:tc>
        <w:tc>
          <w:tcPr>
            <w:tcW w:type="dxa" w:w="2721"/>
            <w:vAlign w:val="center"/>
            <w:shd w:fill="EAF0F8"/>
            <w:tcMar>
              <w:top w:w="120" w:type="dxa"/>
              <w:start w:w="120" w:type="dxa"/>
              <w:bottom w:w="120" w:type="dxa"/>
              <w:end w:w="120" w:type="dxa"/>
            </w:tcMar>
          </w:tcPr>
          <w:p>
            <w:pPr>
              <w:jc w:val="center"/>
            </w:pPr>
            <w:r>
              <w:rPr>
                <w:b/>
                <w:color w:val="344B69"/>
                <w:sz w:val="19"/>
              </w:rPr>
              <w:t>Często bardziej pasuje do</w:t>
            </w:r>
          </w:p>
        </w:tc>
        <w:tc>
          <w:tcPr>
            <w:tcW w:type="dxa" w:w="3402"/>
            <w:vAlign w:val="center"/>
            <w:shd w:fill="EAF0F8"/>
            <w:tcMar>
              <w:top w:w="120" w:type="dxa"/>
              <w:start w:w="120" w:type="dxa"/>
              <w:bottom w:w="120" w:type="dxa"/>
              <w:end w:w="120" w:type="dxa"/>
            </w:tcMar>
          </w:tcPr>
          <w:p>
            <w:pPr>
              <w:jc w:val="center"/>
            </w:pPr>
            <w:r>
              <w:rPr>
                <w:b/>
                <w:color w:val="344B69"/>
                <w:sz w:val="19"/>
              </w:rPr>
              <w:t>Co sprawdzić jako pierwsze</w:t>
            </w:r>
          </w:p>
        </w:tc>
      </w:tr>
      <w:tr>
        <w:tc>
          <w:tcPr>
            <w:tcW w:type="dxa" w:w="2835"/>
            <w:vAlign w:val="center"/>
            <w:tcMar>
              <w:top w:w="110" w:type="dxa"/>
              <w:start w:w="110" w:type="dxa"/>
              <w:bottom w:w="110" w:type="dxa"/>
              <w:end w:w="110" w:type="dxa"/>
            </w:tcMar>
          </w:tcPr>
          <w:p>
            <w:pPr>
              <w:jc w:val="center"/>
            </w:pPr>
            <w:r>
              <w:rPr>
                <w:color w:val="1F2833"/>
                <w:sz w:val="19"/>
              </w:rPr>
              <w:t>nagle więcej ukrywania się + spadek apetytu</w:t>
            </w:r>
          </w:p>
        </w:tc>
        <w:tc>
          <w:tcPr>
            <w:tcW w:type="dxa" w:w="2721"/>
            <w:vAlign w:val="center"/>
            <w:tcMar>
              <w:top w:w="110" w:type="dxa"/>
              <w:start w:w="110" w:type="dxa"/>
              <w:bottom w:w="110" w:type="dxa"/>
              <w:end w:w="110" w:type="dxa"/>
            </w:tcMar>
          </w:tcPr>
          <w:p>
            <w:pPr>
              <w:jc w:val="left"/>
            </w:pPr>
            <w:r>
              <w:rPr>
                <w:color w:val="1F2833"/>
                <w:sz w:val="19"/>
              </w:rPr>
              <w:t>ból lub choroba</w:t>
            </w:r>
          </w:p>
        </w:tc>
        <w:tc>
          <w:tcPr>
            <w:tcW w:type="dxa" w:w="3402"/>
            <w:vAlign w:val="center"/>
            <w:tcMar>
              <w:top w:w="110" w:type="dxa"/>
              <w:start w:w="110" w:type="dxa"/>
              <w:bottom w:w="110" w:type="dxa"/>
              <w:end w:w="110" w:type="dxa"/>
            </w:tcMar>
          </w:tcPr>
          <w:p>
            <w:pPr>
              <w:jc w:val="left"/>
            </w:pPr>
            <w:r>
              <w:rPr>
                <w:color w:val="1F2833"/>
                <w:sz w:val="19"/>
              </w:rPr>
              <w:t>badanie kliniczne, narząd ruchu, jama ustna, układ moczowy</w:t>
            </w:r>
          </w:p>
        </w:tc>
      </w:tr>
      <w:tr>
        <w:tc>
          <w:tcPr>
            <w:tcW w:type="dxa" w:w="2835"/>
            <w:vAlign w:val="center"/>
            <w:tcMar>
              <w:top w:w="110" w:type="dxa"/>
              <w:start w:w="110" w:type="dxa"/>
              <w:bottom w:w="110" w:type="dxa"/>
              <w:end w:w="110" w:type="dxa"/>
            </w:tcMar>
          </w:tcPr>
          <w:p>
            <w:pPr>
              <w:jc w:val="center"/>
            </w:pPr>
            <w:r>
              <w:rPr>
                <w:color w:val="1F2833"/>
                <w:sz w:val="19"/>
              </w:rPr>
              <w:t>zawężenie przestrzeni i nocne korzystanie z zasobów w domu wielokotowym</w:t>
            </w:r>
          </w:p>
        </w:tc>
        <w:tc>
          <w:tcPr>
            <w:tcW w:type="dxa" w:w="2721"/>
            <w:vAlign w:val="center"/>
            <w:tcMar>
              <w:top w:w="110" w:type="dxa"/>
              <w:start w:w="110" w:type="dxa"/>
              <w:bottom w:w="110" w:type="dxa"/>
              <w:end w:w="110" w:type="dxa"/>
            </w:tcMar>
          </w:tcPr>
          <w:p>
            <w:pPr>
              <w:jc w:val="left"/>
            </w:pPr>
            <w:r>
              <w:rPr>
                <w:color w:val="1F2833"/>
                <w:sz w:val="19"/>
              </w:rPr>
              <w:t>cichy konflikt społeczny</w:t>
            </w:r>
          </w:p>
        </w:tc>
        <w:tc>
          <w:tcPr>
            <w:tcW w:type="dxa" w:w="3402"/>
            <w:vAlign w:val="center"/>
            <w:tcMar>
              <w:top w:w="110" w:type="dxa"/>
              <w:start w:w="110" w:type="dxa"/>
              <w:bottom w:w="110" w:type="dxa"/>
              <w:end w:w="110" w:type="dxa"/>
            </w:tcMar>
          </w:tcPr>
          <w:p>
            <w:pPr>
              <w:jc w:val="left"/>
            </w:pPr>
            <w:r>
              <w:rPr>
                <w:color w:val="1F2833"/>
                <w:sz w:val="19"/>
              </w:rPr>
              <w:t>mapa przejść, liczba i rozmieszczenie zasobów, nagrania interakcji</w:t>
            </w:r>
          </w:p>
        </w:tc>
      </w:tr>
      <w:tr>
        <w:tc>
          <w:tcPr>
            <w:tcW w:type="dxa" w:w="2835"/>
            <w:vAlign w:val="center"/>
            <w:tcMar>
              <w:top w:w="110" w:type="dxa"/>
              <w:start w:w="110" w:type="dxa"/>
              <w:bottom w:w="110" w:type="dxa"/>
              <w:end w:w="110" w:type="dxa"/>
            </w:tcMar>
          </w:tcPr>
          <w:p>
            <w:pPr>
              <w:jc w:val="center"/>
            </w:pPr>
            <w:r>
              <w:rPr>
                <w:color w:val="1F2833"/>
                <w:sz w:val="19"/>
              </w:rPr>
              <w:t>ostrożność po remoncie, gościach lub zmianie ustawienia mebli</w:t>
            </w:r>
          </w:p>
        </w:tc>
        <w:tc>
          <w:tcPr>
            <w:tcW w:type="dxa" w:w="2721"/>
            <w:vAlign w:val="center"/>
            <w:tcMar>
              <w:top w:w="110" w:type="dxa"/>
              <w:start w:w="110" w:type="dxa"/>
              <w:bottom w:w="110" w:type="dxa"/>
              <w:end w:w="110" w:type="dxa"/>
            </w:tcMar>
          </w:tcPr>
          <w:p>
            <w:pPr>
              <w:jc w:val="left"/>
            </w:pPr>
            <w:r>
              <w:rPr>
                <w:color w:val="1F2833"/>
                <w:sz w:val="19"/>
              </w:rPr>
              <w:t>przeciążenie środowiskowe</w:t>
            </w:r>
          </w:p>
        </w:tc>
        <w:tc>
          <w:tcPr>
            <w:tcW w:type="dxa" w:w="3402"/>
            <w:vAlign w:val="center"/>
            <w:tcMar>
              <w:top w:w="110" w:type="dxa"/>
              <w:start w:w="110" w:type="dxa"/>
              <w:bottom w:w="110" w:type="dxa"/>
              <w:end w:w="110" w:type="dxa"/>
            </w:tcMar>
          </w:tcPr>
          <w:p>
            <w:pPr>
              <w:jc w:val="left"/>
            </w:pPr>
            <w:r>
              <w:rPr>
                <w:color w:val="1F2833"/>
                <w:sz w:val="19"/>
              </w:rPr>
              <w:t>kryjówki, hałas, zapachy, przewidywalność rytmu dnia</w:t>
            </w:r>
          </w:p>
        </w:tc>
      </w:tr>
      <w:tr>
        <w:tc>
          <w:tcPr>
            <w:tcW w:type="dxa" w:w="2835"/>
            <w:vAlign w:val="center"/>
            <w:tcMar>
              <w:top w:w="110" w:type="dxa"/>
              <w:start w:w="110" w:type="dxa"/>
              <w:bottom w:w="110" w:type="dxa"/>
              <w:end w:w="110" w:type="dxa"/>
            </w:tcMar>
          </w:tcPr>
          <w:p>
            <w:pPr>
              <w:jc w:val="center"/>
            </w:pPr>
            <w:r>
              <w:rPr>
                <w:color w:val="1F2833"/>
                <w:sz w:val="19"/>
              </w:rPr>
              <w:t>krótki kontakt, obrona przy dotyku, problemy z odpoczynkiem</w:t>
            </w:r>
          </w:p>
        </w:tc>
        <w:tc>
          <w:tcPr>
            <w:tcW w:type="dxa" w:w="2721"/>
            <w:vAlign w:val="center"/>
            <w:tcMar>
              <w:top w:w="110" w:type="dxa"/>
              <w:start w:w="110" w:type="dxa"/>
              <w:bottom w:w="110" w:type="dxa"/>
              <w:end w:w="110" w:type="dxa"/>
            </w:tcMar>
          </w:tcPr>
          <w:p>
            <w:pPr>
              <w:jc w:val="left"/>
            </w:pPr>
            <w:r>
              <w:rPr>
                <w:color w:val="1F2833"/>
                <w:sz w:val="19"/>
              </w:rPr>
              <w:t>napięcie regulacyjne lub ból</w:t>
            </w:r>
          </w:p>
        </w:tc>
        <w:tc>
          <w:tcPr>
            <w:tcW w:type="dxa" w:w="3402"/>
            <w:vAlign w:val="center"/>
            <w:tcMar>
              <w:top w:w="110" w:type="dxa"/>
              <w:start w:w="110" w:type="dxa"/>
              <w:bottom w:w="110" w:type="dxa"/>
              <w:end w:w="110" w:type="dxa"/>
            </w:tcMar>
          </w:tcPr>
          <w:p>
            <w:pPr>
              <w:jc w:val="left"/>
            </w:pPr>
            <w:r>
              <w:rPr>
                <w:color w:val="1F2833"/>
                <w:sz w:val="19"/>
              </w:rPr>
              <w:t>granice kontaktu, sygnały ostrzegawcze, badanie bólu</w:t>
            </w:r>
          </w:p>
        </w:tc>
      </w:tr>
      <w:tr>
        <w:tc>
          <w:tcPr>
            <w:tcW w:type="dxa" w:w="2835"/>
            <w:vAlign w:val="center"/>
            <w:tcMar>
              <w:top w:w="110" w:type="dxa"/>
              <w:start w:w="110" w:type="dxa"/>
              <w:bottom w:w="110" w:type="dxa"/>
              <w:end w:w="110" w:type="dxa"/>
            </w:tcMar>
          </w:tcPr>
          <w:p>
            <w:pPr>
              <w:jc w:val="center"/>
            </w:pPr>
            <w:r>
              <w:rPr>
                <w:color w:val="1F2833"/>
                <w:sz w:val="19"/>
              </w:rPr>
              <w:t>nadmierne wylizywanie, problemy kuwetowe, wycofanie</w:t>
            </w:r>
          </w:p>
        </w:tc>
        <w:tc>
          <w:tcPr>
            <w:tcW w:type="dxa" w:w="2721"/>
            <w:vAlign w:val="center"/>
            <w:tcMar>
              <w:top w:w="110" w:type="dxa"/>
              <w:start w:w="110" w:type="dxa"/>
              <w:bottom w:w="110" w:type="dxa"/>
              <w:end w:w="110" w:type="dxa"/>
            </w:tcMar>
          </w:tcPr>
          <w:p>
            <w:pPr>
              <w:jc w:val="left"/>
            </w:pPr>
            <w:r>
              <w:rPr>
                <w:color w:val="1F2833"/>
                <w:sz w:val="19"/>
              </w:rPr>
              <w:t>nakładanie się stresu i objawów somatycznych</w:t>
            </w:r>
          </w:p>
        </w:tc>
        <w:tc>
          <w:tcPr>
            <w:tcW w:type="dxa" w:w="3402"/>
            <w:vAlign w:val="center"/>
            <w:tcMar>
              <w:top w:w="110" w:type="dxa"/>
              <w:start w:w="110" w:type="dxa"/>
              <w:bottom w:w="110" w:type="dxa"/>
              <w:end w:w="110" w:type="dxa"/>
            </w:tcMar>
          </w:tcPr>
          <w:p>
            <w:pPr>
              <w:jc w:val="left"/>
            </w:pPr>
            <w:r>
              <w:rPr>
                <w:color w:val="1F2833"/>
                <w:sz w:val="19"/>
              </w:rPr>
              <w:t>wywiad z kilku obszarów jednocześnie i ścieżka weterynaryjna</w:t>
            </w:r>
          </w:p>
        </w:tc>
      </w:tr>
    </w:tbl>
    <w:p/>
    <w:p>
      <w:pPr>
        <w:pStyle w:val="Heading1"/>
        <w:spacing w:before="200" w:after="120" w:line="264" w:lineRule="auto"/>
        <w:jc w:val="left"/>
      </w:pPr>
      <w:r>
        <w:rPr>
          <w:rFonts w:ascii="Aptos Display" w:hAnsi="Aptos Display"/>
          <w:b/>
          <w:color w:val="344B69"/>
          <w:sz w:val="40"/>
        </w:rPr>
        <w:t>Skąd bierze się ciche napięcie w domu</w:t>
      </w:r>
    </w:p>
    <w:p>
      <w:pPr>
        <w:spacing w:before="0" w:after="120" w:line="288" w:lineRule="auto"/>
      </w:pPr>
      <w:r>
        <w:rPr>
          <w:color w:val="1F2833"/>
          <w:sz w:val="21"/>
        </w:rPr>
        <w:t>Duża część stresu kota nie wynika z pojedynczych dramatycznych wydarzeń, lecz z przewlekłego niedopasowania środowiska: zbyt małej liczby kryjówek, jednej wąskiej drogi do misek, kuwety obok hałaśliwego sprzętu, śliskiej podłogi, braku pionowych dróg odwrotu czy częstego naruszania przestrzeni wypoczynku.</w:t>
      </w:r>
    </w:p>
    <w:p>
      <w:pPr>
        <w:spacing w:before="0" w:after="120" w:line="288" w:lineRule="auto"/>
      </w:pPr>
      <w:r>
        <w:rPr>
          <w:color w:val="1F2833"/>
          <w:sz w:val="21"/>
        </w:rPr>
        <w:t>W domach wielokotowych ważnym czynnikiem jest konkurencja o zasoby. Nawet jeśli opiekun nie widzi bójek, jeden kot może systematycznie kontrolować przejścia, lepsze miejsca odpoczynku albo dostęp do misek i kuwet. Drugi odpowiada wtedy nie otwartą walką, lecz wycofaniem.</w:t>
      </w:r>
    </w:p>
    <w:p>
      <w:pPr>
        <w:pStyle w:val="Heading2"/>
        <w:spacing w:before="160" w:after="60" w:line="264" w:lineRule="auto"/>
      </w:pPr>
      <w:r>
        <w:rPr>
          <w:b/>
          <w:color w:val="344B69"/>
          <w:sz w:val="28"/>
        </w:rPr>
        <w:t>Pięć filarów środowiska jako rama oceny</w:t>
      </w:r>
    </w:p>
    <w:p>
      <w:pPr>
        <w:pStyle w:val="ListBullet"/>
      </w:pPr>
      <w:r>
        <w:rPr>
          <w:color w:val="1F2833"/>
          <w:sz w:val="21"/>
        </w:rPr>
        <w:t>bezpieczna przestrzeń: więcej niż jedna kryjówka i droga odwrotu</w:t>
      </w:r>
    </w:p>
    <w:p>
      <w:pPr>
        <w:pStyle w:val="ListBullet"/>
      </w:pPr>
      <w:r>
        <w:rPr>
          <w:color w:val="1F2833"/>
          <w:sz w:val="21"/>
        </w:rPr>
        <w:t>rozdzielone zasoby: miski, kuwety, miejsca odpoczynku i drapaki rozproszone po domu</w:t>
      </w:r>
    </w:p>
    <w:p>
      <w:pPr>
        <w:pStyle w:val="ListBullet"/>
      </w:pPr>
      <w:r>
        <w:rPr>
          <w:color w:val="1F2833"/>
          <w:sz w:val="21"/>
        </w:rPr>
        <w:t>możliwość zabawy i zachowań łowieckich bez przeciążenia</w:t>
      </w:r>
    </w:p>
    <w:p>
      <w:pPr>
        <w:pStyle w:val="ListBullet"/>
      </w:pPr>
      <w:r>
        <w:rPr>
          <w:color w:val="1F2833"/>
          <w:sz w:val="21"/>
        </w:rPr>
        <w:t>przewidywalny kontakt społeczny, który kot może sam zakończyć</w:t>
      </w:r>
    </w:p>
    <w:p>
      <w:pPr>
        <w:pStyle w:val="ListBullet"/>
      </w:pPr>
      <w:r>
        <w:rPr>
          <w:color w:val="1F2833"/>
          <w:sz w:val="21"/>
        </w:rPr>
        <w:t>środowisko szanujące zmysły kota: mniej hałasu, drażniących zapachów i przypadkowych bodźców</w:t>
      </w:r>
    </w:p>
    <w:p>
      <w:pPr>
        <w:pStyle w:val="Heading1"/>
        <w:spacing w:before="200" w:after="120" w:line="264" w:lineRule="auto"/>
        <w:jc w:val="left"/>
      </w:pPr>
      <w:r>
        <w:rPr>
          <w:rFonts w:ascii="Aptos Display" w:hAnsi="Aptos Display"/>
          <w:b/>
          <w:color w:val="344B69"/>
          <w:sz w:val="40"/>
        </w:rPr>
        <w:t>Co robić najpierw: plan na pierwsze 72 godziny</w:t>
      </w:r>
    </w:p>
    <w:p>
      <w:pPr>
        <w:spacing w:before="0" w:after="120" w:line="288" w:lineRule="auto"/>
      </w:pPr>
      <w:r>
        <w:rPr>
          <w:color w:val="1F2833"/>
          <w:sz w:val="21"/>
        </w:rPr>
        <w:t>Jeżeli podejrzewasz przewlekłe napięcie, pierwszym krokiem nie jest zwiększanie stymulacji, lecz obniżanie obciążenia. W pierwszych 72 godzinach priorytetem jest spokojna strefa, przewidywalny rytm dnia i ograniczenie interakcji inicjowanych przez ludzi.</w:t>
      </w:r>
    </w:p>
    <w:tbl>
      <w:tblPr>
        <w:tblStyle w:val="TableGrid"/>
        <w:tblW w:type="auto" w:w="0"/>
        <w:jc w:val="center"/>
        <w:tblLook w:firstColumn="1" w:firstRow="1" w:lastColumn="0" w:lastRow="0" w:noHBand="0" w:noVBand="1" w:val="04A0"/>
      </w:tblPr>
      <w:tblGrid>
        <w:gridCol w:w="3362"/>
        <w:gridCol w:w="3362"/>
        <w:gridCol w:w="3362"/>
      </w:tblGrid>
      <w:tr>
        <w:tc>
          <w:tcPr>
            <w:tcW w:type="dxa" w:w="680"/>
            <w:vAlign w:val="center"/>
            <w:shd w:fill="EAF0F8"/>
            <w:tcMar>
              <w:top w:w="120" w:type="dxa"/>
              <w:start w:w="120" w:type="dxa"/>
              <w:bottom w:w="120" w:type="dxa"/>
              <w:end w:w="120" w:type="dxa"/>
            </w:tcMar>
          </w:tcPr>
          <w:p>
            <w:pPr>
              <w:jc w:val="center"/>
            </w:pPr>
            <w:r>
              <w:rPr>
                <w:b/>
                <w:color w:val="344B69"/>
                <w:sz w:val="19"/>
              </w:rPr>
              <w:t>Krok</w:t>
            </w:r>
          </w:p>
        </w:tc>
        <w:tc>
          <w:tcPr>
            <w:tcW w:type="dxa" w:w="4592"/>
            <w:vAlign w:val="center"/>
            <w:shd w:fill="EAF0F8"/>
            <w:tcMar>
              <w:top w:w="120" w:type="dxa"/>
              <w:start w:w="120" w:type="dxa"/>
              <w:bottom w:w="120" w:type="dxa"/>
              <w:end w:w="120" w:type="dxa"/>
            </w:tcMar>
          </w:tcPr>
          <w:p>
            <w:pPr>
              <w:jc w:val="center"/>
            </w:pPr>
            <w:r>
              <w:rPr>
                <w:b/>
                <w:color w:val="344B69"/>
                <w:sz w:val="19"/>
              </w:rPr>
              <w:t>Co robisz</w:t>
            </w:r>
          </w:p>
        </w:tc>
        <w:tc>
          <w:tcPr>
            <w:tcW w:type="dxa" w:w="3969"/>
            <w:vAlign w:val="center"/>
            <w:shd w:fill="EAF0F8"/>
            <w:tcMar>
              <w:top w:w="120" w:type="dxa"/>
              <w:start w:w="120" w:type="dxa"/>
              <w:bottom w:w="120" w:type="dxa"/>
              <w:end w:w="120" w:type="dxa"/>
            </w:tcMar>
          </w:tcPr>
          <w:p>
            <w:pPr>
              <w:jc w:val="center"/>
            </w:pPr>
            <w:r>
              <w:rPr>
                <w:b/>
                <w:color w:val="344B69"/>
                <w:sz w:val="19"/>
              </w:rPr>
              <w:t>Po co</w:t>
            </w:r>
          </w:p>
        </w:tc>
      </w:tr>
      <w:tr>
        <w:tc>
          <w:tcPr>
            <w:tcW w:type="dxa" w:w="680"/>
            <w:vAlign w:val="center"/>
            <w:tcMar>
              <w:top w:w="110" w:type="dxa"/>
              <w:start w:w="110" w:type="dxa"/>
              <w:bottom w:w="110" w:type="dxa"/>
              <w:end w:w="110" w:type="dxa"/>
            </w:tcMar>
          </w:tcPr>
          <w:p>
            <w:pPr>
              <w:jc w:val="center"/>
            </w:pPr>
            <w:r>
              <w:rPr>
                <w:color w:val="1F2833"/>
                <w:sz w:val="19"/>
              </w:rPr>
              <w:t>1</w:t>
            </w:r>
          </w:p>
        </w:tc>
        <w:tc>
          <w:tcPr>
            <w:tcW w:type="dxa" w:w="4592"/>
            <w:vAlign w:val="center"/>
            <w:tcMar>
              <w:top w:w="110" w:type="dxa"/>
              <w:start w:w="110" w:type="dxa"/>
              <w:bottom w:w="110" w:type="dxa"/>
              <w:end w:w="110" w:type="dxa"/>
            </w:tcMar>
          </w:tcPr>
          <w:p>
            <w:pPr>
              <w:jc w:val="left"/>
            </w:pPr>
            <w:r>
              <w:rPr>
                <w:color w:val="1F2833"/>
                <w:sz w:val="19"/>
              </w:rPr>
              <w:t>zabezpiecz spokojną strefę z kryjówką, wodą, jedzeniem, kuwetą i drapakiem</w:t>
            </w:r>
          </w:p>
        </w:tc>
        <w:tc>
          <w:tcPr>
            <w:tcW w:type="dxa" w:w="3969"/>
            <w:vAlign w:val="center"/>
            <w:tcMar>
              <w:top w:w="110" w:type="dxa"/>
              <w:start w:w="110" w:type="dxa"/>
              <w:bottom w:w="110" w:type="dxa"/>
              <w:end w:w="110" w:type="dxa"/>
            </w:tcMar>
          </w:tcPr>
          <w:p>
            <w:pPr>
              <w:jc w:val="left"/>
            </w:pPr>
            <w:r>
              <w:rPr>
                <w:color w:val="1F2833"/>
                <w:sz w:val="19"/>
              </w:rPr>
              <w:t>kot odzyskuje minimum kontroli i nie musi przechodzić przez strefy ryzyka</w:t>
            </w:r>
          </w:p>
        </w:tc>
      </w:tr>
      <w:tr>
        <w:tc>
          <w:tcPr>
            <w:tcW w:type="dxa" w:w="680"/>
            <w:vAlign w:val="center"/>
            <w:tcMar>
              <w:top w:w="110" w:type="dxa"/>
              <w:start w:w="110" w:type="dxa"/>
              <w:bottom w:w="110" w:type="dxa"/>
              <w:end w:w="110" w:type="dxa"/>
            </w:tcMar>
          </w:tcPr>
          <w:p>
            <w:pPr>
              <w:jc w:val="center"/>
            </w:pPr>
            <w:r>
              <w:rPr>
                <w:color w:val="1F2833"/>
                <w:sz w:val="19"/>
              </w:rPr>
              <w:t>2</w:t>
            </w:r>
          </w:p>
        </w:tc>
        <w:tc>
          <w:tcPr>
            <w:tcW w:type="dxa" w:w="4592"/>
            <w:vAlign w:val="center"/>
            <w:tcMar>
              <w:top w:w="110" w:type="dxa"/>
              <w:start w:w="110" w:type="dxa"/>
              <w:bottom w:w="110" w:type="dxa"/>
              <w:end w:w="110" w:type="dxa"/>
            </w:tcMar>
          </w:tcPr>
          <w:p>
            <w:pPr>
              <w:jc w:val="left"/>
            </w:pPr>
            <w:r>
              <w:rPr>
                <w:color w:val="1F2833"/>
                <w:sz w:val="19"/>
              </w:rPr>
              <w:t>rozprosz zasoby i odciąż trasy komunikacyjne</w:t>
            </w:r>
          </w:p>
        </w:tc>
        <w:tc>
          <w:tcPr>
            <w:tcW w:type="dxa" w:w="3969"/>
            <w:vAlign w:val="center"/>
            <w:tcMar>
              <w:top w:w="110" w:type="dxa"/>
              <w:start w:w="110" w:type="dxa"/>
              <w:bottom w:w="110" w:type="dxa"/>
              <w:end w:w="110" w:type="dxa"/>
            </w:tcMar>
          </w:tcPr>
          <w:p>
            <w:pPr>
              <w:jc w:val="left"/>
            </w:pPr>
            <w:r>
              <w:rPr>
                <w:color w:val="1F2833"/>
                <w:sz w:val="19"/>
              </w:rPr>
              <w:t>zmniejszasz koszt podejścia do podstawowych potrzeb</w:t>
            </w:r>
          </w:p>
        </w:tc>
      </w:tr>
      <w:tr>
        <w:tc>
          <w:tcPr>
            <w:tcW w:type="dxa" w:w="680"/>
            <w:vAlign w:val="center"/>
            <w:tcMar>
              <w:top w:w="110" w:type="dxa"/>
              <w:start w:w="110" w:type="dxa"/>
              <w:bottom w:w="110" w:type="dxa"/>
              <w:end w:w="110" w:type="dxa"/>
            </w:tcMar>
          </w:tcPr>
          <w:p>
            <w:pPr>
              <w:jc w:val="center"/>
            </w:pPr>
            <w:r>
              <w:rPr>
                <w:color w:val="1F2833"/>
                <w:sz w:val="19"/>
              </w:rPr>
              <w:t>3</w:t>
            </w:r>
          </w:p>
        </w:tc>
        <w:tc>
          <w:tcPr>
            <w:tcW w:type="dxa" w:w="4592"/>
            <w:vAlign w:val="center"/>
            <w:tcMar>
              <w:top w:w="110" w:type="dxa"/>
              <w:start w:w="110" w:type="dxa"/>
              <w:bottom w:w="110" w:type="dxa"/>
              <w:end w:w="110" w:type="dxa"/>
            </w:tcMar>
          </w:tcPr>
          <w:p>
            <w:pPr>
              <w:jc w:val="left"/>
            </w:pPr>
            <w:r>
              <w:rPr>
                <w:color w:val="1F2833"/>
                <w:sz w:val="19"/>
              </w:rPr>
              <w:t>ogranicz przymusowy kontakt i nagłe bodźce</w:t>
            </w:r>
          </w:p>
        </w:tc>
        <w:tc>
          <w:tcPr>
            <w:tcW w:type="dxa" w:w="3969"/>
            <w:vAlign w:val="center"/>
            <w:tcMar>
              <w:top w:w="110" w:type="dxa"/>
              <w:start w:w="110" w:type="dxa"/>
              <w:bottom w:w="110" w:type="dxa"/>
              <w:end w:w="110" w:type="dxa"/>
            </w:tcMar>
          </w:tcPr>
          <w:p>
            <w:pPr>
              <w:jc w:val="left"/>
            </w:pPr>
            <w:r>
              <w:rPr>
                <w:color w:val="1F2833"/>
                <w:sz w:val="19"/>
              </w:rPr>
              <w:t>układ nerwowy ma szansę wyhamować czujność</w:t>
            </w:r>
          </w:p>
        </w:tc>
      </w:tr>
      <w:tr>
        <w:tc>
          <w:tcPr>
            <w:tcW w:type="dxa" w:w="680"/>
            <w:vAlign w:val="center"/>
            <w:tcMar>
              <w:top w:w="110" w:type="dxa"/>
              <w:start w:w="110" w:type="dxa"/>
              <w:bottom w:w="110" w:type="dxa"/>
              <w:end w:w="110" w:type="dxa"/>
            </w:tcMar>
          </w:tcPr>
          <w:p>
            <w:pPr>
              <w:jc w:val="center"/>
            </w:pPr>
            <w:r>
              <w:rPr>
                <w:color w:val="1F2833"/>
                <w:sz w:val="19"/>
              </w:rPr>
              <w:t>4</w:t>
            </w:r>
          </w:p>
        </w:tc>
        <w:tc>
          <w:tcPr>
            <w:tcW w:type="dxa" w:w="4592"/>
            <w:vAlign w:val="center"/>
            <w:tcMar>
              <w:top w:w="110" w:type="dxa"/>
              <w:start w:w="110" w:type="dxa"/>
              <w:bottom w:w="110" w:type="dxa"/>
              <w:end w:w="110" w:type="dxa"/>
            </w:tcMar>
          </w:tcPr>
          <w:p>
            <w:pPr>
              <w:jc w:val="left"/>
            </w:pPr>
            <w:r>
              <w:rPr>
                <w:color w:val="1F2833"/>
                <w:sz w:val="19"/>
              </w:rPr>
              <w:t>zacznij 5–7 dni obserwacji</w:t>
            </w:r>
          </w:p>
        </w:tc>
        <w:tc>
          <w:tcPr>
            <w:tcW w:type="dxa" w:w="3969"/>
            <w:vAlign w:val="center"/>
            <w:tcMar>
              <w:top w:w="110" w:type="dxa"/>
              <w:start w:w="110" w:type="dxa"/>
              <w:bottom w:w="110" w:type="dxa"/>
              <w:end w:w="110" w:type="dxa"/>
            </w:tcMar>
          </w:tcPr>
          <w:p>
            <w:pPr>
              <w:jc w:val="left"/>
            </w:pPr>
            <w:r>
              <w:rPr>
                <w:color w:val="1F2833"/>
                <w:sz w:val="19"/>
              </w:rPr>
              <w:t>zobaczysz trend, a nie pojedynczy gorszy dzień</w:t>
            </w:r>
          </w:p>
        </w:tc>
      </w:tr>
    </w:tbl>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10086"/>
      </w:tblGrid>
      <w:tr>
        <w:tc>
          <w:tcPr>
            <w:tcW w:type="dxa" w:w="10086"/>
            <w:shd w:fill="EEF5EE"/>
            <w:tcMar>
              <w:top w:w="150" w:type="dxa"/>
              <w:start w:w="160" w:type="dxa"/>
              <w:bottom w:w="150" w:type="dxa"/>
              <w:end w:w="160" w:type="dxa"/>
            </w:tcMar>
          </w:tcPr>
          <w:p>
            <w:r>
              <w:rPr>
                <w:b/>
                <w:color w:val="344B69"/>
                <w:sz w:val="22"/>
              </w:rPr>
              <w:t>Ważne</w:t>
            </w:r>
          </w:p>
          <w:p>
            <w:pPr>
              <w:spacing w:before="60" w:after="0" w:line="276" w:lineRule="auto"/>
            </w:pPr>
            <w:r>
              <w:rPr>
                <w:color w:val="1F2833"/>
                <w:sz w:val="21"/>
              </w:rPr>
              <w:t>Jeżeli w domu są inne zwierzęta, sprawdź, czy nie dochodzi do cichej blokady przejść. Czasem sama zmiana ustawienia zasobów przynosi dużą poprawę jeszcze przed rozpoczęciem bardziej złożonej pracy.</w:t>
            </w:r>
          </w:p>
        </w:tc>
      </w:tr>
    </w:tbl>
    <w:p/>
    <w:p>
      <w:pPr>
        <w:pStyle w:val="Heading1"/>
        <w:spacing w:before="200" w:after="120" w:line="264" w:lineRule="auto"/>
        <w:jc w:val="left"/>
      </w:pPr>
      <w:r>
        <w:rPr>
          <w:rFonts w:ascii="Aptos Display" w:hAnsi="Aptos Display"/>
          <w:b/>
          <w:color w:val="344B69"/>
          <w:sz w:val="40"/>
        </w:rPr>
        <w:t>Plan pracy na 14 dni</w:t>
      </w:r>
    </w:p>
    <w:p>
      <w:pPr>
        <w:spacing w:before="0" w:after="120" w:line="288" w:lineRule="auto"/>
      </w:pPr>
      <w:r>
        <w:rPr>
          <w:color w:val="1F2833"/>
          <w:sz w:val="21"/>
        </w:rPr>
        <w:t>W kolejnych dwóch tygodniach celem jest nie tyle „ośmielanie” kota, ile stopniowe poszerzanie zakresu bezpiecznego funkcjonowania. Każda interwencja powinna być mała, powtarzalna i łatwa do cofnięcia, jeśli okaże się zbyt trudna.</w:t>
      </w:r>
    </w:p>
    <w:tbl>
      <w:tblPr>
        <w:tblStyle w:val="TableGrid"/>
        <w:tblW w:type="auto" w:w="0"/>
        <w:jc w:val="center"/>
        <w:tblLook w:firstColumn="1" w:firstRow="1" w:lastColumn="0" w:lastRow="0" w:noHBand="0" w:noVBand="1" w:val="04A0"/>
      </w:tblPr>
      <w:tblGrid>
        <w:gridCol w:w="3362"/>
        <w:gridCol w:w="3362"/>
        <w:gridCol w:w="3362"/>
      </w:tblGrid>
      <w:tr>
        <w:tc>
          <w:tcPr>
            <w:tcW w:type="dxa" w:w="1361"/>
            <w:vAlign w:val="center"/>
            <w:shd w:fill="EAF0F8"/>
            <w:tcMar>
              <w:top w:w="120" w:type="dxa"/>
              <w:start w:w="120" w:type="dxa"/>
              <w:bottom w:w="120" w:type="dxa"/>
              <w:end w:w="120" w:type="dxa"/>
            </w:tcMar>
          </w:tcPr>
          <w:p>
            <w:pPr>
              <w:jc w:val="center"/>
            </w:pPr>
            <w:r>
              <w:rPr>
                <w:b/>
                <w:color w:val="344B69"/>
                <w:sz w:val="18"/>
              </w:rPr>
              <w:t>Poziom</w:t>
            </w:r>
          </w:p>
        </w:tc>
        <w:tc>
          <w:tcPr>
            <w:tcW w:type="dxa" w:w="4082"/>
            <w:vAlign w:val="center"/>
            <w:shd w:fill="EAF0F8"/>
            <w:tcMar>
              <w:top w:w="120" w:type="dxa"/>
              <w:start w:w="120" w:type="dxa"/>
              <w:bottom w:w="120" w:type="dxa"/>
              <w:end w:w="120" w:type="dxa"/>
            </w:tcMar>
          </w:tcPr>
          <w:p>
            <w:pPr>
              <w:jc w:val="center"/>
            </w:pPr>
            <w:r>
              <w:rPr>
                <w:b/>
                <w:color w:val="344B69"/>
                <w:sz w:val="18"/>
              </w:rPr>
              <w:t>Przykłady</w:t>
            </w:r>
          </w:p>
        </w:tc>
        <w:tc>
          <w:tcPr>
            <w:tcW w:type="dxa" w:w="3798"/>
            <w:vAlign w:val="center"/>
            <w:shd w:fill="EAF0F8"/>
            <w:tcMar>
              <w:top w:w="120" w:type="dxa"/>
              <w:start w:w="120" w:type="dxa"/>
              <w:bottom w:w="120" w:type="dxa"/>
              <w:end w:w="120" w:type="dxa"/>
            </w:tcMar>
          </w:tcPr>
          <w:p>
            <w:pPr>
              <w:jc w:val="center"/>
            </w:pPr>
            <w:r>
              <w:rPr>
                <w:b/>
                <w:color w:val="344B69"/>
                <w:sz w:val="18"/>
              </w:rPr>
              <w:t>Kiedy przejść dalej</w:t>
            </w:r>
          </w:p>
        </w:tc>
      </w:tr>
      <w:tr>
        <w:tc>
          <w:tcPr>
            <w:tcW w:type="dxa" w:w="1361"/>
            <w:vAlign w:val="center"/>
            <w:tcMar>
              <w:top w:w="110" w:type="dxa"/>
              <w:start w:w="110" w:type="dxa"/>
              <w:bottom w:w="110" w:type="dxa"/>
              <w:end w:w="110" w:type="dxa"/>
            </w:tcMar>
          </w:tcPr>
          <w:p>
            <w:pPr>
              <w:jc w:val="center"/>
            </w:pPr>
            <w:r>
              <w:rPr>
                <w:color w:val="1F2833"/>
                <w:sz w:val="18"/>
              </w:rPr>
              <w:t>1. stabilizacja</w:t>
            </w:r>
          </w:p>
        </w:tc>
        <w:tc>
          <w:tcPr>
            <w:tcW w:type="dxa" w:w="4082"/>
            <w:vAlign w:val="center"/>
            <w:tcMar>
              <w:top w:w="110" w:type="dxa"/>
              <w:start w:w="110" w:type="dxa"/>
              <w:bottom w:w="110" w:type="dxa"/>
              <w:end w:w="110" w:type="dxa"/>
            </w:tcMar>
          </w:tcPr>
          <w:p>
            <w:pPr>
              <w:jc w:val="left"/>
            </w:pPr>
            <w:r>
              <w:rPr>
                <w:color w:val="1F2833"/>
                <w:sz w:val="18"/>
              </w:rPr>
              <w:t>cisza, rytm dnia, bezpieczna strefa, rozproszenie zasobów</w:t>
            </w:r>
          </w:p>
        </w:tc>
        <w:tc>
          <w:tcPr>
            <w:tcW w:type="dxa" w:w="3798"/>
            <w:vAlign w:val="center"/>
            <w:tcMar>
              <w:top w:w="110" w:type="dxa"/>
              <w:start w:w="110" w:type="dxa"/>
              <w:bottom w:w="110" w:type="dxa"/>
              <w:end w:w="110" w:type="dxa"/>
            </w:tcMar>
          </w:tcPr>
          <w:p>
            <w:pPr>
              <w:jc w:val="left"/>
            </w:pPr>
            <w:r>
              <w:rPr>
                <w:color w:val="1F2833"/>
                <w:sz w:val="18"/>
              </w:rPr>
              <w:t>gdy kot zaczyna jeść, spać i poruszać się bardziej swobodnie</w:t>
            </w:r>
          </w:p>
        </w:tc>
      </w:tr>
      <w:tr>
        <w:tc>
          <w:tcPr>
            <w:tcW w:type="dxa" w:w="1361"/>
            <w:vAlign w:val="center"/>
            <w:tcMar>
              <w:top w:w="110" w:type="dxa"/>
              <w:start w:w="110" w:type="dxa"/>
              <w:bottom w:w="110" w:type="dxa"/>
              <w:end w:w="110" w:type="dxa"/>
            </w:tcMar>
          </w:tcPr>
          <w:p>
            <w:pPr>
              <w:jc w:val="center"/>
            </w:pPr>
            <w:r>
              <w:rPr>
                <w:color w:val="1F2833"/>
                <w:sz w:val="18"/>
              </w:rPr>
              <w:t>2. delikatne poszerzanie aktywności</w:t>
            </w:r>
          </w:p>
        </w:tc>
        <w:tc>
          <w:tcPr>
            <w:tcW w:type="dxa" w:w="4082"/>
            <w:vAlign w:val="center"/>
            <w:tcMar>
              <w:top w:w="110" w:type="dxa"/>
              <w:start w:w="110" w:type="dxa"/>
              <w:bottom w:w="110" w:type="dxa"/>
              <w:end w:w="110" w:type="dxa"/>
            </w:tcMar>
          </w:tcPr>
          <w:p>
            <w:pPr>
              <w:jc w:val="left"/>
            </w:pPr>
            <w:r>
              <w:rPr>
                <w:color w:val="1F2833"/>
                <w:sz w:val="18"/>
              </w:rPr>
              <w:t>krótkie zabawy, nowe punkty obserwacyjne, spokojny kontakt inicjowany przez kota</w:t>
            </w:r>
          </w:p>
        </w:tc>
        <w:tc>
          <w:tcPr>
            <w:tcW w:type="dxa" w:w="3798"/>
            <w:vAlign w:val="center"/>
            <w:tcMar>
              <w:top w:w="110" w:type="dxa"/>
              <w:start w:w="110" w:type="dxa"/>
              <w:bottom w:w="110" w:type="dxa"/>
              <w:end w:w="110" w:type="dxa"/>
            </w:tcMar>
          </w:tcPr>
          <w:p>
            <w:pPr>
              <w:jc w:val="left"/>
            </w:pPr>
            <w:r>
              <w:rPr>
                <w:color w:val="1F2833"/>
                <w:sz w:val="18"/>
              </w:rPr>
              <w:t>gdy przez 2–3 dni z rzędu widać większą elastyczność</w:t>
            </w:r>
          </w:p>
        </w:tc>
      </w:tr>
      <w:tr>
        <w:tc>
          <w:tcPr>
            <w:tcW w:type="dxa" w:w="1361"/>
            <w:vAlign w:val="center"/>
            <w:tcMar>
              <w:top w:w="110" w:type="dxa"/>
              <w:start w:w="110" w:type="dxa"/>
              <w:bottom w:w="110" w:type="dxa"/>
              <w:end w:w="110" w:type="dxa"/>
            </w:tcMar>
          </w:tcPr>
          <w:p>
            <w:pPr>
              <w:jc w:val="center"/>
            </w:pPr>
            <w:r>
              <w:rPr>
                <w:color w:val="1F2833"/>
                <w:sz w:val="18"/>
              </w:rPr>
              <w:t>3. praca nad konkretnym stresorem</w:t>
            </w:r>
          </w:p>
        </w:tc>
        <w:tc>
          <w:tcPr>
            <w:tcW w:type="dxa" w:w="4082"/>
            <w:vAlign w:val="center"/>
            <w:tcMar>
              <w:top w:w="110" w:type="dxa"/>
              <w:start w:w="110" w:type="dxa"/>
              <w:bottom w:w="110" w:type="dxa"/>
              <w:end w:w="110" w:type="dxa"/>
            </w:tcMar>
          </w:tcPr>
          <w:p>
            <w:pPr>
              <w:jc w:val="left"/>
            </w:pPr>
            <w:r>
              <w:rPr>
                <w:color w:val="1F2833"/>
                <w:sz w:val="18"/>
              </w:rPr>
              <w:t>modyfikacja tras, konflikt społeczny, planowanie zmian w domu</w:t>
            </w:r>
          </w:p>
        </w:tc>
        <w:tc>
          <w:tcPr>
            <w:tcW w:type="dxa" w:w="3798"/>
            <w:vAlign w:val="center"/>
            <w:tcMar>
              <w:top w:w="110" w:type="dxa"/>
              <w:start w:w="110" w:type="dxa"/>
              <w:bottom w:w="110" w:type="dxa"/>
              <w:end w:w="110" w:type="dxa"/>
            </w:tcMar>
          </w:tcPr>
          <w:p>
            <w:pPr>
              <w:jc w:val="left"/>
            </w:pPr>
            <w:r>
              <w:rPr>
                <w:color w:val="1F2833"/>
                <w:sz w:val="18"/>
              </w:rPr>
              <w:t>gdy potrafisz wskazać dominujący czynnik obciążający</w:t>
            </w:r>
          </w:p>
        </w:tc>
      </w:tr>
      <w:tr>
        <w:tc>
          <w:tcPr>
            <w:tcW w:type="dxa" w:w="1361"/>
            <w:vAlign w:val="center"/>
            <w:tcMar>
              <w:top w:w="110" w:type="dxa"/>
              <w:start w:w="110" w:type="dxa"/>
              <w:bottom w:w="110" w:type="dxa"/>
              <w:end w:w="110" w:type="dxa"/>
            </w:tcMar>
          </w:tcPr>
          <w:p>
            <w:pPr>
              <w:jc w:val="center"/>
            </w:pPr>
            <w:r>
              <w:rPr>
                <w:color w:val="1F2833"/>
                <w:sz w:val="18"/>
              </w:rPr>
              <w:t>4. konsultacja</w:t>
            </w:r>
          </w:p>
        </w:tc>
        <w:tc>
          <w:tcPr>
            <w:tcW w:type="dxa" w:w="4082"/>
            <w:vAlign w:val="center"/>
            <w:tcMar>
              <w:top w:w="110" w:type="dxa"/>
              <w:start w:w="110" w:type="dxa"/>
              <w:bottom w:w="110" w:type="dxa"/>
              <w:end w:w="110" w:type="dxa"/>
            </w:tcMar>
          </w:tcPr>
          <w:p>
            <w:pPr>
              <w:jc w:val="left"/>
            </w:pPr>
            <w:r>
              <w:rPr>
                <w:color w:val="1F2833"/>
                <w:sz w:val="18"/>
              </w:rPr>
              <w:t>diagnostyka weterynaryjna, plan behawioralny, analiza wideo</w:t>
            </w:r>
          </w:p>
        </w:tc>
        <w:tc>
          <w:tcPr>
            <w:tcW w:type="dxa" w:w="3798"/>
            <w:vAlign w:val="center"/>
            <w:tcMar>
              <w:top w:w="110" w:type="dxa"/>
              <w:start w:w="110" w:type="dxa"/>
              <w:bottom w:w="110" w:type="dxa"/>
              <w:end w:w="110" w:type="dxa"/>
            </w:tcMar>
          </w:tcPr>
          <w:p>
            <w:pPr>
              <w:jc w:val="left"/>
            </w:pPr>
            <w:r>
              <w:rPr>
                <w:color w:val="1F2833"/>
                <w:sz w:val="18"/>
              </w:rPr>
              <w:t>gdy objawy utrzymują się lub narastają mimo pierwszych działań</w:t>
            </w:r>
          </w:p>
        </w:tc>
      </w:tr>
    </w:tbl>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10086"/>
      </w:tblGrid>
      <w:tr>
        <w:tc>
          <w:tcPr>
            <w:tcW w:type="dxa" w:w="10086"/>
            <w:shd w:fill="EAF0F8"/>
            <w:tcMar>
              <w:top w:w="150" w:type="dxa"/>
              <w:start w:w="160" w:type="dxa"/>
              <w:bottom w:w="150" w:type="dxa"/>
              <w:end w:w="160" w:type="dxa"/>
            </w:tcMar>
          </w:tcPr>
          <w:p>
            <w:r>
              <w:rPr>
                <w:b/>
                <w:color w:val="344B69"/>
                <w:sz w:val="22"/>
              </w:rPr>
              <w:t>Kiedy zgłosić się po pomoc</w:t>
            </w:r>
          </w:p>
          <w:p>
            <w:pPr>
              <w:spacing w:before="60" w:after="0" w:line="276" w:lineRule="auto"/>
            </w:pPr>
            <w:r>
              <w:rPr>
                <w:color w:val="1F2833"/>
                <w:sz w:val="21"/>
              </w:rPr>
              <w:t>Nie czekaj, aż subtelne napięcie zamieni się w otwarty kryzys. Im wcześniej uda się przywrócić kotu przewidywalność i poczucie wpływu, tym większa szansa na szybki powrót do równowagi.</w:t>
            </w:r>
          </w:p>
        </w:tc>
      </w:tr>
    </w:tbl>
    <w:p/>
    <w:p>
      <w:pPr>
        <w:pStyle w:val="Heading1"/>
        <w:spacing w:before="200" w:after="120" w:line="264" w:lineRule="auto"/>
        <w:jc w:val="left"/>
      </w:pPr>
      <w:r>
        <w:rPr>
          <w:rFonts w:ascii="Aptos Display" w:hAnsi="Aptos Display"/>
          <w:b/>
          <w:color w:val="344B69"/>
          <w:sz w:val="40"/>
        </w:rPr>
        <w:t>Błędy, które niechcący wzmacniają napięcie</w:t>
      </w:r>
    </w:p>
    <w:p>
      <w:pPr>
        <w:pStyle w:val="ListBullet"/>
      </w:pPr>
      <w:r>
        <w:rPr>
          <w:color w:val="1F2833"/>
          <w:sz w:val="21"/>
        </w:rPr>
        <w:t>wyciąganie kota z kryjówki lub zbyt intensywne zachęcanie do kontaktu</w:t>
      </w:r>
    </w:p>
    <w:p>
      <w:pPr>
        <w:pStyle w:val="ListBullet"/>
      </w:pPr>
      <w:r>
        <w:rPr>
          <w:color w:val="1F2833"/>
          <w:sz w:val="21"/>
        </w:rPr>
        <w:t>przenoszenie zasobów bez obserwacji reakcji</w:t>
      </w:r>
    </w:p>
    <w:p>
      <w:pPr>
        <w:pStyle w:val="ListBullet"/>
      </w:pPr>
      <w:r>
        <w:rPr>
          <w:color w:val="1F2833"/>
          <w:sz w:val="21"/>
        </w:rPr>
        <w:t>interpretowanie wycofania jako potrzeby „przyzwyczajenia się”</w:t>
      </w:r>
    </w:p>
    <w:p>
      <w:pPr>
        <w:pStyle w:val="ListBullet"/>
      </w:pPr>
      <w:r>
        <w:rPr>
          <w:color w:val="1F2833"/>
          <w:sz w:val="21"/>
        </w:rPr>
        <w:t>skupienie się wyłącznie na jednym objawie zamiast na całym wzorcu</w:t>
      </w:r>
    </w:p>
    <w:p>
      <w:pPr>
        <w:pStyle w:val="ListBullet"/>
      </w:pPr>
      <w:r>
        <w:rPr>
          <w:color w:val="1F2833"/>
          <w:sz w:val="21"/>
        </w:rPr>
        <w:t>zbyt szybkie dokładanie stymulacji, zanim kot odzyska podstawowe poczucie bezpieczeństwa</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10086"/>
      </w:tblGrid>
      <w:tr>
        <w:tc>
          <w:tcPr>
            <w:tcW w:type="dxa" w:w="10086"/>
            <w:shd w:fill="F5F1E7"/>
            <w:tcMar>
              <w:top w:w="150" w:type="dxa"/>
              <w:start w:w="160" w:type="dxa"/>
              <w:bottom w:w="150" w:type="dxa"/>
              <w:end w:w="160" w:type="dxa"/>
            </w:tcMar>
          </w:tcPr>
          <w:p>
            <w:r>
              <w:rPr>
                <w:b/>
                <w:color w:val="344B69"/>
                <w:sz w:val="22"/>
              </w:rPr>
              <w:t>Reguła ostrożności</w:t>
            </w:r>
          </w:p>
          <w:p>
            <w:pPr>
              <w:spacing w:before="60" w:after="0" w:line="276" w:lineRule="auto"/>
            </w:pPr>
            <w:r>
              <w:rPr>
                <w:color w:val="1F2833"/>
                <w:sz w:val="21"/>
              </w:rPr>
              <w:t>Jeżeli nie masz pewności, czy dana zmiana pomoże, wybierz rozwiązanie, które zwiększa kontrolę kota nad dystansem i dostępem do zasobów.</w:t>
            </w:r>
          </w:p>
        </w:tc>
      </w:tr>
    </w:tbl>
    <w:p/>
    <w:p>
      <w:pPr>
        <w:pStyle w:val="Heading1"/>
        <w:spacing w:before="200" w:after="120" w:line="264" w:lineRule="auto"/>
        <w:jc w:val="left"/>
      </w:pPr>
      <w:r>
        <w:rPr>
          <w:rFonts w:ascii="Aptos Display" w:hAnsi="Aptos Display"/>
          <w:b/>
          <w:color w:val="344B69"/>
          <w:sz w:val="40"/>
        </w:rPr>
        <w:t>Kwestionariusz szybkiej oceny domu</w:t>
      </w:r>
    </w:p>
    <w:tbl>
      <w:tblPr>
        <w:tblStyle w:val="TableGrid"/>
        <w:tblW w:type="auto" w:w="0"/>
        <w:jc w:val="center"/>
        <w:tblLook w:firstColumn="1" w:firstRow="1" w:lastColumn="0" w:lastRow="0" w:noHBand="0" w:noVBand="1" w:val="04A0"/>
      </w:tblPr>
      <w:tblGrid>
        <w:gridCol w:w="3362"/>
        <w:gridCol w:w="3362"/>
        <w:gridCol w:w="3362"/>
      </w:tblGrid>
      <w:tr>
        <w:tc>
          <w:tcPr>
            <w:tcW w:type="dxa" w:w="5102"/>
            <w:vAlign w:val="center"/>
            <w:shd w:fill="EAF0F8"/>
            <w:tcMar>
              <w:top w:w="120" w:type="dxa"/>
              <w:start w:w="120" w:type="dxa"/>
              <w:bottom w:w="120" w:type="dxa"/>
              <w:end w:w="120" w:type="dxa"/>
            </w:tcMar>
          </w:tcPr>
          <w:p>
            <w:pPr>
              <w:jc w:val="center"/>
            </w:pPr>
            <w:r>
              <w:rPr>
                <w:b/>
                <w:color w:val="344B69"/>
                <w:sz w:val="19"/>
              </w:rPr>
              <w:t>Pytanie</w:t>
            </w:r>
          </w:p>
        </w:tc>
        <w:tc>
          <w:tcPr>
            <w:tcW w:type="dxa" w:w="1247"/>
            <w:vAlign w:val="center"/>
            <w:shd w:fill="EAF0F8"/>
            <w:tcMar>
              <w:top w:w="120" w:type="dxa"/>
              <w:start w:w="120" w:type="dxa"/>
              <w:bottom w:w="120" w:type="dxa"/>
              <w:end w:w="120" w:type="dxa"/>
            </w:tcMar>
          </w:tcPr>
          <w:p>
            <w:pPr>
              <w:jc w:val="center"/>
            </w:pPr>
            <w:r>
              <w:rPr>
                <w:b/>
                <w:color w:val="344B69"/>
                <w:sz w:val="19"/>
              </w:rPr>
              <w:t>Tak / nie</w:t>
            </w:r>
          </w:p>
        </w:tc>
        <w:tc>
          <w:tcPr>
            <w:tcW w:type="dxa" w:w="3061"/>
            <w:vAlign w:val="center"/>
            <w:shd w:fill="EAF0F8"/>
            <w:tcMar>
              <w:top w:w="120" w:type="dxa"/>
              <w:start w:w="120" w:type="dxa"/>
              <w:bottom w:w="120" w:type="dxa"/>
              <w:end w:w="120" w:type="dxa"/>
            </w:tcMar>
          </w:tcPr>
          <w:p>
            <w:pPr>
              <w:jc w:val="center"/>
            </w:pPr>
            <w:r>
              <w:rPr>
                <w:b/>
                <w:color w:val="344B69"/>
                <w:sz w:val="19"/>
              </w:rPr>
              <w:t>Komentarz</w:t>
            </w:r>
          </w:p>
        </w:tc>
      </w:tr>
      <w:tr>
        <w:tc>
          <w:tcPr>
            <w:tcW w:type="dxa" w:w="5102"/>
            <w:vAlign w:val="center"/>
            <w:tcMar>
              <w:top w:w="110" w:type="dxa"/>
              <w:start w:w="110" w:type="dxa"/>
              <w:bottom w:w="110" w:type="dxa"/>
              <w:end w:w="110" w:type="dxa"/>
            </w:tcMar>
          </w:tcPr>
          <w:p>
            <w:pPr>
              <w:jc w:val="center"/>
            </w:pPr>
            <w:r>
              <w:rPr>
                <w:color w:val="1F2833"/>
                <w:sz w:val="19"/>
              </w:rPr>
              <w:t>Czy kot korzysta z większości pomieszczeń podobnie jak wcześniej?</w:t>
            </w:r>
          </w:p>
        </w:tc>
        <w:tc>
          <w:tcPr>
            <w:tcW w:type="dxa" w:w="1247"/>
            <w:vAlign w:val="center"/>
            <w:tcMar>
              <w:top w:w="110" w:type="dxa"/>
              <w:start w:w="110" w:type="dxa"/>
              <w:bottom w:w="110" w:type="dxa"/>
              <w:end w:w="110" w:type="dxa"/>
            </w:tcMar>
          </w:tcPr>
          <w:p>
            <w:pPr>
              <w:jc w:val="left"/>
            </w:pPr>
            <w:r>
              <w:rPr>
                <w:color w:val="1F2833"/>
                <w:sz w:val="19"/>
              </w:rPr>
            </w:r>
          </w:p>
        </w:tc>
        <w:tc>
          <w:tcPr>
            <w:tcW w:type="dxa" w:w="3061"/>
            <w:vAlign w:val="center"/>
            <w:tcMar>
              <w:top w:w="110" w:type="dxa"/>
              <w:start w:w="110" w:type="dxa"/>
              <w:bottom w:w="110" w:type="dxa"/>
              <w:end w:w="110" w:type="dxa"/>
            </w:tcMar>
          </w:tcPr>
          <w:p>
            <w:pPr>
              <w:jc w:val="left"/>
            </w:pPr>
            <w:r>
              <w:rPr>
                <w:color w:val="1F2833"/>
                <w:sz w:val="19"/>
              </w:rPr>
            </w:r>
          </w:p>
        </w:tc>
      </w:tr>
      <w:tr>
        <w:tc>
          <w:tcPr>
            <w:tcW w:type="dxa" w:w="5102"/>
            <w:vAlign w:val="center"/>
            <w:tcMar>
              <w:top w:w="110" w:type="dxa"/>
              <w:start w:w="110" w:type="dxa"/>
              <w:bottom w:w="110" w:type="dxa"/>
              <w:end w:w="110" w:type="dxa"/>
            </w:tcMar>
          </w:tcPr>
          <w:p>
            <w:pPr>
              <w:jc w:val="center"/>
            </w:pPr>
            <w:r>
              <w:rPr>
                <w:color w:val="1F2833"/>
                <w:sz w:val="19"/>
              </w:rPr>
              <w:t>Czy je i pije również w ciągu dnia, gdy dom jest aktywny?</w:t>
            </w:r>
          </w:p>
        </w:tc>
        <w:tc>
          <w:tcPr>
            <w:tcW w:type="dxa" w:w="1247"/>
            <w:vAlign w:val="center"/>
            <w:tcMar>
              <w:top w:w="110" w:type="dxa"/>
              <w:start w:w="110" w:type="dxa"/>
              <w:bottom w:w="110" w:type="dxa"/>
              <w:end w:w="110" w:type="dxa"/>
            </w:tcMar>
          </w:tcPr>
          <w:p>
            <w:pPr>
              <w:jc w:val="left"/>
            </w:pPr>
            <w:r>
              <w:rPr>
                <w:color w:val="1F2833"/>
                <w:sz w:val="19"/>
              </w:rPr>
            </w:r>
          </w:p>
        </w:tc>
        <w:tc>
          <w:tcPr>
            <w:tcW w:type="dxa" w:w="3061"/>
            <w:vAlign w:val="center"/>
            <w:tcMar>
              <w:top w:w="110" w:type="dxa"/>
              <w:start w:w="110" w:type="dxa"/>
              <w:bottom w:w="110" w:type="dxa"/>
              <w:end w:w="110" w:type="dxa"/>
            </w:tcMar>
          </w:tcPr>
          <w:p>
            <w:pPr>
              <w:jc w:val="left"/>
            </w:pPr>
            <w:r>
              <w:rPr>
                <w:color w:val="1F2833"/>
                <w:sz w:val="19"/>
              </w:rPr>
            </w:r>
          </w:p>
        </w:tc>
      </w:tr>
      <w:tr>
        <w:tc>
          <w:tcPr>
            <w:tcW w:type="dxa" w:w="5102"/>
            <w:vAlign w:val="center"/>
            <w:tcMar>
              <w:top w:w="110" w:type="dxa"/>
              <w:start w:w="110" w:type="dxa"/>
              <w:bottom w:w="110" w:type="dxa"/>
              <w:end w:w="110" w:type="dxa"/>
            </w:tcMar>
          </w:tcPr>
          <w:p>
            <w:pPr>
              <w:jc w:val="center"/>
            </w:pPr>
            <w:r>
              <w:rPr>
                <w:color w:val="1F2833"/>
                <w:sz w:val="19"/>
              </w:rPr>
              <w:t>Czy ma co najmniej dwie realnie bezpieczne kryjówki i drogę odwrotu?</w:t>
            </w:r>
          </w:p>
        </w:tc>
        <w:tc>
          <w:tcPr>
            <w:tcW w:type="dxa" w:w="1247"/>
            <w:vAlign w:val="center"/>
            <w:tcMar>
              <w:top w:w="110" w:type="dxa"/>
              <w:start w:w="110" w:type="dxa"/>
              <w:bottom w:w="110" w:type="dxa"/>
              <w:end w:w="110" w:type="dxa"/>
            </w:tcMar>
          </w:tcPr>
          <w:p>
            <w:pPr>
              <w:jc w:val="left"/>
            </w:pPr>
            <w:r>
              <w:rPr>
                <w:color w:val="1F2833"/>
                <w:sz w:val="19"/>
              </w:rPr>
            </w:r>
          </w:p>
        </w:tc>
        <w:tc>
          <w:tcPr>
            <w:tcW w:type="dxa" w:w="3061"/>
            <w:vAlign w:val="center"/>
            <w:tcMar>
              <w:top w:w="110" w:type="dxa"/>
              <w:start w:w="110" w:type="dxa"/>
              <w:bottom w:w="110" w:type="dxa"/>
              <w:end w:w="110" w:type="dxa"/>
            </w:tcMar>
          </w:tcPr>
          <w:p>
            <w:pPr>
              <w:jc w:val="left"/>
            </w:pPr>
            <w:r>
              <w:rPr>
                <w:color w:val="1F2833"/>
                <w:sz w:val="19"/>
              </w:rPr>
            </w:r>
          </w:p>
        </w:tc>
      </w:tr>
      <w:tr>
        <w:tc>
          <w:tcPr>
            <w:tcW w:type="dxa" w:w="5102"/>
            <w:vAlign w:val="center"/>
            <w:tcMar>
              <w:top w:w="110" w:type="dxa"/>
              <w:start w:w="110" w:type="dxa"/>
              <w:bottom w:w="110" w:type="dxa"/>
              <w:end w:w="110" w:type="dxa"/>
            </w:tcMar>
          </w:tcPr>
          <w:p>
            <w:pPr>
              <w:jc w:val="center"/>
            </w:pPr>
            <w:r>
              <w:rPr>
                <w:color w:val="1F2833"/>
                <w:sz w:val="19"/>
              </w:rPr>
              <w:t>Czy kontakt z ludźmi kończy się spokojnie, a nie nagłym wycofaniem?</w:t>
            </w:r>
          </w:p>
        </w:tc>
        <w:tc>
          <w:tcPr>
            <w:tcW w:type="dxa" w:w="1247"/>
            <w:vAlign w:val="center"/>
            <w:tcMar>
              <w:top w:w="110" w:type="dxa"/>
              <w:start w:w="110" w:type="dxa"/>
              <w:bottom w:w="110" w:type="dxa"/>
              <w:end w:w="110" w:type="dxa"/>
            </w:tcMar>
          </w:tcPr>
          <w:p>
            <w:pPr>
              <w:jc w:val="left"/>
            </w:pPr>
            <w:r>
              <w:rPr>
                <w:color w:val="1F2833"/>
                <w:sz w:val="19"/>
              </w:rPr>
            </w:r>
          </w:p>
        </w:tc>
        <w:tc>
          <w:tcPr>
            <w:tcW w:type="dxa" w:w="3061"/>
            <w:vAlign w:val="center"/>
            <w:tcMar>
              <w:top w:w="110" w:type="dxa"/>
              <w:start w:w="110" w:type="dxa"/>
              <w:bottom w:w="110" w:type="dxa"/>
              <w:end w:w="110" w:type="dxa"/>
            </w:tcMar>
          </w:tcPr>
          <w:p>
            <w:pPr>
              <w:jc w:val="left"/>
            </w:pPr>
            <w:r>
              <w:rPr>
                <w:color w:val="1F2833"/>
                <w:sz w:val="19"/>
              </w:rPr>
            </w:r>
          </w:p>
        </w:tc>
      </w:tr>
      <w:tr>
        <w:tc>
          <w:tcPr>
            <w:tcW w:type="dxa" w:w="5102"/>
            <w:vAlign w:val="center"/>
            <w:tcMar>
              <w:top w:w="110" w:type="dxa"/>
              <w:start w:w="110" w:type="dxa"/>
              <w:bottom w:w="110" w:type="dxa"/>
              <w:end w:w="110" w:type="dxa"/>
            </w:tcMar>
          </w:tcPr>
          <w:p>
            <w:pPr>
              <w:jc w:val="center"/>
            </w:pPr>
            <w:r>
              <w:rPr>
                <w:color w:val="1F2833"/>
                <w:sz w:val="19"/>
              </w:rPr>
              <w:t>Czy wszystkie kuwety i miski są dostępne bez przechodzenia przez strefy ryzyka?</w:t>
            </w:r>
          </w:p>
        </w:tc>
        <w:tc>
          <w:tcPr>
            <w:tcW w:type="dxa" w:w="1247"/>
            <w:vAlign w:val="center"/>
            <w:tcMar>
              <w:top w:w="110" w:type="dxa"/>
              <w:start w:w="110" w:type="dxa"/>
              <w:bottom w:w="110" w:type="dxa"/>
              <w:end w:w="110" w:type="dxa"/>
            </w:tcMar>
          </w:tcPr>
          <w:p>
            <w:pPr>
              <w:jc w:val="left"/>
            </w:pPr>
            <w:r>
              <w:rPr>
                <w:color w:val="1F2833"/>
                <w:sz w:val="19"/>
              </w:rPr>
            </w:r>
          </w:p>
        </w:tc>
        <w:tc>
          <w:tcPr>
            <w:tcW w:type="dxa" w:w="3061"/>
            <w:vAlign w:val="center"/>
            <w:tcMar>
              <w:top w:w="110" w:type="dxa"/>
              <w:start w:w="110" w:type="dxa"/>
              <w:bottom w:w="110" w:type="dxa"/>
              <w:end w:w="110" w:type="dxa"/>
            </w:tcMar>
          </w:tcPr>
          <w:p>
            <w:pPr>
              <w:jc w:val="left"/>
            </w:pPr>
            <w:r>
              <w:rPr>
                <w:color w:val="1F2833"/>
                <w:sz w:val="19"/>
              </w:rPr>
            </w:r>
          </w:p>
        </w:tc>
      </w:tr>
      <w:tr>
        <w:tc>
          <w:tcPr>
            <w:tcW w:type="dxa" w:w="5102"/>
            <w:vAlign w:val="center"/>
            <w:tcMar>
              <w:top w:w="110" w:type="dxa"/>
              <w:start w:w="110" w:type="dxa"/>
              <w:bottom w:w="110" w:type="dxa"/>
              <w:end w:w="110" w:type="dxa"/>
            </w:tcMar>
          </w:tcPr>
          <w:p>
            <w:pPr>
              <w:jc w:val="center"/>
            </w:pPr>
            <w:r>
              <w:rPr>
                <w:color w:val="1F2833"/>
                <w:sz w:val="19"/>
              </w:rPr>
              <w:t>Czy po zmianach środowiskowych widać stopniowy powrót do normy?</w:t>
            </w:r>
          </w:p>
        </w:tc>
        <w:tc>
          <w:tcPr>
            <w:tcW w:type="dxa" w:w="1247"/>
            <w:vAlign w:val="center"/>
            <w:tcMar>
              <w:top w:w="110" w:type="dxa"/>
              <w:start w:w="110" w:type="dxa"/>
              <w:bottom w:w="110" w:type="dxa"/>
              <w:end w:w="110" w:type="dxa"/>
            </w:tcMar>
          </w:tcPr>
          <w:p>
            <w:pPr>
              <w:jc w:val="left"/>
            </w:pPr>
            <w:r>
              <w:rPr>
                <w:color w:val="1F2833"/>
                <w:sz w:val="19"/>
              </w:rPr>
            </w:r>
          </w:p>
        </w:tc>
        <w:tc>
          <w:tcPr>
            <w:tcW w:type="dxa" w:w="3061"/>
            <w:vAlign w:val="center"/>
            <w:tcMar>
              <w:top w:w="110" w:type="dxa"/>
              <w:start w:w="110" w:type="dxa"/>
              <w:bottom w:w="110" w:type="dxa"/>
              <w:end w:w="110" w:type="dxa"/>
            </w:tcMar>
          </w:tcPr>
          <w:p>
            <w:pPr>
              <w:jc w:val="left"/>
            </w:pPr>
            <w:r>
              <w:rPr>
                <w:color w:val="1F2833"/>
                <w:sz w:val="19"/>
              </w:rPr>
            </w:r>
          </w:p>
        </w:tc>
      </w:tr>
      <w:tr>
        <w:tc>
          <w:tcPr>
            <w:tcW w:type="dxa" w:w="5102"/>
            <w:vAlign w:val="center"/>
            <w:tcMar>
              <w:top w:w="110" w:type="dxa"/>
              <w:start w:w="110" w:type="dxa"/>
              <w:bottom w:w="110" w:type="dxa"/>
              <w:end w:w="110" w:type="dxa"/>
            </w:tcMar>
          </w:tcPr>
          <w:p>
            <w:pPr>
              <w:jc w:val="center"/>
            </w:pPr>
            <w:r>
              <w:rPr>
                <w:color w:val="1F2833"/>
                <w:sz w:val="19"/>
              </w:rPr>
              <w:t>Czy w ostatnich dniach nie pojawiły się objawy somatyczne?</w:t>
            </w:r>
          </w:p>
        </w:tc>
        <w:tc>
          <w:tcPr>
            <w:tcW w:type="dxa" w:w="1247"/>
            <w:vAlign w:val="center"/>
            <w:tcMar>
              <w:top w:w="110" w:type="dxa"/>
              <w:start w:w="110" w:type="dxa"/>
              <w:bottom w:w="110" w:type="dxa"/>
              <w:end w:w="110" w:type="dxa"/>
            </w:tcMar>
          </w:tcPr>
          <w:p>
            <w:pPr>
              <w:jc w:val="left"/>
            </w:pPr>
            <w:r>
              <w:rPr>
                <w:color w:val="1F2833"/>
                <w:sz w:val="19"/>
              </w:rPr>
            </w:r>
          </w:p>
        </w:tc>
        <w:tc>
          <w:tcPr>
            <w:tcW w:type="dxa" w:w="3061"/>
            <w:vAlign w:val="center"/>
            <w:tcMar>
              <w:top w:w="110" w:type="dxa"/>
              <w:start w:w="110" w:type="dxa"/>
              <w:bottom w:w="110" w:type="dxa"/>
              <w:end w:w="110" w:type="dxa"/>
            </w:tcMar>
          </w:tcPr>
          <w:p>
            <w:pPr>
              <w:jc w:val="left"/>
            </w:pPr>
            <w:r>
              <w:rPr>
                <w:color w:val="1F2833"/>
                <w:sz w:val="19"/>
              </w:rPr>
            </w:r>
          </w:p>
        </w:tc>
      </w:tr>
    </w:tbl>
    <w:p/>
    <w:p>
      <w:pPr>
        <w:pStyle w:val="Heading1"/>
        <w:spacing w:before="200" w:after="120" w:line="264" w:lineRule="auto"/>
        <w:jc w:val="left"/>
      </w:pPr>
      <w:r>
        <w:rPr>
          <w:rFonts w:ascii="Aptos Display" w:hAnsi="Aptos Display"/>
          <w:b/>
          <w:color w:val="344B69"/>
          <w:sz w:val="40"/>
        </w:rPr>
        <w:t>Dziennik obserwacji na 7 dni</w:t>
      </w:r>
    </w:p>
    <w:p>
      <w:pPr>
        <w:spacing w:before="0" w:after="120" w:line="288" w:lineRule="auto"/>
      </w:pPr>
      <w:r>
        <w:rPr>
          <w:color w:val="1F2833"/>
          <w:sz w:val="21"/>
        </w:rPr>
        <w:t>Najprostsze narzędzie diagnostyczne to regularna obserwacja. Ten dziennik pomaga zobaczyć, czy wprowadzane zmiany realnie zmniejszają napięcie.</w:t>
      </w:r>
    </w:p>
    <w:tbl>
      <w:tblPr>
        <w:tblStyle w:val="TableGrid"/>
        <w:tblW w:type="auto" w:w="0"/>
        <w:jc w:val="center"/>
        <w:tblLook w:firstColumn="1" w:firstRow="1" w:lastColumn="0" w:lastRow="0" w:noHBand="0" w:noVBand="1" w:val="04A0"/>
      </w:tblPr>
      <w:tblGrid>
        <w:gridCol w:w="1681"/>
        <w:gridCol w:w="1681"/>
        <w:gridCol w:w="1681"/>
        <w:gridCol w:w="1681"/>
        <w:gridCol w:w="1681"/>
        <w:gridCol w:w="1681"/>
      </w:tblGrid>
      <w:tr>
        <w:tc>
          <w:tcPr>
            <w:tcW w:type="dxa" w:w="680"/>
            <w:vAlign w:val="center"/>
            <w:shd w:fill="EAF0F8"/>
            <w:tcMar>
              <w:top w:w="120" w:type="dxa"/>
              <w:start w:w="120" w:type="dxa"/>
              <w:bottom w:w="120" w:type="dxa"/>
              <w:end w:w="120" w:type="dxa"/>
            </w:tcMar>
          </w:tcPr>
          <w:p>
            <w:pPr>
              <w:jc w:val="center"/>
            </w:pPr>
            <w:r>
              <w:rPr>
                <w:b/>
                <w:color w:val="344B69"/>
                <w:sz w:val="18"/>
              </w:rPr>
              <w:t>Dzień</w:t>
            </w:r>
          </w:p>
        </w:tc>
        <w:tc>
          <w:tcPr>
            <w:tcW w:type="dxa" w:w="1814"/>
            <w:vAlign w:val="center"/>
            <w:shd w:fill="EAF0F8"/>
            <w:tcMar>
              <w:top w:w="120" w:type="dxa"/>
              <w:start w:w="120" w:type="dxa"/>
              <w:bottom w:w="120" w:type="dxa"/>
              <w:end w:w="120" w:type="dxa"/>
            </w:tcMar>
          </w:tcPr>
          <w:p>
            <w:pPr>
              <w:jc w:val="center"/>
            </w:pPr>
            <w:r>
              <w:rPr>
                <w:b/>
                <w:color w:val="344B69"/>
                <w:sz w:val="18"/>
              </w:rPr>
              <w:t>Sen i kryjówki</w:t>
            </w:r>
          </w:p>
        </w:tc>
        <w:tc>
          <w:tcPr>
            <w:tcW w:type="dxa" w:w="1701"/>
            <w:vAlign w:val="center"/>
            <w:shd w:fill="EAF0F8"/>
            <w:tcMar>
              <w:top w:w="120" w:type="dxa"/>
              <w:start w:w="120" w:type="dxa"/>
              <w:bottom w:w="120" w:type="dxa"/>
              <w:end w:w="120" w:type="dxa"/>
            </w:tcMar>
          </w:tcPr>
          <w:p>
            <w:pPr>
              <w:jc w:val="center"/>
            </w:pPr>
            <w:r>
              <w:rPr>
                <w:b/>
                <w:color w:val="344B69"/>
                <w:sz w:val="18"/>
              </w:rPr>
              <w:t>Jedzenie / picie</w:t>
            </w:r>
          </w:p>
        </w:tc>
        <w:tc>
          <w:tcPr>
            <w:tcW w:type="dxa" w:w="1247"/>
            <w:vAlign w:val="center"/>
            <w:shd w:fill="EAF0F8"/>
            <w:tcMar>
              <w:top w:w="120" w:type="dxa"/>
              <w:start w:w="120" w:type="dxa"/>
              <w:bottom w:w="120" w:type="dxa"/>
              <w:end w:w="120" w:type="dxa"/>
            </w:tcMar>
          </w:tcPr>
          <w:p>
            <w:pPr>
              <w:jc w:val="center"/>
            </w:pPr>
            <w:r>
              <w:rPr>
                <w:b/>
                <w:color w:val="344B69"/>
                <w:sz w:val="18"/>
              </w:rPr>
              <w:t>Kuweta</w:t>
            </w:r>
          </w:p>
        </w:tc>
        <w:tc>
          <w:tcPr>
            <w:tcW w:type="dxa" w:w="1814"/>
            <w:vAlign w:val="center"/>
            <w:shd w:fill="EAF0F8"/>
            <w:tcMar>
              <w:top w:w="120" w:type="dxa"/>
              <w:start w:w="120" w:type="dxa"/>
              <w:bottom w:w="120" w:type="dxa"/>
              <w:end w:w="120" w:type="dxa"/>
            </w:tcMar>
          </w:tcPr>
          <w:p>
            <w:pPr>
              <w:jc w:val="center"/>
            </w:pPr>
            <w:r>
              <w:rPr>
                <w:b/>
                <w:color w:val="344B69"/>
                <w:sz w:val="18"/>
              </w:rPr>
              <w:t>Kontakt i zabawa</w:t>
            </w:r>
          </w:p>
        </w:tc>
        <w:tc>
          <w:tcPr>
            <w:tcW w:type="dxa" w:w="2381"/>
            <w:vAlign w:val="center"/>
            <w:shd w:fill="EAF0F8"/>
            <w:tcMar>
              <w:top w:w="120" w:type="dxa"/>
              <w:start w:w="120" w:type="dxa"/>
              <w:bottom w:w="120" w:type="dxa"/>
              <w:end w:w="120" w:type="dxa"/>
            </w:tcMar>
          </w:tcPr>
          <w:p>
            <w:pPr>
              <w:jc w:val="center"/>
            </w:pPr>
            <w:r>
              <w:rPr>
                <w:b/>
                <w:color w:val="344B69"/>
                <w:sz w:val="18"/>
              </w:rPr>
              <w:t>Uwagi o stresorach</w:t>
            </w:r>
          </w:p>
        </w:tc>
      </w:tr>
      <w:tr>
        <w:tc>
          <w:tcPr>
            <w:tcW w:type="dxa" w:w="680"/>
            <w:vAlign w:val="center"/>
            <w:tcMar>
              <w:top w:w="110" w:type="dxa"/>
              <w:start w:w="110" w:type="dxa"/>
              <w:bottom w:w="110" w:type="dxa"/>
              <w:end w:w="110" w:type="dxa"/>
            </w:tcMar>
          </w:tcPr>
          <w:p>
            <w:pPr>
              <w:jc w:val="center"/>
            </w:pPr>
            <w:r>
              <w:rPr>
                <w:color w:val="1F2833"/>
                <w:sz w:val="18"/>
              </w:rPr>
              <w:t>1</w:t>
            </w:r>
          </w:p>
        </w:tc>
        <w:tc>
          <w:tcPr>
            <w:tcW w:type="dxa" w:w="1814"/>
            <w:vAlign w:val="center"/>
            <w:tcMar>
              <w:top w:w="110" w:type="dxa"/>
              <w:start w:w="110" w:type="dxa"/>
              <w:bottom w:w="110" w:type="dxa"/>
              <w:end w:w="110" w:type="dxa"/>
            </w:tcMar>
          </w:tcPr>
          <w:p>
            <w:pPr>
              <w:jc w:val="left"/>
            </w:pPr>
            <w:r>
              <w:rPr>
                <w:color w:val="1F2833"/>
                <w:sz w:val="18"/>
              </w:rPr>
            </w:r>
          </w:p>
        </w:tc>
        <w:tc>
          <w:tcPr>
            <w:tcW w:type="dxa" w:w="1701"/>
            <w:vAlign w:val="center"/>
            <w:tcMar>
              <w:top w:w="110" w:type="dxa"/>
              <w:start w:w="110" w:type="dxa"/>
              <w:bottom w:w="110" w:type="dxa"/>
              <w:end w:w="110" w:type="dxa"/>
            </w:tcMar>
          </w:tcPr>
          <w:p>
            <w:pPr>
              <w:jc w:val="left"/>
            </w:pPr>
            <w:r>
              <w:rPr>
                <w:color w:val="1F2833"/>
                <w:sz w:val="18"/>
              </w:rPr>
            </w:r>
          </w:p>
        </w:tc>
        <w:tc>
          <w:tcPr>
            <w:tcW w:type="dxa" w:w="1247"/>
            <w:vAlign w:val="center"/>
            <w:tcMar>
              <w:top w:w="110" w:type="dxa"/>
              <w:start w:w="110" w:type="dxa"/>
              <w:bottom w:w="110" w:type="dxa"/>
              <w:end w:w="110" w:type="dxa"/>
            </w:tcMar>
          </w:tcPr>
          <w:p>
            <w:pPr>
              <w:jc w:val="left"/>
            </w:pPr>
            <w:r>
              <w:rPr>
                <w:color w:val="1F2833"/>
                <w:sz w:val="18"/>
              </w:rPr>
            </w:r>
          </w:p>
        </w:tc>
        <w:tc>
          <w:tcPr>
            <w:tcW w:type="dxa" w:w="1814"/>
            <w:vAlign w:val="center"/>
            <w:tcMar>
              <w:top w:w="110" w:type="dxa"/>
              <w:start w:w="110" w:type="dxa"/>
              <w:bottom w:w="110" w:type="dxa"/>
              <w:end w:w="110" w:type="dxa"/>
            </w:tcMar>
          </w:tcPr>
          <w:p>
            <w:pPr>
              <w:jc w:val="left"/>
            </w:pPr>
            <w:r>
              <w:rPr>
                <w:color w:val="1F2833"/>
                <w:sz w:val="18"/>
              </w:rPr>
            </w:r>
          </w:p>
        </w:tc>
        <w:tc>
          <w:tcPr>
            <w:tcW w:type="dxa" w:w="2381"/>
            <w:vAlign w:val="center"/>
            <w:tcMar>
              <w:top w:w="110" w:type="dxa"/>
              <w:start w:w="110" w:type="dxa"/>
              <w:bottom w:w="110" w:type="dxa"/>
              <w:end w:w="110" w:type="dxa"/>
            </w:tcMar>
          </w:tcPr>
          <w:p>
            <w:pPr>
              <w:jc w:val="left"/>
            </w:pPr>
            <w:r>
              <w:rPr>
                <w:color w:val="1F2833"/>
                <w:sz w:val="18"/>
              </w:rPr>
            </w:r>
          </w:p>
        </w:tc>
      </w:tr>
      <w:tr>
        <w:tc>
          <w:tcPr>
            <w:tcW w:type="dxa" w:w="680"/>
            <w:vAlign w:val="center"/>
            <w:tcMar>
              <w:top w:w="110" w:type="dxa"/>
              <w:start w:w="110" w:type="dxa"/>
              <w:bottom w:w="110" w:type="dxa"/>
              <w:end w:w="110" w:type="dxa"/>
            </w:tcMar>
          </w:tcPr>
          <w:p>
            <w:pPr>
              <w:jc w:val="center"/>
            </w:pPr>
            <w:r>
              <w:rPr>
                <w:color w:val="1F2833"/>
                <w:sz w:val="18"/>
              </w:rPr>
              <w:t>2</w:t>
            </w:r>
          </w:p>
        </w:tc>
        <w:tc>
          <w:tcPr>
            <w:tcW w:type="dxa" w:w="1814"/>
            <w:vAlign w:val="center"/>
            <w:tcMar>
              <w:top w:w="110" w:type="dxa"/>
              <w:start w:w="110" w:type="dxa"/>
              <w:bottom w:w="110" w:type="dxa"/>
              <w:end w:w="110" w:type="dxa"/>
            </w:tcMar>
          </w:tcPr>
          <w:p>
            <w:pPr>
              <w:jc w:val="left"/>
            </w:pPr>
            <w:r>
              <w:rPr>
                <w:color w:val="1F2833"/>
                <w:sz w:val="18"/>
              </w:rPr>
            </w:r>
          </w:p>
        </w:tc>
        <w:tc>
          <w:tcPr>
            <w:tcW w:type="dxa" w:w="1701"/>
            <w:vAlign w:val="center"/>
            <w:tcMar>
              <w:top w:w="110" w:type="dxa"/>
              <w:start w:w="110" w:type="dxa"/>
              <w:bottom w:w="110" w:type="dxa"/>
              <w:end w:w="110" w:type="dxa"/>
            </w:tcMar>
          </w:tcPr>
          <w:p>
            <w:pPr>
              <w:jc w:val="left"/>
            </w:pPr>
            <w:r>
              <w:rPr>
                <w:color w:val="1F2833"/>
                <w:sz w:val="18"/>
              </w:rPr>
            </w:r>
          </w:p>
        </w:tc>
        <w:tc>
          <w:tcPr>
            <w:tcW w:type="dxa" w:w="1247"/>
            <w:vAlign w:val="center"/>
            <w:tcMar>
              <w:top w:w="110" w:type="dxa"/>
              <w:start w:w="110" w:type="dxa"/>
              <w:bottom w:w="110" w:type="dxa"/>
              <w:end w:w="110" w:type="dxa"/>
            </w:tcMar>
          </w:tcPr>
          <w:p>
            <w:pPr>
              <w:jc w:val="left"/>
            </w:pPr>
            <w:r>
              <w:rPr>
                <w:color w:val="1F2833"/>
                <w:sz w:val="18"/>
              </w:rPr>
            </w:r>
          </w:p>
        </w:tc>
        <w:tc>
          <w:tcPr>
            <w:tcW w:type="dxa" w:w="1814"/>
            <w:vAlign w:val="center"/>
            <w:tcMar>
              <w:top w:w="110" w:type="dxa"/>
              <w:start w:w="110" w:type="dxa"/>
              <w:bottom w:w="110" w:type="dxa"/>
              <w:end w:w="110" w:type="dxa"/>
            </w:tcMar>
          </w:tcPr>
          <w:p>
            <w:pPr>
              <w:jc w:val="left"/>
            </w:pPr>
            <w:r>
              <w:rPr>
                <w:color w:val="1F2833"/>
                <w:sz w:val="18"/>
              </w:rPr>
            </w:r>
          </w:p>
        </w:tc>
        <w:tc>
          <w:tcPr>
            <w:tcW w:type="dxa" w:w="2381"/>
            <w:vAlign w:val="center"/>
            <w:tcMar>
              <w:top w:w="110" w:type="dxa"/>
              <w:start w:w="110" w:type="dxa"/>
              <w:bottom w:w="110" w:type="dxa"/>
              <w:end w:w="110" w:type="dxa"/>
            </w:tcMar>
          </w:tcPr>
          <w:p>
            <w:pPr>
              <w:jc w:val="left"/>
            </w:pPr>
            <w:r>
              <w:rPr>
                <w:color w:val="1F2833"/>
                <w:sz w:val="18"/>
              </w:rPr>
            </w:r>
          </w:p>
        </w:tc>
      </w:tr>
      <w:tr>
        <w:tc>
          <w:tcPr>
            <w:tcW w:type="dxa" w:w="680"/>
            <w:vAlign w:val="center"/>
            <w:tcMar>
              <w:top w:w="110" w:type="dxa"/>
              <w:start w:w="110" w:type="dxa"/>
              <w:bottom w:w="110" w:type="dxa"/>
              <w:end w:w="110" w:type="dxa"/>
            </w:tcMar>
          </w:tcPr>
          <w:p>
            <w:pPr>
              <w:jc w:val="center"/>
            </w:pPr>
            <w:r>
              <w:rPr>
                <w:color w:val="1F2833"/>
                <w:sz w:val="18"/>
              </w:rPr>
              <w:t>3</w:t>
            </w:r>
          </w:p>
        </w:tc>
        <w:tc>
          <w:tcPr>
            <w:tcW w:type="dxa" w:w="1814"/>
            <w:vAlign w:val="center"/>
            <w:tcMar>
              <w:top w:w="110" w:type="dxa"/>
              <w:start w:w="110" w:type="dxa"/>
              <w:bottom w:w="110" w:type="dxa"/>
              <w:end w:w="110" w:type="dxa"/>
            </w:tcMar>
          </w:tcPr>
          <w:p>
            <w:pPr>
              <w:jc w:val="left"/>
            </w:pPr>
            <w:r>
              <w:rPr>
                <w:color w:val="1F2833"/>
                <w:sz w:val="18"/>
              </w:rPr>
            </w:r>
          </w:p>
        </w:tc>
        <w:tc>
          <w:tcPr>
            <w:tcW w:type="dxa" w:w="1701"/>
            <w:vAlign w:val="center"/>
            <w:tcMar>
              <w:top w:w="110" w:type="dxa"/>
              <w:start w:w="110" w:type="dxa"/>
              <w:bottom w:w="110" w:type="dxa"/>
              <w:end w:w="110" w:type="dxa"/>
            </w:tcMar>
          </w:tcPr>
          <w:p>
            <w:pPr>
              <w:jc w:val="left"/>
            </w:pPr>
            <w:r>
              <w:rPr>
                <w:color w:val="1F2833"/>
                <w:sz w:val="18"/>
              </w:rPr>
            </w:r>
          </w:p>
        </w:tc>
        <w:tc>
          <w:tcPr>
            <w:tcW w:type="dxa" w:w="1247"/>
            <w:vAlign w:val="center"/>
            <w:tcMar>
              <w:top w:w="110" w:type="dxa"/>
              <w:start w:w="110" w:type="dxa"/>
              <w:bottom w:w="110" w:type="dxa"/>
              <w:end w:w="110" w:type="dxa"/>
            </w:tcMar>
          </w:tcPr>
          <w:p>
            <w:pPr>
              <w:jc w:val="left"/>
            </w:pPr>
            <w:r>
              <w:rPr>
                <w:color w:val="1F2833"/>
                <w:sz w:val="18"/>
              </w:rPr>
            </w:r>
          </w:p>
        </w:tc>
        <w:tc>
          <w:tcPr>
            <w:tcW w:type="dxa" w:w="1814"/>
            <w:vAlign w:val="center"/>
            <w:tcMar>
              <w:top w:w="110" w:type="dxa"/>
              <w:start w:w="110" w:type="dxa"/>
              <w:bottom w:w="110" w:type="dxa"/>
              <w:end w:w="110" w:type="dxa"/>
            </w:tcMar>
          </w:tcPr>
          <w:p>
            <w:pPr>
              <w:jc w:val="left"/>
            </w:pPr>
            <w:r>
              <w:rPr>
                <w:color w:val="1F2833"/>
                <w:sz w:val="18"/>
              </w:rPr>
            </w:r>
          </w:p>
        </w:tc>
        <w:tc>
          <w:tcPr>
            <w:tcW w:type="dxa" w:w="2381"/>
            <w:vAlign w:val="center"/>
            <w:tcMar>
              <w:top w:w="110" w:type="dxa"/>
              <w:start w:w="110" w:type="dxa"/>
              <w:bottom w:w="110" w:type="dxa"/>
              <w:end w:w="110" w:type="dxa"/>
            </w:tcMar>
          </w:tcPr>
          <w:p>
            <w:pPr>
              <w:jc w:val="left"/>
            </w:pPr>
            <w:r>
              <w:rPr>
                <w:color w:val="1F2833"/>
                <w:sz w:val="18"/>
              </w:rPr>
            </w:r>
          </w:p>
        </w:tc>
      </w:tr>
      <w:tr>
        <w:tc>
          <w:tcPr>
            <w:tcW w:type="dxa" w:w="680"/>
            <w:vAlign w:val="center"/>
            <w:tcMar>
              <w:top w:w="110" w:type="dxa"/>
              <w:start w:w="110" w:type="dxa"/>
              <w:bottom w:w="110" w:type="dxa"/>
              <w:end w:w="110" w:type="dxa"/>
            </w:tcMar>
          </w:tcPr>
          <w:p>
            <w:pPr>
              <w:jc w:val="center"/>
            </w:pPr>
            <w:r>
              <w:rPr>
                <w:color w:val="1F2833"/>
                <w:sz w:val="18"/>
              </w:rPr>
              <w:t>4</w:t>
            </w:r>
          </w:p>
        </w:tc>
        <w:tc>
          <w:tcPr>
            <w:tcW w:type="dxa" w:w="1814"/>
            <w:vAlign w:val="center"/>
            <w:tcMar>
              <w:top w:w="110" w:type="dxa"/>
              <w:start w:w="110" w:type="dxa"/>
              <w:bottom w:w="110" w:type="dxa"/>
              <w:end w:w="110" w:type="dxa"/>
            </w:tcMar>
          </w:tcPr>
          <w:p>
            <w:pPr>
              <w:jc w:val="left"/>
            </w:pPr>
            <w:r>
              <w:rPr>
                <w:color w:val="1F2833"/>
                <w:sz w:val="18"/>
              </w:rPr>
            </w:r>
          </w:p>
        </w:tc>
        <w:tc>
          <w:tcPr>
            <w:tcW w:type="dxa" w:w="1701"/>
            <w:vAlign w:val="center"/>
            <w:tcMar>
              <w:top w:w="110" w:type="dxa"/>
              <w:start w:w="110" w:type="dxa"/>
              <w:bottom w:w="110" w:type="dxa"/>
              <w:end w:w="110" w:type="dxa"/>
            </w:tcMar>
          </w:tcPr>
          <w:p>
            <w:pPr>
              <w:jc w:val="left"/>
            </w:pPr>
            <w:r>
              <w:rPr>
                <w:color w:val="1F2833"/>
                <w:sz w:val="18"/>
              </w:rPr>
            </w:r>
          </w:p>
        </w:tc>
        <w:tc>
          <w:tcPr>
            <w:tcW w:type="dxa" w:w="1247"/>
            <w:vAlign w:val="center"/>
            <w:tcMar>
              <w:top w:w="110" w:type="dxa"/>
              <w:start w:w="110" w:type="dxa"/>
              <w:bottom w:w="110" w:type="dxa"/>
              <w:end w:w="110" w:type="dxa"/>
            </w:tcMar>
          </w:tcPr>
          <w:p>
            <w:pPr>
              <w:jc w:val="left"/>
            </w:pPr>
            <w:r>
              <w:rPr>
                <w:color w:val="1F2833"/>
                <w:sz w:val="18"/>
              </w:rPr>
            </w:r>
          </w:p>
        </w:tc>
        <w:tc>
          <w:tcPr>
            <w:tcW w:type="dxa" w:w="1814"/>
            <w:vAlign w:val="center"/>
            <w:tcMar>
              <w:top w:w="110" w:type="dxa"/>
              <w:start w:w="110" w:type="dxa"/>
              <w:bottom w:w="110" w:type="dxa"/>
              <w:end w:w="110" w:type="dxa"/>
            </w:tcMar>
          </w:tcPr>
          <w:p>
            <w:pPr>
              <w:jc w:val="left"/>
            </w:pPr>
            <w:r>
              <w:rPr>
                <w:color w:val="1F2833"/>
                <w:sz w:val="18"/>
              </w:rPr>
            </w:r>
          </w:p>
        </w:tc>
        <w:tc>
          <w:tcPr>
            <w:tcW w:type="dxa" w:w="2381"/>
            <w:vAlign w:val="center"/>
            <w:tcMar>
              <w:top w:w="110" w:type="dxa"/>
              <w:start w:w="110" w:type="dxa"/>
              <w:bottom w:w="110" w:type="dxa"/>
              <w:end w:w="110" w:type="dxa"/>
            </w:tcMar>
          </w:tcPr>
          <w:p>
            <w:pPr>
              <w:jc w:val="left"/>
            </w:pPr>
            <w:r>
              <w:rPr>
                <w:color w:val="1F2833"/>
                <w:sz w:val="18"/>
              </w:rPr>
            </w:r>
          </w:p>
        </w:tc>
      </w:tr>
      <w:tr>
        <w:tc>
          <w:tcPr>
            <w:tcW w:type="dxa" w:w="680"/>
            <w:vAlign w:val="center"/>
            <w:tcMar>
              <w:top w:w="110" w:type="dxa"/>
              <w:start w:w="110" w:type="dxa"/>
              <w:bottom w:w="110" w:type="dxa"/>
              <w:end w:w="110" w:type="dxa"/>
            </w:tcMar>
          </w:tcPr>
          <w:p>
            <w:pPr>
              <w:jc w:val="center"/>
            </w:pPr>
            <w:r>
              <w:rPr>
                <w:color w:val="1F2833"/>
                <w:sz w:val="18"/>
              </w:rPr>
              <w:t>5</w:t>
            </w:r>
          </w:p>
        </w:tc>
        <w:tc>
          <w:tcPr>
            <w:tcW w:type="dxa" w:w="1814"/>
            <w:vAlign w:val="center"/>
            <w:tcMar>
              <w:top w:w="110" w:type="dxa"/>
              <w:start w:w="110" w:type="dxa"/>
              <w:bottom w:w="110" w:type="dxa"/>
              <w:end w:w="110" w:type="dxa"/>
            </w:tcMar>
          </w:tcPr>
          <w:p>
            <w:pPr>
              <w:jc w:val="left"/>
            </w:pPr>
            <w:r>
              <w:rPr>
                <w:color w:val="1F2833"/>
                <w:sz w:val="18"/>
              </w:rPr>
            </w:r>
          </w:p>
        </w:tc>
        <w:tc>
          <w:tcPr>
            <w:tcW w:type="dxa" w:w="1701"/>
            <w:vAlign w:val="center"/>
            <w:tcMar>
              <w:top w:w="110" w:type="dxa"/>
              <w:start w:w="110" w:type="dxa"/>
              <w:bottom w:w="110" w:type="dxa"/>
              <w:end w:w="110" w:type="dxa"/>
            </w:tcMar>
          </w:tcPr>
          <w:p>
            <w:pPr>
              <w:jc w:val="left"/>
            </w:pPr>
            <w:r>
              <w:rPr>
                <w:color w:val="1F2833"/>
                <w:sz w:val="18"/>
              </w:rPr>
            </w:r>
          </w:p>
        </w:tc>
        <w:tc>
          <w:tcPr>
            <w:tcW w:type="dxa" w:w="1247"/>
            <w:vAlign w:val="center"/>
            <w:tcMar>
              <w:top w:w="110" w:type="dxa"/>
              <w:start w:w="110" w:type="dxa"/>
              <w:bottom w:w="110" w:type="dxa"/>
              <w:end w:w="110" w:type="dxa"/>
            </w:tcMar>
          </w:tcPr>
          <w:p>
            <w:pPr>
              <w:jc w:val="left"/>
            </w:pPr>
            <w:r>
              <w:rPr>
                <w:color w:val="1F2833"/>
                <w:sz w:val="18"/>
              </w:rPr>
            </w:r>
          </w:p>
        </w:tc>
        <w:tc>
          <w:tcPr>
            <w:tcW w:type="dxa" w:w="1814"/>
            <w:vAlign w:val="center"/>
            <w:tcMar>
              <w:top w:w="110" w:type="dxa"/>
              <w:start w:w="110" w:type="dxa"/>
              <w:bottom w:w="110" w:type="dxa"/>
              <w:end w:w="110" w:type="dxa"/>
            </w:tcMar>
          </w:tcPr>
          <w:p>
            <w:pPr>
              <w:jc w:val="left"/>
            </w:pPr>
            <w:r>
              <w:rPr>
                <w:color w:val="1F2833"/>
                <w:sz w:val="18"/>
              </w:rPr>
            </w:r>
          </w:p>
        </w:tc>
        <w:tc>
          <w:tcPr>
            <w:tcW w:type="dxa" w:w="2381"/>
            <w:vAlign w:val="center"/>
            <w:tcMar>
              <w:top w:w="110" w:type="dxa"/>
              <w:start w:w="110" w:type="dxa"/>
              <w:bottom w:w="110" w:type="dxa"/>
              <w:end w:w="110" w:type="dxa"/>
            </w:tcMar>
          </w:tcPr>
          <w:p>
            <w:pPr>
              <w:jc w:val="left"/>
            </w:pPr>
            <w:r>
              <w:rPr>
                <w:color w:val="1F2833"/>
                <w:sz w:val="18"/>
              </w:rPr>
            </w:r>
          </w:p>
        </w:tc>
      </w:tr>
      <w:tr>
        <w:tc>
          <w:tcPr>
            <w:tcW w:type="dxa" w:w="680"/>
            <w:vAlign w:val="center"/>
            <w:tcMar>
              <w:top w:w="110" w:type="dxa"/>
              <w:start w:w="110" w:type="dxa"/>
              <w:bottom w:w="110" w:type="dxa"/>
              <w:end w:w="110" w:type="dxa"/>
            </w:tcMar>
          </w:tcPr>
          <w:p>
            <w:pPr>
              <w:jc w:val="center"/>
            </w:pPr>
            <w:r>
              <w:rPr>
                <w:color w:val="1F2833"/>
                <w:sz w:val="18"/>
              </w:rPr>
              <w:t>6</w:t>
            </w:r>
          </w:p>
        </w:tc>
        <w:tc>
          <w:tcPr>
            <w:tcW w:type="dxa" w:w="1814"/>
            <w:vAlign w:val="center"/>
            <w:tcMar>
              <w:top w:w="110" w:type="dxa"/>
              <w:start w:w="110" w:type="dxa"/>
              <w:bottom w:w="110" w:type="dxa"/>
              <w:end w:w="110" w:type="dxa"/>
            </w:tcMar>
          </w:tcPr>
          <w:p>
            <w:pPr>
              <w:jc w:val="left"/>
            </w:pPr>
            <w:r>
              <w:rPr>
                <w:color w:val="1F2833"/>
                <w:sz w:val="18"/>
              </w:rPr>
            </w:r>
          </w:p>
        </w:tc>
        <w:tc>
          <w:tcPr>
            <w:tcW w:type="dxa" w:w="1701"/>
            <w:vAlign w:val="center"/>
            <w:tcMar>
              <w:top w:w="110" w:type="dxa"/>
              <w:start w:w="110" w:type="dxa"/>
              <w:bottom w:w="110" w:type="dxa"/>
              <w:end w:w="110" w:type="dxa"/>
            </w:tcMar>
          </w:tcPr>
          <w:p>
            <w:pPr>
              <w:jc w:val="left"/>
            </w:pPr>
            <w:r>
              <w:rPr>
                <w:color w:val="1F2833"/>
                <w:sz w:val="18"/>
              </w:rPr>
            </w:r>
          </w:p>
        </w:tc>
        <w:tc>
          <w:tcPr>
            <w:tcW w:type="dxa" w:w="1247"/>
            <w:vAlign w:val="center"/>
            <w:tcMar>
              <w:top w:w="110" w:type="dxa"/>
              <w:start w:w="110" w:type="dxa"/>
              <w:bottom w:w="110" w:type="dxa"/>
              <w:end w:w="110" w:type="dxa"/>
            </w:tcMar>
          </w:tcPr>
          <w:p>
            <w:pPr>
              <w:jc w:val="left"/>
            </w:pPr>
            <w:r>
              <w:rPr>
                <w:color w:val="1F2833"/>
                <w:sz w:val="18"/>
              </w:rPr>
            </w:r>
          </w:p>
        </w:tc>
        <w:tc>
          <w:tcPr>
            <w:tcW w:type="dxa" w:w="1814"/>
            <w:vAlign w:val="center"/>
            <w:tcMar>
              <w:top w:w="110" w:type="dxa"/>
              <w:start w:w="110" w:type="dxa"/>
              <w:bottom w:w="110" w:type="dxa"/>
              <w:end w:w="110" w:type="dxa"/>
            </w:tcMar>
          </w:tcPr>
          <w:p>
            <w:pPr>
              <w:jc w:val="left"/>
            </w:pPr>
            <w:r>
              <w:rPr>
                <w:color w:val="1F2833"/>
                <w:sz w:val="18"/>
              </w:rPr>
            </w:r>
          </w:p>
        </w:tc>
        <w:tc>
          <w:tcPr>
            <w:tcW w:type="dxa" w:w="2381"/>
            <w:vAlign w:val="center"/>
            <w:tcMar>
              <w:top w:w="110" w:type="dxa"/>
              <w:start w:w="110" w:type="dxa"/>
              <w:bottom w:w="110" w:type="dxa"/>
              <w:end w:w="110" w:type="dxa"/>
            </w:tcMar>
          </w:tcPr>
          <w:p>
            <w:pPr>
              <w:jc w:val="left"/>
            </w:pPr>
            <w:r>
              <w:rPr>
                <w:color w:val="1F2833"/>
                <w:sz w:val="18"/>
              </w:rPr>
            </w:r>
          </w:p>
        </w:tc>
      </w:tr>
      <w:tr>
        <w:tc>
          <w:tcPr>
            <w:tcW w:type="dxa" w:w="680"/>
            <w:vAlign w:val="center"/>
            <w:tcMar>
              <w:top w:w="110" w:type="dxa"/>
              <w:start w:w="110" w:type="dxa"/>
              <w:bottom w:w="110" w:type="dxa"/>
              <w:end w:w="110" w:type="dxa"/>
            </w:tcMar>
          </w:tcPr>
          <w:p>
            <w:pPr>
              <w:jc w:val="center"/>
            </w:pPr>
            <w:r>
              <w:rPr>
                <w:color w:val="1F2833"/>
                <w:sz w:val="18"/>
              </w:rPr>
              <w:t>7</w:t>
            </w:r>
          </w:p>
        </w:tc>
        <w:tc>
          <w:tcPr>
            <w:tcW w:type="dxa" w:w="1814"/>
            <w:vAlign w:val="center"/>
            <w:tcMar>
              <w:top w:w="110" w:type="dxa"/>
              <w:start w:w="110" w:type="dxa"/>
              <w:bottom w:w="110" w:type="dxa"/>
              <w:end w:w="110" w:type="dxa"/>
            </w:tcMar>
          </w:tcPr>
          <w:p>
            <w:pPr>
              <w:jc w:val="left"/>
            </w:pPr>
            <w:r>
              <w:rPr>
                <w:color w:val="1F2833"/>
                <w:sz w:val="18"/>
              </w:rPr>
            </w:r>
          </w:p>
        </w:tc>
        <w:tc>
          <w:tcPr>
            <w:tcW w:type="dxa" w:w="1701"/>
            <w:vAlign w:val="center"/>
            <w:tcMar>
              <w:top w:w="110" w:type="dxa"/>
              <w:start w:w="110" w:type="dxa"/>
              <w:bottom w:w="110" w:type="dxa"/>
              <w:end w:w="110" w:type="dxa"/>
            </w:tcMar>
          </w:tcPr>
          <w:p>
            <w:pPr>
              <w:jc w:val="left"/>
            </w:pPr>
            <w:r>
              <w:rPr>
                <w:color w:val="1F2833"/>
                <w:sz w:val="18"/>
              </w:rPr>
            </w:r>
          </w:p>
        </w:tc>
        <w:tc>
          <w:tcPr>
            <w:tcW w:type="dxa" w:w="1247"/>
            <w:vAlign w:val="center"/>
            <w:tcMar>
              <w:top w:w="110" w:type="dxa"/>
              <w:start w:w="110" w:type="dxa"/>
              <w:bottom w:w="110" w:type="dxa"/>
              <w:end w:w="110" w:type="dxa"/>
            </w:tcMar>
          </w:tcPr>
          <w:p>
            <w:pPr>
              <w:jc w:val="left"/>
            </w:pPr>
            <w:r>
              <w:rPr>
                <w:color w:val="1F2833"/>
                <w:sz w:val="18"/>
              </w:rPr>
            </w:r>
          </w:p>
        </w:tc>
        <w:tc>
          <w:tcPr>
            <w:tcW w:type="dxa" w:w="1814"/>
            <w:vAlign w:val="center"/>
            <w:tcMar>
              <w:top w:w="110" w:type="dxa"/>
              <w:start w:w="110" w:type="dxa"/>
              <w:bottom w:w="110" w:type="dxa"/>
              <w:end w:w="110" w:type="dxa"/>
            </w:tcMar>
          </w:tcPr>
          <w:p>
            <w:pPr>
              <w:jc w:val="left"/>
            </w:pPr>
            <w:r>
              <w:rPr>
                <w:color w:val="1F2833"/>
                <w:sz w:val="18"/>
              </w:rPr>
            </w:r>
          </w:p>
        </w:tc>
        <w:tc>
          <w:tcPr>
            <w:tcW w:type="dxa" w:w="2381"/>
            <w:vAlign w:val="center"/>
            <w:tcMar>
              <w:top w:w="110" w:type="dxa"/>
              <w:start w:w="110" w:type="dxa"/>
              <w:bottom w:w="110" w:type="dxa"/>
              <w:end w:w="110" w:type="dxa"/>
            </w:tcMar>
          </w:tcPr>
          <w:p>
            <w:pPr>
              <w:jc w:val="left"/>
            </w:pPr>
            <w:r>
              <w:rPr>
                <w:color w:val="1F2833"/>
                <w:sz w:val="18"/>
              </w:rPr>
            </w:r>
          </w:p>
        </w:tc>
      </w:tr>
    </w:tbl>
    <w:p/>
    <w:p>
      <w:pPr>
        <w:pStyle w:val="Heading1"/>
        <w:spacing w:before="200" w:after="120" w:line="264" w:lineRule="auto"/>
        <w:jc w:val="left"/>
      </w:pPr>
      <w:r>
        <w:rPr>
          <w:rFonts w:ascii="Aptos Display" w:hAnsi="Aptos Display"/>
          <w:b/>
          <w:color w:val="344B69"/>
          <w:sz w:val="40"/>
        </w:rPr>
        <w:t>Co dalej? Wybierz właściwy kolejny krok</w:t>
      </w:r>
    </w:p>
    <w:tbl>
      <w:tblPr>
        <w:tblStyle w:val="TableGrid"/>
        <w:tblW w:type="auto" w:w="0"/>
        <w:jc w:val="center"/>
        <w:tblLook w:firstColumn="1" w:firstRow="1" w:lastColumn="0" w:lastRow="0" w:noHBand="0" w:noVBand="1" w:val="04A0"/>
      </w:tblPr>
      <w:tblGrid>
        <w:gridCol w:w="5043"/>
        <w:gridCol w:w="5043"/>
      </w:tblGrid>
      <w:tr>
        <w:tc>
          <w:tcPr>
            <w:tcW w:type="dxa" w:w="4082"/>
            <w:vAlign w:val="center"/>
            <w:shd w:fill="EAF0F8"/>
            <w:tcMar>
              <w:top w:w="120" w:type="dxa"/>
              <w:start w:w="120" w:type="dxa"/>
              <w:bottom w:w="120" w:type="dxa"/>
              <w:end w:w="120" w:type="dxa"/>
            </w:tcMar>
          </w:tcPr>
          <w:p>
            <w:pPr>
              <w:jc w:val="center"/>
            </w:pPr>
            <w:r>
              <w:rPr>
                <w:b/>
                <w:color w:val="344B69"/>
                <w:sz w:val="18"/>
              </w:rPr>
              <w:t>Jeśli głównym problemem jest…</w:t>
            </w:r>
          </w:p>
        </w:tc>
        <w:tc>
          <w:tcPr>
            <w:tcW w:type="dxa" w:w="4989"/>
            <w:vAlign w:val="center"/>
            <w:shd w:fill="EAF0F8"/>
            <w:tcMar>
              <w:top w:w="120" w:type="dxa"/>
              <w:start w:w="120" w:type="dxa"/>
              <w:bottom w:w="120" w:type="dxa"/>
              <w:end w:w="120" w:type="dxa"/>
            </w:tcMar>
          </w:tcPr>
          <w:p>
            <w:pPr>
              <w:jc w:val="center"/>
            </w:pPr>
            <w:r>
              <w:rPr>
                <w:b/>
                <w:color w:val="344B69"/>
                <w:sz w:val="18"/>
              </w:rPr>
              <w:t>Następny materiał / krok</w:t>
            </w:r>
          </w:p>
        </w:tc>
      </w:tr>
      <w:tr>
        <w:tc>
          <w:tcPr>
            <w:tcW w:type="dxa" w:w="4082"/>
            <w:vAlign w:val="center"/>
            <w:tcMar>
              <w:top w:w="110" w:type="dxa"/>
              <w:start w:w="110" w:type="dxa"/>
              <w:bottom w:w="110" w:type="dxa"/>
              <w:end w:w="110" w:type="dxa"/>
            </w:tcMar>
          </w:tcPr>
          <w:p>
            <w:pPr>
              <w:jc w:val="center"/>
            </w:pPr>
            <w:r>
              <w:rPr>
                <w:color w:val="1F2833"/>
                <w:sz w:val="18"/>
              </w:rPr>
              <w:t>problemy wokół kuwety, ostrożność przy kuwecie, pośpiech lub unikanie</w:t>
            </w:r>
          </w:p>
        </w:tc>
        <w:tc>
          <w:tcPr>
            <w:tcW w:type="dxa" w:w="4989"/>
            <w:vAlign w:val="center"/>
            <w:tcMar>
              <w:top w:w="110" w:type="dxa"/>
              <w:start w:w="110" w:type="dxa"/>
              <w:bottom w:w="110" w:type="dxa"/>
              <w:end w:w="110" w:type="dxa"/>
            </w:tcMar>
          </w:tcPr>
          <w:p>
            <w:pPr>
              <w:jc w:val="left"/>
            </w:pPr>
            <w:r>
              <w:rPr>
                <w:color w:val="1F2833"/>
                <w:sz w:val="18"/>
              </w:rPr>
              <w:t>PDF o lęku kuwetowym albo kompendium o problemie poza kuwetą</w:t>
            </w:r>
          </w:p>
        </w:tc>
      </w:tr>
      <w:tr>
        <w:tc>
          <w:tcPr>
            <w:tcW w:type="dxa" w:w="4082"/>
            <w:vAlign w:val="center"/>
            <w:tcMar>
              <w:top w:w="110" w:type="dxa"/>
              <w:start w:w="110" w:type="dxa"/>
              <w:bottom w:w="110" w:type="dxa"/>
              <w:end w:w="110" w:type="dxa"/>
            </w:tcMar>
          </w:tcPr>
          <w:p>
            <w:pPr>
              <w:jc w:val="center"/>
            </w:pPr>
            <w:r>
              <w:rPr>
                <w:color w:val="1F2833"/>
                <w:sz w:val="18"/>
              </w:rPr>
              <w:t>napięcie między kotami, blokowanie przejść, nocne korzystanie z zasobów</w:t>
            </w:r>
          </w:p>
        </w:tc>
        <w:tc>
          <w:tcPr>
            <w:tcW w:type="dxa" w:w="4989"/>
            <w:vAlign w:val="center"/>
            <w:tcMar>
              <w:top w:w="110" w:type="dxa"/>
              <w:start w:w="110" w:type="dxa"/>
              <w:bottom w:w="110" w:type="dxa"/>
              <w:end w:w="110" w:type="dxa"/>
            </w:tcMar>
          </w:tcPr>
          <w:p>
            <w:pPr>
              <w:jc w:val="left"/>
            </w:pPr>
            <w:r>
              <w:rPr>
                <w:color w:val="1F2833"/>
                <w:sz w:val="18"/>
              </w:rPr>
              <w:t>PDF o konflikcie między kotami lub „zabawa czy napięcie?”</w:t>
            </w:r>
          </w:p>
        </w:tc>
      </w:tr>
      <w:tr>
        <w:tc>
          <w:tcPr>
            <w:tcW w:type="dxa" w:w="4082"/>
            <w:vAlign w:val="center"/>
            <w:tcMar>
              <w:top w:w="110" w:type="dxa"/>
              <w:start w:w="110" w:type="dxa"/>
              <w:bottom w:w="110" w:type="dxa"/>
              <w:end w:w="110" w:type="dxa"/>
            </w:tcMar>
          </w:tcPr>
          <w:p>
            <w:pPr>
              <w:jc w:val="center"/>
            </w:pPr>
            <w:r>
              <w:rPr>
                <w:color w:val="1F2833"/>
                <w:sz w:val="18"/>
              </w:rPr>
              <w:t>wycofanie po remoncie, przeprowadzce lub innych zmianach</w:t>
            </w:r>
          </w:p>
        </w:tc>
        <w:tc>
          <w:tcPr>
            <w:tcW w:type="dxa" w:w="4989"/>
            <w:vAlign w:val="center"/>
            <w:tcMar>
              <w:top w:w="110" w:type="dxa"/>
              <w:start w:w="110" w:type="dxa"/>
              <w:bottom w:w="110" w:type="dxa"/>
              <w:end w:w="110" w:type="dxa"/>
            </w:tcMar>
          </w:tcPr>
          <w:p>
            <w:pPr>
              <w:jc w:val="left"/>
            </w:pPr>
            <w:r>
              <w:rPr>
                <w:color w:val="1F2833"/>
                <w:sz w:val="18"/>
              </w:rPr>
              <w:t>PDF „Kot chowa się po zmianach”</w:t>
            </w:r>
          </w:p>
        </w:tc>
      </w:tr>
      <w:tr>
        <w:tc>
          <w:tcPr>
            <w:tcW w:type="dxa" w:w="4082"/>
            <w:vAlign w:val="center"/>
            <w:tcMar>
              <w:top w:w="110" w:type="dxa"/>
              <w:start w:w="110" w:type="dxa"/>
              <w:bottom w:w="110" w:type="dxa"/>
              <w:end w:w="110" w:type="dxa"/>
            </w:tcMar>
          </w:tcPr>
          <w:p>
            <w:pPr>
              <w:jc w:val="center"/>
            </w:pPr>
            <w:r>
              <w:rPr>
                <w:color w:val="1F2833"/>
                <w:sz w:val="18"/>
              </w:rPr>
              <w:t>krótki kontakt, obrona przy dotyku, gorsza tolerancja pielęgnacji</w:t>
            </w:r>
          </w:p>
        </w:tc>
        <w:tc>
          <w:tcPr>
            <w:tcW w:type="dxa" w:w="4989"/>
            <w:vAlign w:val="center"/>
            <w:tcMar>
              <w:top w:w="110" w:type="dxa"/>
              <w:start w:w="110" w:type="dxa"/>
              <w:bottom w:w="110" w:type="dxa"/>
              <w:end w:w="110" w:type="dxa"/>
            </w:tcMar>
          </w:tcPr>
          <w:p>
            <w:pPr>
              <w:jc w:val="left"/>
            </w:pPr>
            <w:r>
              <w:rPr>
                <w:color w:val="1F2833"/>
                <w:sz w:val="18"/>
              </w:rPr>
              <w:t>PDF o dotyku i pielęgnacji / gryzieniu przy głaskaniu</w:t>
            </w:r>
          </w:p>
        </w:tc>
      </w:tr>
      <w:tr>
        <w:tc>
          <w:tcPr>
            <w:tcW w:type="dxa" w:w="4082"/>
            <w:vAlign w:val="center"/>
            <w:tcMar>
              <w:top w:w="110" w:type="dxa"/>
              <w:start w:w="110" w:type="dxa"/>
              <w:bottom w:w="110" w:type="dxa"/>
              <w:end w:w="110" w:type="dxa"/>
            </w:tcMar>
          </w:tcPr>
          <w:p>
            <w:pPr>
              <w:jc w:val="center"/>
            </w:pPr>
            <w:r>
              <w:rPr>
                <w:color w:val="1F2833"/>
                <w:sz w:val="18"/>
              </w:rPr>
              <w:t>nie wiesz, co jest głównym problemem albo widzisz kilka warstw naraz</w:t>
            </w:r>
          </w:p>
        </w:tc>
        <w:tc>
          <w:tcPr>
            <w:tcW w:type="dxa" w:w="4989"/>
            <w:vAlign w:val="center"/>
            <w:tcMar>
              <w:top w:w="110" w:type="dxa"/>
              <w:start w:w="110" w:type="dxa"/>
              <w:bottom w:w="110" w:type="dxa"/>
              <w:end w:w="110" w:type="dxa"/>
            </w:tcMar>
          </w:tcPr>
          <w:p>
            <w:pPr>
              <w:jc w:val="left"/>
            </w:pPr>
            <w:r>
              <w:rPr>
                <w:color w:val="1F2833"/>
                <w:sz w:val="18"/>
              </w:rPr>
              <w:t>konsultacja 15 min lub pełniejsza konsultacja behawioralna</w:t>
            </w:r>
          </w:p>
        </w:tc>
      </w:tr>
    </w:tbl>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10086"/>
      </w:tblGrid>
      <w:tr>
        <w:tc>
          <w:tcPr>
            <w:tcW w:type="dxa" w:w="10086"/>
            <w:shd w:fill="F1EEF8"/>
            <w:tcMar>
              <w:top w:w="150" w:type="dxa"/>
              <w:start w:w="160" w:type="dxa"/>
              <w:bottom w:w="150" w:type="dxa"/>
              <w:end w:w="160" w:type="dxa"/>
            </w:tcMar>
          </w:tcPr>
          <w:p>
            <w:r>
              <w:rPr>
                <w:b/>
                <w:color w:val="344B69"/>
                <w:sz w:val="22"/>
              </w:rPr>
              <w:t>Co przygotować do konsultacji</w:t>
            </w:r>
          </w:p>
          <w:p>
            <w:pPr>
              <w:spacing w:before="60" w:after="0" w:line="276" w:lineRule="auto"/>
            </w:pPr>
            <w:r>
              <w:rPr>
                <w:color w:val="1F2833"/>
                <w:sz w:val="21"/>
              </w:rPr>
              <w:t>Oś czasu zmian z ostatnich 4–6 tygodni, krótkie nagrania wideo, mapę domu z zasobami i listę objawów somatycznych. Takie przygotowanie skraca drogę do trafnej decyzji.</w:t>
            </w:r>
          </w:p>
        </w:tc>
      </w:tr>
    </w:tbl>
    <w:p/>
    <w:p>
      <w:pPr>
        <w:pStyle w:val="Heading1"/>
        <w:spacing w:before="200" w:after="120" w:line="264" w:lineRule="auto"/>
        <w:jc w:val="left"/>
      </w:pPr>
      <w:r>
        <w:rPr>
          <w:rFonts w:ascii="Aptos Display" w:hAnsi="Aptos Display"/>
          <w:b/>
          <w:color w:val="344B69"/>
          <w:sz w:val="40"/>
        </w:rPr>
        <w:t>Studium przypadku: „on po prostu woli spokój”</w:t>
      </w:r>
    </w:p>
    <w:p>
      <w:pPr>
        <w:spacing w:before="0" w:after="120" w:line="288" w:lineRule="auto"/>
      </w:pPr>
      <w:r>
        <w:rPr>
          <w:color w:val="1F2833"/>
          <w:sz w:val="21"/>
        </w:rPr>
        <w:t>Do konsultacji trafia kot, który od kilku miesięcy większość dnia spędza na szafie w sypialni. Opiekun opisuje go jako spokojnego introwertyka. Problem nasilił się po remoncie kuchni i zakupie robota sprzątającego, ale z perspektywy rodziny życie z kotem nadal jest „łatwe”, bo zwierzę nie sprawia otwartych kłopotów.</w:t>
      </w:r>
    </w:p>
    <w:p>
      <w:pPr>
        <w:spacing w:before="0" w:after="120" w:line="288" w:lineRule="auto"/>
      </w:pPr>
      <w:r>
        <w:rPr>
          <w:color w:val="1F2833"/>
          <w:sz w:val="21"/>
        </w:rPr>
        <w:t>Dopiero dokładny wywiad pokazuje, że kot je głównie nocą, przestał korzystać z jednego pokoju, a głaskanie toleruje krócej niż wcześniej. W domu mieszka też drugi kot, który regularnie zajmuje przejście pomiędzy sypialnią a salonem. Nie ma bójek, ale kot konsultowany przestał korzystać z połowy zasobów.</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10086"/>
      </w:tblGrid>
      <w:tr>
        <w:tc>
          <w:tcPr>
            <w:tcW w:type="dxa" w:w="10086"/>
            <w:shd w:fill="EEF5EE"/>
            <w:tcMar>
              <w:top w:w="150" w:type="dxa"/>
              <w:start w:w="160" w:type="dxa"/>
              <w:bottom w:w="150" w:type="dxa"/>
              <w:end w:w="160" w:type="dxa"/>
            </w:tcMar>
          </w:tcPr>
          <w:p>
            <w:r>
              <w:rPr>
                <w:b/>
                <w:color w:val="344B69"/>
                <w:sz w:val="22"/>
              </w:rPr>
              <w:t>Wniosek z przypadku</w:t>
            </w:r>
          </w:p>
          <w:p>
            <w:pPr>
              <w:spacing w:before="60" w:after="0" w:line="276" w:lineRule="auto"/>
            </w:pPr>
            <w:r>
              <w:rPr>
                <w:color w:val="1F2833"/>
                <w:sz w:val="21"/>
              </w:rPr>
              <w:t>Brak spektakularnych objawów nie oznacza dobrego dobrostanu. Ciche napięcie często ujawnia się dopiero po połączeniu kilku drobnych sygnałów.</w:t>
            </w:r>
          </w:p>
        </w:tc>
      </w:tr>
    </w:tbl>
    <w:p/>
    <w:p>
      <w:pPr>
        <w:pStyle w:val="Heading1"/>
        <w:spacing w:before="200" w:after="120" w:line="264" w:lineRule="auto"/>
        <w:jc w:val="left"/>
      </w:pPr>
      <w:r>
        <w:rPr>
          <w:rFonts w:ascii="Aptos Display" w:hAnsi="Aptos Display"/>
          <w:b/>
          <w:color w:val="344B69"/>
          <w:sz w:val="40"/>
        </w:rPr>
        <w:t>Źródła i dalsza lektura</w:t>
      </w:r>
    </w:p>
    <w:p>
      <w:pPr>
        <w:pStyle w:val="ListBullet"/>
      </w:pPr>
      <w:r>
        <w:rPr>
          <w:color w:val="1F2833"/>
          <w:sz w:val="21"/>
        </w:rPr>
        <w:t>Ellis SLH i wsp. AAFP and ISFM Feline Environmental Needs Guidelines. Journal of Feline Medicine and Surgery. 2013.</w:t>
      </w:r>
    </w:p>
    <w:p>
      <w:pPr>
        <w:pStyle w:val="ListBullet"/>
      </w:pPr>
      <w:r>
        <w:rPr>
          <w:color w:val="1F2833"/>
          <w:sz w:val="21"/>
        </w:rPr>
        <w:t>International Cat Care. Stress in cats.</w:t>
      </w:r>
    </w:p>
    <w:p>
      <w:pPr>
        <w:pStyle w:val="ListBullet"/>
      </w:pPr>
      <w:r>
        <w:rPr>
          <w:color w:val="1F2833"/>
          <w:sz w:val="21"/>
        </w:rPr>
        <w:t>International Cat Care. Problem behaviour in cats.</w:t>
      </w:r>
    </w:p>
    <w:p>
      <w:pPr>
        <w:pStyle w:val="ListBullet"/>
      </w:pPr>
      <w:r>
        <w:rPr>
          <w:color w:val="1F2833"/>
          <w:sz w:val="21"/>
        </w:rPr>
        <w:t>Ohio State University Indoor Pet Initiative. Feline Life Stressors oraz Events In and Around the House.</w:t>
      </w:r>
    </w:p>
    <w:p>
      <w:pPr>
        <w:pStyle w:val="ListBullet"/>
      </w:pPr>
      <w:r>
        <w:rPr>
          <w:color w:val="1F2833"/>
          <w:sz w:val="21"/>
        </w:rPr>
        <w:t>Rodan I i wsp. 2022 AAFP/ISFM Cat Friendly Veterinary Interaction Guidelines.</w:t>
      </w:r>
    </w:p>
    <w:p>
      <w:pPr>
        <w:pStyle w:val="ListBullet"/>
      </w:pPr>
      <w:r>
        <w:rPr>
          <w:color w:val="1F2833"/>
          <w:sz w:val="21"/>
        </w:rPr>
        <w:t>Taylor S i wsp. 2024 AAFP Intercat Tension Guidelines.</w:t>
      </w:r>
    </w:p>
    <w:p>
      <w:pPr>
        <w:spacing w:before="0" w:after="120" w:line="288" w:lineRule="auto"/>
      </w:pPr>
      <w:r>
        <w:rPr>
          <w:color w:val="1F2833"/>
          <w:sz w:val="21"/>
        </w:rPr>
        <w:t>To kompendium nie zastępuje diagnostyki weterynaryjnej. Ma pomóc szybciej rozpoznawać wzorce zachowania i wychwytywać moment, w którym subtelny stres zaczyna wpływać na zdrowie oraz codzienne funkcjonowanie kota.</w:t>
      </w:r>
    </w:p>
    <w:p>
      <w:pPr>
        <w:spacing w:before="0" w:after="120" w:line="288" w:lineRule="auto"/>
      </w:pPr>
      <w:r>
        <w:rPr>
          <w:color w:val="1F2833"/>
          <w:sz w:val="21"/>
        </w:rPr>
        <w:t>Najwięcej zyskuje się zwykle nie przez jedną spektakularną zmianę, lecz przez kilka dobrze zaplanowanych korekt środowiska: przywrócenie kryjówek, rozdzielenie zasobów, przewidywalny rytm dnia i szacunek dla dystansu, którego potrzebuje konkretny kot.</w:t>
      </w:r>
    </w:p>
    <w:p/>
    <w:p>
      <w:r>
        <w:rPr>
          <w:rFonts w:ascii="Georgia" w:hAnsi="Georgia"/>
          <w:b/>
          <w:color w:val="58456F"/>
          <w:sz w:val="32"/>
        </w:rPr>
        <w:t>Kiedy ten materiał zwykle wystarcza</w:t>
      </w:r>
    </w:p>
    <w:p>
      <w:r>
        <w:rPr>
          <w:rFonts w:ascii="Georgia" w:hAnsi="Georgia"/>
          <w:b w:val="0"/>
          <w:color w:val="24313A"/>
          <w:sz w:val="22"/>
        </w:rPr>
        <w:t>• zwykle wystarcza, jeśli chcesz rozpoznać wczesny wzorzec napięcia i uporządkować pierwszy obraz problemu</w:t>
      </w:r>
    </w:p>
    <w:p>
      <w:r>
        <w:rPr>
          <w:rFonts w:ascii="Georgia" w:hAnsi="Georgia"/>
          <w:b w:val="0"/>
          <w:color w:val="24313A"/>
          <w:sz w:val="22"/>
        </w:rPr>
        <w:t>• po 7–14 dniach obserwacji i korekt środowiska widzisz większą elastyczność, szersze korzystanie z przestrzeni i spokojniejszy odpoczynek</w:t>
      </w:r>
    </w:p>
    <w:p>
      <w:r>
        <w:rPr>
          <w:rFonts w:ascii="Georgia" w:hAnsi="Georgia"/>
          <w:b w:val="0"/>
          <w:color w:val="24313A"/>
          <w:sz w:val="22"/>
        </w:rPr>
        <w:t>• nie pojawiają się objawy alarmowe, a dominujący problem da się już przypisać do jednej ścieżki dalszej pracy</w:t>
      </w:r>
    </w:p>
    <w:p/>
    <w:p>
      <w:r>
        <w:rPr>
          <w:rFonts w:ascii="Georgia" w:hAnsi="Georgia"/>
          <w:b/>
          <w:color w:val="58456F"/>
          <w:sz w:val="32"/>
        </w:rPr>
        <w:t>Co dalej?</w:t>
      </w:r>
    </w:p>
    <w:p>
      <w:r>
        <w:rPr>
          <w:rFonts w:ascii="Georgia" w:hAnsi="Georgia"/>
          <w:b w:val="0"/>
          <w:color w:val="24313A"/>
          <w:sz w:val="24"/>
        </w:rPr>
        <w:t>Jeśli z obserwacji wynika, że główny problem dotyczy relacji między kotami, kuwety, zmian po stresorze albo nocnej aktywności, przejdź do odpowiedniej ścieżki PDF. Jeśli obraz jest szeroki, mieszany lub szybko się pogarsza, umów konsultację.</w:t>
      </w:r>
    </w:p>
    <w:p/>
    <w:sectPr w:rsidR="00FC693F" w:rsidRPr="0006063C" w:rsidSect="00034616">
      <w:footerReference w:type="default" r:id="rId9"/>
      <w:pgSz w:w="12240" w:h="15840"/>
      <w:pgMar w:top="964" w:right="1077" w:bottom="96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8"/>
      </w:rPr>
      <w:t xml:space="preserve">Kompendium opiekuna kota · Czy Twój kot żyje w napięciu? · </w:t>
    </w:r>
    <w:r>
      <w:t xml:space="preserve">Strona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F28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