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CF3EE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314B34"/>
                <w:sz w:val="48"/>
              </w:rPr>
              <w:t>Koty: zabawa czy napięcie?</w:t>
            </w:r>
          </w:p>
          <w:p>
            <w:pPr>
              <w:spacing w:before="80" w:after="0" w:line="259" w:lineRule="auto"/>
            </w:pPr>
            <w:r>
              <w:rPr>
                <w:color w:val="2D3136"/>
                <w:sz w:val="25"/>
              </w:rPr>
              <w:t>Jak odróżnić prawidłową aktywność społeczną od subtelnego konfliktu i uporządkować obserwacje w domu wielokotowym</w:t>
            </w:r>
          </w:p>
          <w:p>
            <w:pPr>
              <w:spacing w:before="120" w:after="0" w:line="250" w:lineRule="auto"/>
            </w:pPr>
            <w:r>
              <w:rPr>
                <w:color w:val="6D7480"/>
                <w:sz w:val="21"/>
              </w:rPr>
              <w:t>Core / core+ PDF ścieżki relacyjnej między kotami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EF4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14B34"/>
                <w:sz w:val="22"/>
              </w:rPr>
              <w:t>Po co jest ten materiał?</w:t>
            </w:r>
          </w:p>
          <w:p>
            <w:pPr>
              <w:spacing w:before="40" w:after="0" w:line="269" w:lineRule="auto"/>
            </w:pPr>
            <w:r>
              <w:rPr>
                <w:color w:val="2D3136"/>
                <w:sz w:val="20"/>
              </w:rPr>
              <w:t>Ten PDF pomaga ocenić, czy dwa koty jeszcze regulują pobudzenie w zabawie, czy jeden z nich już ustępuje, unika i funkcjonuje pod presją społeczną. Zamiast zgadywać, porządkuje obserwację, pokazuje sygnały ostrzegawcze i prowadzi przez pierwszy plan działania.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8F2E8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314B34"/>
                <w:sz w:val="22"/>
              </w:rPr>
              <w:t>Co znajdziesz w środku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różnice między swobodną zabawą a napięciem / konfliktem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7 cichych znaków napięcia, które łatwo przeoczyć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znaczenie zasobów, przejść, przewidywalności i układu domu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algorytm obserwacji i 14-dniowy plan porządkowania sytuacji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moment, w którym trzeba myśleć o reintrodukcji lub pilnej konsultacji</w:t>
            </w:r>
          </w:p>
        </w:tc>
      </w:tr>
    </w:tbl>
    <w:p/>
    <w:p>
      <w:r>
        <w:br w:type="page"/>
      </w:r>
    </w:p>
    <w:p/>
    <w:p>
      <w:r>
        <w:rPr>
          <w:rFonts w:ascii="Georgia" w:hAnsi="Georgia"/>
          <w:b w:val="0"/>
          <w:color w:val="58456F"/>
          <w:sz w:val="22"/>
        </w:rPr>
        <w:t>Core PDF • głębsze różnicowanie relacji między kotami</w:t>
      </w:r>
    </w:p>
    <w:p>
      <w:r>
        <w:rPr>
          <w:rFonts w:ascii="Georgia" w:hAnsi="Georgia"/>
          <w:b w:val="0"/>
          <w:color w:val="24313A"/>
          <w:sz w:val="22"/>
        </w:rPr>
        <w:t>Materiał edukacyjny oparty na porządku klinicznym i praktyce pracy z opiekunem. Nie zastępuje diagnostyki lekarsko-weterynaryjnej, ale pomaga szybciej uporządkować problem i wybrać sensowny następny krok.</w:t>
      </w:r>
    </w:p>
    <w:p/>
    <w:p>
      <w:r>
        <w:rPr>
          <w:rFonts w:ascii="Georgia" w:hAnsi="Georgia"/>
          <w:b/>
          <w:color w:val="58456F"/>
          <w:sz w:val="30"/>
        </w:rPr>
        <w:t>Dla kogo jest ten materiał</w:t>
      </w:r>
    </w:p>
    <w:p>
      <w:r>
        <w:rPr>
          <w:rFonts w:ascii="Georgia" w:hAnsi="Georgia"/>
          <w:b w:val="0"/>
          <w:color w:val="24313A"/>
          <w:sz w:val="22"/>
        </w:rPr>
        <w:t>Dla opiekuna, który widzi konkretny objaw lub powtarzalny wzorzec zachowania i chce najpierw zrozumieć mechanizm problemu, a dopiero potem wdrażać zmiany.</w:t>
      </w:r>
    </w:p>
    <w:p/>
    <w:p>
      <w:r>
        <w:rPr>
          <w:rFonts w:ascii="Georgia" w:hAnsi="Georgia"/>
          <w:b/>
          <w:color w:val="58456F"/>
          <w:sz w:val="30"/>
        </w:rPr>
        <w:t>Co znajdziesz w środku</w:t>
      </w:r>
    </w:p>
    <w:p>
      <w:r>
        <w:rPr>
          <w:rFonts w:ascii="Georgia" w:hAnsi="Georgia"/>
          <w:b w:val="0"/>
          <w:color w:val="24313A"/>
          <w:sz w:val="22"/>
        </w:rPr>
        <w:t>Krótki filtr problemu, najważniejsze czerwone flagi, plan obserwacji oraz pierwszy zestaw działań, które pomagają zdecydować, czy materiał zwykle wystarcza, czy lepsza będzie konsultacja lub kolejny PDF z tej ścieżki.</w:t>
      </w:r>
    </w:p>
    <w:p/>
    <w:p>
      <w:r>
        <w:rPr>
          <w:rFonts w:ascii="Georgia" w:hAnsi="Georgia"/>
          <w:b/>
          <w:color w:val="58456F"/>
          <w:sz w:val="30"/>
        </w:rPr>
        <w:t>Najkrócej</w:t>
      </w:r>
    </w:p>
    <w:p>
      <w:r>
        <w:rPr>
          <w:rFonts w:ascii="Georgia" w:hAnsi="Georgia"/>
          <w:b w:val="0"/>
          <w:color w:val="24313A"/>
          <w:sz w:val="22"/>
        </w:rPr>
        <w:t>To nie jest materiał do zgadywania „co kot ma na myśli”, tylko do zauważenia wzorca, odróżnienia go od bólu lub przeciążenia i wybrania najbezpieczniejszego następnego kroku.</w:t>
      </w:r>
    </w:p>
    <w:p/>
    <w:p>
      <w:pPr>
        <w:spacing w:before="80" w:after="60" w:line="245" w:lineRule="auto"/>
      </w:pPr>
      <w:r>
        <w:rPr>
          <w:rFonts w:ascii="Aptos Display" w:hAnsi="Aptos Display"/>
          <w:b/>
          <w:color w:val="314B34"/>
          <w:sz w:val="38"/>
        </w:rPr>
        <w:t>1. Nie każda gonitwa to zabawa</w:t>
      </w:r>
    </w:p>
    <w:p>
      <w:pPr>
        <w:spacing w:before="0" w:after="120" w:line="283" w:lineRule="auto"/>
      </w:pPr>
      <w:r>
        <w:rPr>
          <w:color w:val="2D3136"/>
          <w:sz w:val="21"/>
        </w:rPr>
        <w:t>W domu wielokotowym najwięcej błędów zaczyna się od zbyt szybkiego wniosku: skoro nie ma jawnej bójki, to pewnie koty po prostu się bawią. Tymczasem klinicznie ważne napięcie częściej ma przebieg cichy: jeden kot ustępuje drogi, omija zasoby, czeka na ciszę albo zmienia trasę przejścia. Dlatego trzeba oceniać nie tylko sam moment kontaktu, ale także to, co dzieje się przed nim i po nim.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EF4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14B34"/>
                <w:sz w:val="22"/>
              </w:rPr>
              <w:t>Najkrócej</w:t>
            </w:r>
          </w:p>
          <w:p>
            <w:pPr>
              <w:spacing w:before="40" w:after="0" w:line="269" w:lineRule="auto"/>
            </w:pPr>
            <w:r>
              <w:rPr>
                <w:color w:val="2D3136"/>
                <w:sz w:val="20"/>
              </w:rPr>
              <w:t>Jeżeli interakcja regularnie wymusza na jednym kocie ustąpienie, wycofanie lub zmianę trasy dojścia do zasobu, nie mówimy już wyłącznie o zabawie. Pojawia się element presji społecznej.</w:t>
            </w:r>
          </w:p>
        </w:tc>
      </w:tr>
    </w:tbl>
    <w:p/>
    <w:p>
      <w:pPr>
        <w:spacing w:before="100" w:after="40" w:line="250" w:lineRule="auto"/>
      </w:pPr>
      <w:r>
        <w:rPr>
          <w:rFonts w:ascii="Aptos Display" w:hAnsi="Aptos Display"/>
          <w:b/>
          <w:color w:val="314B34"/>
          <w:sz w:val="27"/>
        </w:rPr>
        <w:t>Na co patrzeć najpierw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6F0"/>
          </w:tcPr>
          <w:p>
            <w:r>
              <w:rPr>
                <w:b/>
                <w:color w:val="314B34"/>
                <w:sz w:val="21"/>
              </w:rPr>
              <w:t>Naprzemienność ról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W zabawie role nie muszą być idealnie równe, ale obie strony powinny choć częściowo wracać do kontaktu z własnej inicjatywy.</w:t>
            </w:r>
          </w:p>
        </w:tc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3EEE7"/>
          </w:tcPr>
          <w:p>
            <w:r>
              <w:rPr>
                <w:b/>
                <w:color w:val="314B34"/>
                <w:sz w:val="21"/>
              </w:rPr>
              <w:t>Konsekwencje po epizodzie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Najwięcej mówi to, czy po kontakcie koty wracają do normalnego funkcjonowania, czy jeden z nich zaczyna unikać, chować się lub ustępować zasobów.</w:t>
            </w:r>
          </w:p>
        </w:tc>
      </w:tr>
      <w:tr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4FA"/>
          </w:tcPr>
          <w:p>
            <w:r>
              <w:rPr>
                <w:b/>
                <w:color w:val="314B34"/>
                <w:sz w:val="21"/>
              </w:rPr>
              <w:t>Kontekst miejsca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Największą ostrożność zachowaj przy kuwecie, misce, drzwiach, korytarzu, schodach i wąskich przejściach. To nie są neutralne miejsca do zabawy.</w:t>
            </w:r>
          </w:p>
        </w:tc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5ECEA"/>
          </w:tcPr>
          <w:p>
            <w:r>
              <w:rPr>
                <w:b/>
                <w:color w:val="314B34"/>
                <w:sz w:val="21"/>
              </w:rPr>
              <w:t>Płynność ciała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Swobodna zabawa częściej ma luźniejszą postawę, pauzy i odskoki. Napięcie częściej wiąże się z usztywnieniem, wpatrywaniem i ruchem wypierającym.</w:t>
            </w:r>
          </w:p>
        </w:tc>
      </w:tr>
    </w:tbl>
    <w:p/>
    <w:p>
      <w:pPr>
        <w:spacing w:before="80" w:after="60" w:line="245" w:lineRule="auto"/>
      </w:pPr>
      <w:r>
        <w:rPr>
          <w:rFonts w:ascii="Aptos Display" w:hAnsi="Aptos Display"/>
          <w:b/>
          <w:color w:val="314B34"/>
          <w:sz w:val="38"/>
        </w:rPr>
        <w:t>2. Zabawa a napięcie — różnicowanie praktyczne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1EC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4B34"/>
                <w:sz w:val="18"/>
              </w:rPr>
              <w:t>Obserwacja</w:t>
            </w:r>
          </w:p>
        </w:tc>
        <w:tc>
          <w:tcPr>
            <w:tcW w:type="dxa" w:w="3400"/>
            <w:shd w:fill="F1EC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4B34"/>
                <w:sz w:val="18"/>
              </w:rPr>
              <w:t>Bardziej typowe dla zabawy</w:t>
            </w:r>
          </w:p>
        </w:tc>
        <w:tc>
          <w:tcPr>
            <w:tcW w:type="dxa" w:w="3400"/>
            <w:shd w:fill="F1EC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4B34"/>
                <w:sz w:val="18"/>
              </w:rPr>
              <w:t>Bardziej typowe dla napięcia</w:t>
            </w:r>
          </w:p>
        </w:tc>
      </w:tr>
      <w:tr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color w:val="2D3136"/>
                <w:sz w:val="18"/>
              </w:rPr>
              <w:t>Rola i inicjatywa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2D3136"/>
                <w:sz w:val="18"/>
              </w:rPr>
              <w:t>przynajmniej częściowa wymiana ról, powrót do kontaktu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2D3136"/>
                <w:sz w:val="18"/>
              </w:rPr>
              <w:t>jednostronne ściganie, wypieranie lub blokowanie</w:t>
            </w:r>
          </w:p>
        </w:tc>
      </w:tr>
      <w:tr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5F7"/>
          </w:tcPr>
          <w:p>
            <w:pPr>
              <w:jc w:val="center"/>
            </w:pPr>
            <w:r>
              <w:rPr>
                <w:color w:val="2D3136"/>
                <w:sz w:val="18"/>
              </w:rPr>
              <w:t>Ciało i ruch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D3136"/>
                <w:sz w:val="18"/>
              </w:rPr>
              <w:t>bardziej płynne ciało, wyraźne pauzy, samoregulacja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D3136"/>
                <w:sz w:val="18"/>
              </w:rPr>
              <w:t>usztywnienie, staring, nisko noszony ogon, ruch w jednym kierunku</w:t>
            </w:r>
          </w:p>
        </w:tc>
      </w:tr>
      <w:tr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color w:val="2D3136"/>
                <w:sz w:val="18"/>
              </w:rPr>
              <w:t>Miejsce epizodu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2D3136"/>
                <w:sz w:val="18"/>
              </w:rPr>
              <w:t>otwarta przestrzeń, bez przejmowania zasobów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2D3136"/>
                <w:sz w:val="18"/>
              </w:rPr>
              <w:t>przejścia, kuweta, miska, próg, wejście do pokoju</w:t>
            </w:r>
          </w:p>
        </w:tc>
      </w:tr>
      <w:tr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5F7"/>
          </w:tcPr>
          <w:p>
            <w:pPr>
              <w:jc w:val="center"/>
            </w:pPr>
            <w:r>
              <w:rPr>
                <w:color w:val="2D3136"/>
                <w:sz w:val="18"/>
              </w:rPr>
              <w:t>Po zakończeniu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D3136"/>
                <w:sz w:val="18"/>
              </w:rPr>
              <w:t>brak wyraźnej straty funkcjonalnej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D3136"/>
                <w:sz w:val="18"/>
              </w:rPr>
              <w:t>unikanie, zmiana trasy, rezygnacja z zasobu, czujność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CF3EE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14B34"/>
                <w:sz w:val="22"/>
              </w:rPr>
              <w:t>Błąd najczęstszy</w:t>
            </w:r>
          </w:p>
          <w:p>
            <w:pPr>
              <w:spacing w:before="40" w:after="0" w:line="269" w:lineRule="auto"/>
            </w:pPr>
            <w:r>
              <w:rPr>
                <w:color w:val="2D3136"/>
                <w:sz w:val="20"/>
              </w:rPr>
              <w:t>Opiekun patrzy tylko na moment kontaktu fizycznego. Tymczasem klinicznie kluczowe są konsekwencje: czy kot po epizodzie nadal korzysta z domu tak samo, czy zaczyna funkcjonować ciszej i ostrożniej.</w:t>
            </w:r>
          </w:p>
        </w:tc>
      </w:tr>
    </w:tbl>
    <w:p/>
    <w:p>
      <w:pPr>
        <w:spacing w:before="100" w:after="40" w:line="250" w:lineRule="auto"/>
      </w:pPr>
      <w:r>
        <w:rPr>
          <w:rFonts w:ascii="Aptos Display" w:hAnsi="Aptos Display"/>
          <w:b/>
          <w:color w:val="314B34"/>
          <w:sz w:val="27"/>
        </w:rPr>
        <w:t>7 cichych znaków napięcia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4FA"/>
          </w:tcPr>
          <w:p>
            <w:r>
              <w:rPr>
                <w:b/>
                <w:color w:val="314B34"/>
                <w:sz w:val="21"/>
              </w:rPr>
              <w:t>1. Blokowanie przejść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Jeden kot zajmuje strategiczny punkt w korytarzu, przy drzwiach lub na schodku, a drugi wybiera objazd albo rezygnuje.</w:t>
            </w:r>
          </w:p>
        </w:tc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6F0"/>
          </w:tcPr>
          <w:p>
            <w:r>
              <w:rPr>
                <w:b/>
                <w:color w:val="314B34"/>
                <w:sz w:val="21"/>
              </w:rPr>
              <w:t>2. Staring i zamrożenie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Długi nieruchomy kontakt wzrokowy, po którym drugi kot ustępuje lub zawraca.</w:t>
            </w:r>
          </w:p>
        </w:tc>
      </w:tr>
      <w:tr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5ECEA"/>
          </w:tcPr>
          <w:p>
            <w:r>
              <w:rPr>
                <w:b/>
                <w:color w:val="314B34"/>
                <w:sz w:val="21"/>
              </w:rPr>
              <w:t>3. Ciche oddawanie zasobów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Kot odchodzi od miski, kuwety, legowiska lub człowieka bez jawnej walki.</w:t>
            </w:r>
          </w:p>
        </w:tc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3EEE7"/>
          </w:tcPr>
          <w:p>
            <w:r>
              <w:rPr>
                <w:b/>
                <w:color w:val="314B34"/>
                <w:sz w:val="21"/>
              </w:rPr>
              <w:t>4. Życie na obrzeżach domu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Jeden kot częściej wybiera boczne pokoje, wyższe kryjówki albo aktywność nocą.</w:t>
            </w:r>
          </w:p>
        </w:tc>
      </w:tr>
      <w:tr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4FA"/>
          </w:tcPr>
          <w:p>
            <w:r>
              <w:rPr>
                <w:b/>
                <w:color w:val="314B34"/>
                <w:sz w:val="21"/>
              </w:rPr>
              <w:t>5. Wzmożona czujność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Nasłuchiwanie, zatrzymywanie się na progu i korzystanie z zasobów w pośpiechu.</w:t>
            </w:r>
          </w:p>
        </w:tc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6F0"/>
          </w:tcPr>
          <w:p>
            <w:r>
              <w:rPr>
                <w:b/>
                <w:color w:val="314B34"/>
                <w:sz w:val="21"/>
              </w:rPr>
              <w:t>6. Uporczywe unikanie po epizodzie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Po rzekomej zabawie kot nie wraca do kontaktu, tylko znika lub reorganizuje dzień wokół unikania.</w:t>
            </w:r>
          </w:p>
        </w:tc>
      </w:tr>
      <w:tr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5ECEA"/>
          </w:tcPr>
          <w:p>
            <w:r>
              <w:rPr>
                <w:b/>
                <w:color w:val="314B34"/>
                <w:sz w:val="21"/>
              </w:rPr>
              <w:t>7. Skutki somatyczne i kuwetowe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Nawracające objawy pęcherzowe, problemy z kuwetą lub nadmierne wylizywanie mogą być wtórne do napięcia.</w:t>
            </w:r>
          </w:p>
        </w:tc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/>
        </w:tc>
      </w:tr>
    </w:tbl>
    <w:p/>
    <w:p>
      <w:r>
        <w:br w:type="page"/>
      </w:r>
    </w:p>
    <w:p>
      <w:pPr>
        <w:spacing w:before="80" w:after="60" w:line="245" w:lineRule="auto"/>
      </w:pPr>
      <w:r>
        <w:rPr>
          <w:rFonts w:ascii="Aptos Display" w:hAnsi="Aptos Display"/>
          <w:b/>
          <w:color w:val="314B34"/>
          <w:sz w:val="38"/>
        </w:rPr>
        <w:t>3. Co w domu najczęściej nakręca konflikt</w:t>
      </w:r>
    </w:p>
    <w:p>
      <w:pPr>
        <w:spacing w:before="0" w:after="120" w:line="283" w:lineRule="auto"/>
      </w:pPr>
      <w:r>
        <w:rPr>
          <w:color w:val="2D3136"/>
          <w:sz w:val="21"/>
        </w:rPr>
        <w:t>Napięcie między kotami zwykle nie bierze się z jednego „złego charakteru”. Najczęstszym tłem są zasoby, przestrzeń i przewidywalność. Dwie kuwety ustawione obok siebie nadal mogą działać jak jedna stacja. Dwie miski w jednej linii nadal mogą wymuszać bliski kontakt. Wąskie przejście bez drogi odwrotu nadal może być punktem presji.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8F2E8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314B34"/>
                <w:sz w:val="22"/>
              </w:rPr>
              <w:t>Najczęstsze scenariusze problemowe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zbyt mało rozproszonych zasobów w różnych częściach domu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ślepe zaułki i przejścia bez możliwości wycofania się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powrót kota z lecznicy z obcym zapachem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koty za oknem i wzrost pobudzenia terytorialnego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niedobrana para: duża różnica wieku, stylu aktywności lub kompetencji społecznych</w:t>
            </w:r>
          </w:p>
        </w:tc>
      </w:tr>
    </w:tbl>
    <w:p/>
    <w:p>
      <w:pPr>
        <w:spacing w:before="100" w:after="40" w:line="250" w:lineRule="auto"/>
      </w:pPr>
      <w:r>
        <w:rPr>
          <w:rFonts w:ascii="Aptos Display" w:hAnsi="Aptos Display"/>
          <w:b/>
          <w:color w:val="314B34"/>
          <w:sz w:val="27"/>
        </w:rPr>
        <w:t>Kot wywierający presję a kot zagrożony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1EC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4B34"/>
                <w:sz w:val="18"/>
              </w:rPr>
              <w:t>Sfera</w:t>
            </w:r>
          </w:p>
        </w:tc>
        <w:tc>
          <w:tcPr>
            <w:tcW w:type="dxa" w:w="3400"/>
            <w:shd w:fill="F1EC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4B34"/>
                <w:sz w:val="18"/>
              </w:rPr>
              <w:t>Kot wywierający presję</w:t>
            </w:r>
          </w:p>
        </w:tc>
        <w:tc>
          <w:tcPr>
            <w:tcW w:type="dxa" w:w="3400"/>
            <w:shd w:fill="F1EC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4B34"/>
                <w:sz w:val="18"/>
              </w:rPr>
              <w:t>Kot zagrożony</w:t>
            </w:r>
          </w:p>
        </w:tc>
      </w:tr>
      <w:tr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color w:val="2D3136"/>
                <w:sz w:val="18"/>
              </w:rPr>
              <w:t>Przy zasobach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2D3136"/>
                <w:sz w:val="18"/>
              </w:rPr>
              <w:t>wchodzi pierwszy, zajmuje najlepsze miejsce, nie ustępuje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2D3136"/>
                <w:sz w:val="18"/>
              </w:rPr>
              <w:t>czeka, korzysta później albo rezygnuje</w:t>
            </w:r>
          </w:p>
        </w:tc>
      </w:tr>
      <w:tr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5F7"/>
          </w:tcPr>
          <w:p>
            <w:pPr>
              <w:jc w:val="center"/>
            </w:pPr>
            <w:r>
              <w:rPr>
                <w:color w:val="2D3136"/>
                <w:sz w:val="18"/>
              </w:rPr>
              <w:t>W korytarzu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D3136"/>
                <w:sz w:val="18"/>
              </w:rPr>
              <w:t>zatrzymuje się frontalnie, patrzy, kontroluje próg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D3136"/>
                <w:sz w:val="18"/>
              </w:rPr>
              <w:t>zawraca, kuli się, szuka obejścia</w:t>
            </w:r>
          </w:p>
        </w:tc>
      </w:tr>
      <w:tr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color w:val="2D3136"/>
                <w:sz w:val="18"/>
              </w:rPr>
              <w:t>Kontakt z człowiekiem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2D3136"/>
                <w:sz w:val="18"/>
              </w:rPr>
              <w:t>wchodzi pierwszy, lepiej kontroluje dystans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color w:val="2D3136"/>
                <w:sz w:val="18"/>
              </w:rPr>
              <w:t>podchodzi dopiero, gdy drugi kot zniknie</w:t>
            </w:r>
          </w:p>
        </w:tc>
      </w:tr>
      <w:tr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5F7"/>
          </w:tcPr>
          <w:p>
            <w:pPr>
              <w:jc w:val="center"/>
            </w:pPr>
            <w:r>
              <w:rPr>
                <w:color w:val="2D3136"/>
                <w:sz w:val="18"/>
              </w:rPr>
              <w:t>Rytm dnia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D3136"/>
                <w:sz w:val="18"/>
              </w:rPr>
              <w:t>pozostaje aktywny i pewny</w:t>
            </w:r>
          </w:p>
        </w:tc>
        <w:tc>
          <w:tcPr>
            <w:tcW w:type="dxa" w:w="3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D3136"/>
                <w:sz w:val="18"/>
              </w:rPr>
              <w:t>żyje ciszej, bardziej fragmentarycznie i ostrożnie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5ECE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14B34"/>
                <w:sz w:val="22"/>
              </w:rPr>
              <w:t>Pułapka interpretacyjna</w:t>
            </w:r>
          </w:p>
          <w:p>
            <w:pPr>
              <w:spacing w:before="40" w:after="0" w:line="269" w:lineRule="auto"/>
            </w:pPr>
            <w:r>
              <w:rPr>
                <w:color w:val="2D3136"/>
                <w:sz w:val="20"/>
              </w:rPr>
              <w:t>Najłatwiej skupić się na kocie wycofanym i próbować go „ośmielić”. Częściej trzeba najpierw odciążyć środowisko i ograniczyć społeczną presję drugiego kota.</w:t>
            </w:r>
          </w:p>
        </w:tc>
      </w:tr>
    </w:tbl>
    <w:p/>
    <w:p>
      <w:pPr>
        <w:spacing w:before="80" w:after="60" w:line="245" w:lineRule="auto"/>
      </w:pPr>
      <w:r>
        <w:rPr>
          <w:rFonts w:ascii="Aptos Display" w:hAnsi="Aptos Display"/>
          <w:b/>
          <w:color w:val="314B34"/>
          <w:sz w:val="38"/>
        </w:rPr>
        <w:t>4. Algorytm obserwacji i plan 14 dni</w:t>
      </w:r>
    </w:p>
    <w:p>
      <w:pPr>
        <w:spacing w:before="100" w:after="40" w:line="250" w:lineRule="auto"/>
      </w:pPr>
      <w:r>
        <w:rPr>
          <w:rFonts w:ascii="Aptos Display" w:hAnsi="Aptos Display"/>
          <w:b/>
          <w:color w:val="314B34"/>
          <w:sz w:val="27"/>
        </w:rPr>
        <w:t>Algorytm szybkiej oceny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6F0"/>
          </w:tcPr>
          <w:p>
            <w:r>
              <w:rPr>
                <w:b/>
                <w:color w:val="314B34"/>
                <w:sz w:val="21"/>
              </w:rPr>
              <w:t>Krok 1. Zapisz kontekst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Gdzie dzieje się epizod? Czy chodzi o kuwetę, miskę, próg, półkę, wejście do pokoju czy zabawę w otwartej przestrzeni?</w:t>
            </w:r>
          </w:p>
        </w:tc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4FA"/>
          </w:tcPr>
          <w:p>
            <w:r>
              <w:rPr>
                <w:b/>
                <w:color w:val="314B34"/>
                <w:sz w:val="21"/>
              </w:rPr>
              <w:t>Krok 2. Oceń role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Czy role częściowo się zmieniają? Czy kot, który uciekał, wraca później do kontaktu?</w:t>
            </w:r>
          </w:p>
        </w:tc>
      </w:tr>
      <w:tr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3EEE7"/>
          </w:tcPr>
          <w:p>
            <w:r>
              <w:rPr>
                <w:b/>
                <w:color w:val="314B34"/>
                <w:sz w:val="21"/>
              </w:rPr>
              <w:t>Krok 3. Zobacz skutki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Czy po epizodzie pojawia się unikanie, zawężenie przestrzeni, zmiana trasy lub korzystanie z zasobów tylko nocą?</w:t>
            </w:r>
          </w:p>
        </w:tc>
        <w:tc>
          <w:tcPr>
            <w:tcW w:type="dxa" w:w="51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5ECEA"/>
          </w:tcPr>
          <w:p>
            <w:r>
              <w:rPr>
                <w:b/>
                <w:color w:val="314B34"/>
                <w:sz w:val="21"/>
              </w:rPr>
              <w:t>Krok 4. Sprawdź środowisko</w:t>
            </w:r>
          </w:p>
          <w:p>
            <w:pPr>
              <w:spacing w:before="40" w:after="0" w:line="259" w:lineRule="auto"/>
            </w:pPr>
            <w:r>
              <w:rPr>
                <w:color w:val="2D3136"/>
                <w:sz w:val="19"/>
              </w:rPr>
              <w:t>Rozrysuj kuwety, miski, drapaki, półki, kryjówki i przejścia. Często to mapa mieszkania pokazuje problem wyraźniej niż sam opis.</w:t>
            </w:r>
          </w:p>
        </w:tc>
      </w:tr>
    </w:tbl>
    <w:p/>
    <w:p>
      <w:pPr>
        <w:spacing w:before="100" w:after="40" w:line="250" w:lineRule="auto"/>
      </w:pPr>
      <w:r>
        <w:rPr>
          <w:rFonts w:ascii="Aptos Display" w:hAnsi="Aptos Display"/>
          <w:b/>
          <w:color w:val="314B34"/>
          <w:sz w:val="27"/>
        </w:rPr>
        <w:t>Plan na 14 dni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CF3EE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314B34"/>
                <w:sz w:val="22"/>
              </w:rPr>
              <w:t>Plan porządkowania sytuacji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Dni 1–3: zatrzymaj eskalujące sytuacje, rozprosz zasoby i ogranicz ryzykowne punkty styku.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Dni 4–7: obserwuj godziny korzystania z kuwety, misek i miejsc odpoczynku; nagrywaj spokojne przejścia przez mieszkanie.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Dni 8–10: wprowadź więcej tras pionowych, kryjówek i miejsc odejścia; unikaj wymuszania bliskiego kontaktu.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Dni 11–14: oceń, czy kot zagrożony wraca do części domu, czy nadal funkcjonuje głównie na obrzeżach i nocą.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EF4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14B34"/>
                <w:sz w:val="22"/>
              </w:rPr>
              <w:t>Po czym poznasz poprawę?</w:t>
            </w:r>
          </w:p>
          <w:p>
            <w:pPr>
              <w:spacing w:before="40" w:after="0" w:line="269" w:lineRule="auto"/>
            </w:pPr>
            <w:r>
              <w:rPr>
                <w:color w:val="2D3136"/>
                <w:sz w:val="20"/>
              </w:rPr>
              <w:t>Lepszym wskaźnikiem niż „brak bójki” jest powrót do normalnych rytuałów: swobodniejsze przejścia, spokojniejsze korzystanie z zasobów, więcej aktywności dziennej i mniej ustępowania bez kontaktu.</w:t>
            </w:r>
          </w:p>
        </w:tc>
      </w:tr>
    </w:tbl>
    <w:p/>
    <w:p>
      <w:pPr>
        <w:spacing w:before="80" w:after="60" w:line="245" w:lineRule="auto"/>
      </w:pPr>
      <w:r>
        <w:rPr>
          <w:rFonts w:ascii="Aptos Display" w:hAnsi="Aptos Display"/>
          <w:b/>
          <w:color w:val="314B34"/>
          <w:sz w:val="38"/>
        </w:rPr>
        <w:t>5. Kiedy myśleć o reintrodukcji lub pilnej konsultacji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5ECEA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314B34"/>
                <w:sz w:val="22"/>
              </w:rPr>
              <w:t>Sygnały, że czas wejść po pomoc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gdy pojawiają się jawne bójki, regularne ambush albo trwałe wyparcie z części mieszkania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gdy kot zagrożony nie korzysta swobodnie z kuwety, miski lub miejsc odpoczynku mimo zmian środowiskowych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gdy w tle pojawiają się objawy medyczne: pęcherz, żołądek, ból, utrata masy ciała lub pogorszenie pielęgnacji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gdy po 2–4 tygodniach sensownej pracy środowiskowej nadal nie widać poprawy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gdy w domu są więcej niż dwa koty i opiekun nie potrafi uchwycić, kto realnie wywiera presję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8F2E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14B34"/>
                <w:sz w:val="22"/>
              </w:rPr>
              <w:t>Co dalej?</w:t>
            </w:r>
          </w:p>
          <w:p>
            <w:pPr>
              <w:spacing w:before="40" w:after="0" w:line="269" w:lineRule="auto"/>
            </w:pPr>
            <w:r>
              <w:rPr>
                <w:color w:val="2D3136"/>
                <w:sz w:val="20"/>
              </w:rPr>
              <w:t>Jeżeli problem dopiero się rysuje, wróć też do PDF-u „Konflikt między kotami”. Jeżeli napięcie łączy się z wycofaniem po zmianach, sięgnij po „Kot chowa się po zmianach”. Jeżeli w tle pojawiają się problemy z kuwetą, przejdź do ścieżki kuwetowej. Gdy nie wiesz, która warstwa jest główna, najlepszym kolejnym krokiem będzie konsultacja 15 min.</w:t>
            </w:r>
          </w:p>
        </w:tc>
      </w:tr>
    </w:tbl>
    <w:p/>
    <w:p>
      <w:pPr>
        <w:spacing w:before="100" w:after="40" w:line="250" w:lineRule="auto"/>
      </w:pPr>
      <w:r>
        <w:rPr>
          <w:rFonts w:ascii="Aptos Display" w:hAnsi="Aptos Display"/>
          <w:b/>
          <w:color w:val="314B34"/>
          <w:sz w:val="27"/>
        </w:rPr>
        <w:t>Check-lista do obserwacji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EF6F0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314B34"/>
                <w:sz w:val="22"/>
              </w:rPr>
              <w:t>Pytania kontrolne na 7–14 dni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czy oba koty jedzą swobodnie o podobnych porach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czy oba koty korzystają z więcej niż jednego pokoju i więcej niż jednej strefy odpoczynku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czy któryś kot czeka, aż drugi odejdzie od zasobu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czy po epizodach pojawia się chowanie, nocna aktywność lub wzmożona czujność</w:t>
            </w:r>
          </w:p>
          <w:p>
            <w:pPr>
              <w:pStyle w:val="ListBullet"/>
              <w:spacing w:before="0" w:after="0" w:line="254" w:lineRule="auto"/>
            </w:pPr>
            <w:r>
              <w:rPr>
                <w:color w:val="2D3136"/>
                <w:sz w:val="20"/>
              </w:rPr>
              <w:t>czy problem nasilił się po zmianie w domu, lecznicy lub zmianie układu zasobów</w:t>
            </w:r>
          </w:p>
        </w:tc>
      </w:tr>
    </w:tbl>
    <w:p/>
    <w:p/>
    <w:p>
      <w:r>
        <w:rPr>
          <w:rFonts w:ascii="Georgia" w:hAnsi="Georgia"/>
          <w:b/>
          <w:color w:val="58456F"/>
          <w:sz w:val="32"/>
        </w:rPr>
        <w:t>Kiedy ten materiał zwykle wystarcza</w:t>
      </w:r>
    </w:p>
    <w:p>
      <w:r>
        <w:rPr>
          <w:rFonts w:ascii="Georgia" w:hAnsi="Georgia"/>
          <w:b w:val="0"/>
          <w:color w:val="24313A"/>
          <w:sz w:val="22"/>
        </w:rPr>
        <w:t>• zwykle wystarcza, jeśli chcesz spokojnie ocenić relację, odróżnić zabawę od presji społecznej i wdrożyć plan obserwacji</w:t>
      </w:r>
    </w:p>
    <w:p>
      <w:r>
        <w:rPr>
          <w:rFonts w:ascii="Georgia" w:hAnsi="Georgia"/>
          <w:b w:val="0"/>
          <w:color w:val="24313A"/>
          <w:sz w:val="22"/>
        </w:rPr>
        <w:t>• wzorzec nie obejmuje jawnych bójek ani trwałego wyparcia jednego kota z zasobów</w:t>
      </w:r>
    </w:p>
    <w:p>
      <w:r>
        <w:rPr>
          <w:rFonts w:ascii="Georgia" w:hAnsi="Georgia"/>
          <w:b w:val="0"/>
          <w:color w:val="24313A"/>
          <w:sz w:val="22"/>
        </w:rPr>
        <w:t>• po 10–14 dniach widzisz większą przewidywalność kontaktów i mniej unikania po epizodach</w:t>
      </w:r>
    </w:p>
    <w:p/>
    <w:p>
      <w:r>
        <w:rPr>
          <w:rFonts w:ascii="Georgia" w:hAnsi="Georgia"/>
          <w:b/>
          <w:color w:val="58456F"/>
          <w:sz w:val="32"/>
        </w:rPr>
        <w:t>Co dalej?</w:t>
      </w:r>
    </w:p>
    <w:p>
      <w:r>
        <w:rPr>
          <w:rFonts w:ascii="Georgia" w:hAnsi="Georgia"/>
          <w:b w:val="0"/>
          <w:color w:val="24313A"/>
          <w:sz w:val="24"/>
        </w:rPr>
        <w:t>Jeśli obraz relacji jest już czytelny, wróć do planu 14 dni i oceń, czy potrzebna jest reintrodukcja. Jeśli w tle dominują objawy jednego kota — kuweta, wycofanie lub nocna aktywność — przejdź do odpowiedniej ścieżki PDF albo do konsultacji.</w:t>
      </w:r>
    </w:p>
    <w:p/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D7480"/>
        <w:sz w:val="18"/>
      </w:rPr>
      <w:t xml:space="preserve">Kompendium opiekuna kota • strona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1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