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i/>
          <w:color w:val="66727C"/>
          <w:sz w:val="20"/>
        </w:rPr>
        <w:t>Starter / core-lite PDF • ścieżka nocnej wokalizacji</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00"/>
      </w:tblGrid>
      <w:tr>
        <w:tc>
          <w:tcPr>
            <w:tcW w:type="dxa" w:w="10200"/>
            <w:shd w:fill="EEF4F8"/>
            <w:tcMar>
              <w:top w:w="240" w:type="dxa"/>
              <w:start w:w="260" w:type="dxa"/>
              <w:bottom w:w="220" w:type="dxa"/>
              <w:end w:w="260" w:type="dxa"/>
            </w:tcMar>
          </w:tcPr>
          <w:p>
            <w:r>
              <w:rPr>
                <w:rFonts w:ascii="Aptos Display" w:hAnsi="Aptos Display"/>
                <w:b/>
                <w:color w:val="27495A"/>
                <w:sz w:val="50"/>
              </w:rPr>
              <w:t>Miauczenie o świcie</w:t>
            </w:r>
          </w:p>
          <w:p>
            <w:pPr>
              <w:spacing w:before="80" w:after="40" w:line="264" w:lineRule="auto"/>
            </w:pPr>
            <w:r>
              <w:rPr>
                <w:b/>
                <w:color w:val="587D8C"/>
                <w:sz w:val="28"/>
              </w:rPr>
              <w:t>4 powody, przez które kot nakręca ten schemat — i jak przerwać go bez walki z kotem</w:t>
            </w:r>
          </w:p>
          <w:p>
            <w:pPr>
              <w:spacing w:before="120" w:after="120" w:line="276" w:lineRule="auto"/>
            </w:pPr>
            <w:r>
              <w:rPr>
                <w:color w:val="27323A"/>
                <w:sz w:val="22"/>
              </w:rPr>
              <w:t>Objawowy PDF dla opiekuna, który budzi się przez poranną wokalizację i chce szybko ocenić, czy chodzi o nawyk, rytm dnia, stres środowiskowy czy czerwone flagi medyczne. W środku dostajesz porządek diagnostyczny, obserwację 7 dni i plan 14 dni.</w:t>
            </w:r>
          </w:p>
          <w:p>
            <w:pPr>
              <w:pStyle w:val="ListBullet"/>
              <w:spacing w:before="0" w:after="0" w:line="240" w:lineRule="auto"/>
            </w:pPr>
            <w:r>
              <w:rPr>
                <w:color w:val="27323A"/>
                <w:sz w:val="20"/>
              </w:rPr>
              <w:t>4 główne grupy przyczyn porannej wokalizacji</w:t>
            </w:r>
          </w:p>
          <w:p>
            <w:pPr>
              <w:pStyle w:val="ListBullet"/>
              <w:spacing w:before="0" w:after="0" w:line="240" w:lineRule="auto"/>
            </w:pPr>
            <w:r>
              <w:rPr>
                <w:color w:val="27323A"/>
                <w:sz w:val="20"/>
              </w:rPr>
              <w:t>obserwacja 7 dni + plan 14 dni bez przypadkowego wzmacniania schematu</w:t>
            </w:r>
          </w:p>
          <w:p>
            <w:pPr>
              <w:pStyle w:val="ListBullet"/>
              <w:spacing w:before="0" w:after="0" w:line="240" w:lineRule="auto"/>
            </w:pPr>
            <w:r>
              <w:rPr>
                <w:color w:val="27323A"/>
                <w:sz w:val="20"/>
              </w:rPr>
              <w:t>moduł seniora, błędy opiekuna i routing do szerszego PDF-u nocnego oraz konsultacji</w:t>
            </w:r>
          </w:p>
        </w:tc>
      </w:tr>
    </w:tbl>
    <w:p/>
    <w:p>
      <w:pPr>
        <w:jc w:val="center"/>
      </w:pPr>
      <w:r>
        <w:rPr>
          <w:i/>
          <w:color w:val="66727C"/>
          <w:sz w:val="20"/>
        </w:rPr>
        <w:t>Materiał edukacyjny oparty na porządku klinicznym. Nie zastępuje badania lekarsko-weterynaryjnego, ale pomaga przestać zgadywać, co naprawdę napędza poranną wokalizację.</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00"/>
      </w:tblGrid>
      <w:tr>
        <w:tc>
          <w:tcPr>
            <w:tcW w:type="dxa" w:w="10200"/>
            <w:shd w:fill="EEF5EF"/>
            <w:tcMar>
              <w:top w:w="150" w:type="dxa"/>
              <w:start w:w="170" w:type="dxa"/>
              <w:bottom w:w="150" w:type="dxa"/>
              <w:end w:w="170" w:type="dxa"/>
            </w:tcMar>
          </w:tcPr>
          <w:p>
            <w:r>
              <w:rPr>
                <w:b/>
                <w:color w:val="27495A"/>
                <w:sz w:val="22"/>
              </w:rPr>
              <w:t>Dla kogo jest ten materiał</w:t>
            </w:r>
          </w:p>
          <w:p>
            <w:pPr>
              <w:spacing w:before="40" w:after="0" w:line="276" w:lineRule="auto"/>
            </w:pPr>
            <w:r>
              <w:rPr>
                <w:color w:val="27323A"/>
                <w:sz w:val="20"/>
              </w:rPr>
              <w:t>Dla opiekuna, który mierzy się głównie z porannym miauczeniem i chce odróżnić wyuczony schemat od problemu zdrowotnego, napięcia w domu albo źle ustawionego rytmu dnia. To lżejszy, objawowy PDF w ścieżce nocnej aktywności.</w:t>
            </w:r>
          </w:p>
        </w:tc>
      </w:tr>
    </w:tbl>
    <w:p/>
    <w:p>
      <w:pPr>
        <w:pStyle w:val="Heading1"/>
      </w:pPr>
      <w:r>
        <w:t>Dla kogo jest ten materiał</w:t>
      </w:r>
    </w:p>
    <w:p>
      <w:r>
        <w:t>Dla opiekuna, który widzi bardzo konkretny wzorzec: kot budzi dom nad ranem, miauczy przy łóżku albo misce i potrzebuje szybkiego porządku „co to najczęściej napędza”.</w:t>
      </w:r>
    </w:p>
    <w:p>
      <w:pPr>
        <w:spacing w:before="140" w:after="80" w:line="252" w:lineRule="auto"/>
      </w:pPr>
      <w:r>
        <w:rPr>
          <w:rFonts w:ascii="Aptos Display" w:hAnsi="Aptos Display"/>
          <w:b/>
          <w:color w:val="27495A"/>
          <w:sz w:val="41"/>
        </w:rPr>
        <w:t>Co znajdziesz w środku</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5100"/>
        <w:gridCol w:w="5100"/>
      </w:tblGrid>
      <w:tr>
        <w:tc>
          <w:tcPr>
            <w:tcW w:type="dxa" w:w="5100"/>
            <w:vAlign w:val="center"/>
            <w:tcMar>
              <w:top w:w="120" w:type="dxa"/>
              <w:start w:w="130" w:type="dxa"/>
              <w:bottom w:w="120" w:type="dxa"/>
              <w:end w:w="130" w:type="dxa"/>
            </w:tcMar>
            <w:shd w:fill="EEF4F8"/>
          </w:tcPr>
          <w:p>
            <w:r>
              <w:rPr>
                <w:b/>
                <w:color w:val="27495A"/>
                <w:sz w:val="22"/>
              </w:rPr>
              <w:t>4 grupy przyczyn</w:t>
            </w:r>
          </w:p>
          <w:p>
            <w:pPr>
              <w:spacing w:before="40" w:after="0" w:line="259" w:lineRule="auto"/>
            </w:pPr>
            <w:r>
              <w:rPr>
                <w:color w:val="27323A"/>
                <w:sz w:val="19"/>
              </w:rPr>
              <w:t>uczenie się i nawyk, potrzeby środowiskowe, stres i napięcie oraz czerwone flagi medyczne</w:t>
            </w:r>
          </w:p>
        </w:tc>
        <w:tc>
          <w:tcPr>
            <w:tcW w:type="dxa" w:w="5100"/>
            <w:vAlign w:val="center"/>
            <w:tcMar>
              <w:top w:w="120" w:type="dxa"/>
              <w:start w:w="130" w:type="dxa"/>
              <w:bottom w:w="120" w:type="dxa"/>
              <w:end w:w="130" w:type="dxa"/>
            </w:tcMar>
            <w:shd w:fill="EEF5EF"/>
          </w:tcPr>
          <w:p>
            <w:r>
              <w:rPr>
                <w:b/>
                <w:color w:val="27495A"/>
                <w:sz w:val="22"/>
              </w:rPr>
              <w:t>Historia problemu</w:t>
            </w:r>
          </w:p>
          <w:p>
            <w:pPr>
              <w:spacing w:before="40" w:after="0" w:line="259" w:lineRule="auto"/>
            </w:pPr>
            <w:r>
              <w:rPr>
                <w:color w:val="27323A"/>
                <w:sz w:val="19"/>
              </w:rPr>
              <w:t>jak czytać poranny epizod: co działo się przed, jak reagowali ludzie i co kot realnie zyskuje</w:t>
            </w:r>
          </w:p>
        </w:tc>
      </w:tr>
      <w:tr>
        <w:tc>
          <w:tcPr>
            <w:tcW w:type="dxa" w:w="5100"/>
            <w:vAlign w:val="center"/>
            <w:tcMar>
              <w:top w:w="120" w:type="dxa"/>
              <w:start w:w="130" w:type="dxa"/>
              <w:bottom w:w="120" w:type="dxa"/>
              <w:end w:w="130" w:type="dxa"/>
            </w:tcMar>
            <w:shd w:fill="F8EEF3"/>
          </w:tcPr>
          <w:p>
            <w:r>
              <w:rPr>
                <w:b/>
                <w:color w:val="27495A"/>
                <w:sz w:val="22"/>
              </w:rPr>
              <w:t>7-dniowa obserwacja</w:t>
            </w:r>
          </w:p>
          <w:p>
            <w:pPr>
              <w:spacing w:before="40" w:after="0" w:line="259" w:lineRule="auto"/>
            </w:pPr>
            <w:r>
              <w:rPr>
                <w:color w:val="27323A"/>
                <w:sz w:val="19"/>
              </w:rPr>
              <w:t>prosty dziennik do złapania wzorca bez polegania na pamięci</w:t>
            </w:r>
          </w:p>
        </w:tc>
        <w:tc>
          <w:tcPr>
            <w:tcW w:type="dxa" w:w="5100"/>
            <w:vAlign w:val="center"/>
            <w:tcMar>
              <w:top w:w="120" w:type="dxa"/>
              <w:start w:w="130" w:type="dxa"/>
              <w:bottom w:w="120" w:type="dxa"/>
              <w:end w:w="130" w:type="dxa"/>
            </w:tcMar>
            <w:shd w:fill="F8F1E5"/>
          </w:tcPr>
          <w:p>
            <w:r>
              <w:rPr>
                <w:b/>
                <w:color w:val="27495A"/>
                <w:sz w:val="22"/>
              </w:rPr>
              <w:t>Plan 14 dni</w:t>
            </w:r>
          </w:p>
          <w:p>
            <w:pPr>
              <w:spacing w:before="40" w:after="0" w:line="259" w:lineRule="auto"/>
            </w:pPr>
            <w:r>
              <w:rPr>
                <w:color w:val="27323A"/>
                <w:sz w:val="19"/>
              </w:rPr>
              <w:t>jak zmienić wieczór, poranek i reakcje domowników bez przypadkowego nakręcania schematu</w:t>
            </w:r>
          </w:p>
        </w:tc>
      </w:tr>
      <w:tr>
        <w:tc>
          <w:tcPr>
            <w:tcW w:type="dxa" w:w="5100"/>
            <w:vAlign w:val="center"/>
            <w:tcMar>
              <w:top w:w="120" w:type="dxa"/>
              <w:start w:w="130" w:type="dxa"/>
              <w:bottom w:w="120" w:type="dxa"/>
              <w:end w:w="130" w:type="dxa"/>
            </w:tcMar>
            <w:shd w:fill="F1ECF7"/>
          </w:tcPr>
          <w:p>
            <w:r>
              <w:rPr>
                <w:b/>
                <w:color w:val="27495A"/>
                <w:sz w:val="22"/>
              </w:rPr>
              <w:t>Kot senior</w:t>
            </w:r>
          </w:p>
          <w:p>
            <w:pPr>
              <w:spacing w:before="40" w:after="0" w:line="259" w:lineRule="auto"/>
            </w:pPr>
            <w:r>
              <w:rPr>
                <w:color w:val="27323A"/>
                <w:sz w:val="19"/>
              </w:rPr>
              <w:t>kiedy poranna wokalizacja wymaga pytań o ból, nadczynność tarczycy, nadciśnienie i zmiany poznawcze</w:t>
            </w:r>
          </w:p>
        </w:tc>
        <w:tc>
          <w:tcPr>
            <w:tcW w:type="dxa" w:w="5100"/>
            <w:vAlign w:val="center"/>
            <w:tcMar>
              <w:top w:w="120" w:type="dxa"/>
              <w:start w:w="130" w:type="dxa"/>
              <w:bottom w:w="120" w:type="dxa"/>
              <w:end w:w="130" w:type="dxa"/>
            </w:tcMar>
            <w:shd w:fill="DFEAF3"/>
          </w:tcPr>
          <w:p>
            <w:r>
              <w:rPr>
                <w:b/>
                <w:color w:val="27495A"/>
                <w:sz w:val="22"/>
              </w:rPr>
              <w:t>Co dalej</w:t>
            </w:r>
          </w:p>
          <w:p>
            <w:pPr>
              <w:spacing w:before="40" w:after="0" w:line="259" w:lineRule="auto"/>
            </w:pPr>
            <w:r>
              <w:rPr>
                <w:color w:val="27323A"/>
                <w:sz w:val="19"/>
              </w:rPr>
              <w:t>routing do szerszego PDF-u nocnego, konfliktu, ścieżki kuwetowej i konsultacji</w:t>
            </w:r>
          </w:p>
        </w:tc>
      </w:tr>
    </w:tbl>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00"/>
      </w:tblGrid>
      <w:tr>
        <w:tc>
          <w:tcPr>
            <w:tcW w:type="dxa" w:w="10200"/>
            <w:shd w:fill="EEF4F8"/>
            <w:tcMar>
              <w:top w:w="150" w:type="dxa"/>
              <w:start w:w="170" w:type="dxa"/>
              <w:bottom w:w="150" w:type="dxa"/>
              <w:end w:w="170" w:type="dxa"/>
            </w:tcMar>
          </w:tcPr>
          <w:p>
            <w:r>
              <w:rPr>
                <w:b/>
                <w:color w:val="27495A"/>
                <w:sz w:val="22"/>
              </w:rPr>
              <w:t>Najkrócej</w:t>
            </w:r>
          </w:p>
          <w:p>
            <w:pPr>
              <w:spacing w:before="40" w:after="0" w:line="276" w:lineRule="auto"/>
            </w:pPr>
            <w:r>
              <w:rPr>
                <w:color w:val="27323A"/>
                <w:sz w:val="20"/>
              </w:rPr>
              <w:t>Świt to pora, w której nakładają się trzy rzeczy: biologiczna gotowość kota do działania, lekki sen człowieka i historia wcześniejszych reakcji domowników. Dlatego poranna wokalizacja rzadko jest tylko jednym problemem. Ten PDF pomaga oddzielić nawyk od realnych potrzeb i czerwonych flag.</w:t>
            </w:r>
          </w:p>
        </w:tc>
      </w:tr>
    </w:tbl>
    <w:p/>
    <w:p>
      <w:pPr>
        <w:pStyle w:val="Heading1"/>
      </w:pPr>
      <w:r>
        <w:t>Najkrócej</w:t>
      </w:r>
    </w:p>
    <w:p>
      <w:r>
        <w:t>To starter / core-lite nocnej ścieżki: skupia się na jednym objawie, porannym miauczeniu, i pomaga szybko ocenić rolę nawyku, rytmu dnia, stresu oraz czerwonych flag medycznych.</w:t>
      </w:r>
    </w:p>
    <w:p>
      <w:pPr>
        <w:spacing w:before="140" w:after="80" w:line="252" w:lineRule="auto"/>
      </w:pPr>
      <w:r>
        <w:rPr>
          <w:rFonts w:ascii="Aptos Display" w:hAnsi="Aptos Display"/>
          <w:b/>
          <w:color w:val="27495A"/>
          <w:sz w:val="41"/>
        </w:rPr>
        <w:t>4 główne grupy przyczyn</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5100"/>
        <w:gridCol w:w="5100"/>
      </w:tblGrid>
      <w:tr>
        <w:tc>
          <w:tcPr>
            <w:tcW w:type="dxa" w:w="5100"/>
            <w:vAlign w:val="center"/>
            <w:tcMar>
              <w:top w:w="120" w:type="dxa"/>
              <w:start w:w="130" w:type="dxa"/>
              <w:bottom w:w="120" w:type="dxa"/>
              <w:end w:w="130" w:type="dxa"/>
            </w:tcMar>
            <w:shd w:fill="EEF4F8"/>
          </w:tcPr>
          <w:p>
            <w:r>
              <w:rPr>
                <w:b/>
                <w:color w:val="27495A"/>
                <w:sz w:val="22"/>
              </w:rPr>
              <w:t>1. Uczenie się i nawyk</w:t>
            </w:r>
          </w:p>
          <w:p>
            <w:pPr>
              <w:spacing w:before="40" w:after="0" w:line="259" w:lineRule="auto"/>
            </w:pPr>
            <w:r>
              <w:rPr>
                <w:color w:val="27323A"/>
                <w:sz w:val="19"/>
              </w:rPr>
              <w:t>kot zauważył, że głos o świcie uruchamia uwagę, jedzenie, ruch człowieka albo wpuszczenie do sypialni</w:t>
            </w:r>
          </w:p>
        </w:tc>
        <w:tc>
          <w:tcPr>
            <w:tcW w:type="dxa" w:w="5100"/>
            <w:vAlign w:val="center"/>
            <w:tcMar>
              <w:top w:w="120" w:type="dxa"/>
              <w:start w:w="130" w:type="dxa"/>
              <w:bottom w:w="120" w:type="dxa"/>
              <w:end w:w="130" w:type="dxa"/>
            </w:tcMar>
            <w:shd w:fill="EEF5EF"/>
          </w:tcPr>
          <w:p>
            <w:r>
              <w:rPr>
                <w:b/>
                <w:color w:val="27495A"/>
                <w:sz w:val="22"/>
              </w:rPr>
              <w:t>2. Potrzeby środowiskowe</w:t>
            </w:r>
          </w:p>
          <w:p>
            <w:pPr>
              <w:spacing w:before="40" w:after="0" w:line="259" w:lineRule="auto"/>
            </w:pPr>
            <w:r>
              <w:rPr>
                <w:color w:val="27323A"/>
                <w:sz w:val="19"/>
              </w:rPr>
              <w:t>za mało aktywności wieczorem, długa nocna przerwa, ubogie środowisko albo brak przewidywalnego rytuału</w:t>
            </w:r>
          </w:p>
        </w:tc>
      </w:tr>
      <w:tr>
        <w:tc>
          <w:tcPr>
            <w:tcW w:type="dxa" w:w="5100"/>
            <w:vAlign w:val="center"/>
            <w:tcMar>
              <w:top w:w="120" w:type="dxa"/>
              <w:start w:w="130" w:type="dxa"/>
              <w:bottom w:w="120" w:type="dxa"/>
              <w:end w:w="130" w:type="dxa"/>
            </w:tcMar>
            <w:shd w:fill="F8F1E5"/>
          </w:tcPr>
          <w:p>
            <w:r>
              <w:rPr>
                <w:b/>
                <w:color w:val="27495A"/>
                <w:sz w:val="22"/>
              </w:rPr>
              <w:t>3. Stres i napięcie</w:t>
            </w:r>
          </w:p>
          <w:p>
            <w:pPr>
              <w:spacing w:before="40" w:after="0" w:line="259" w:lineRule="auto"/>
            </w:pPr>
            <w:r>
              <w:rPr>
                <w:color w:val="27323A"/>
                <w:sz w:val="19"/>
              </w:rPr>
              <w:t>konflikt między kotami, nocna czujność, zmiana w domu, niepewność lub pobudzenie środowiskowe</w:t>
            </w:r>
          </w:p>
        </w:tc>
        <w:tc>
          <w:tcPr>
            <w:tcW w:type="dxa" w:w="5100"/>
            <w:vAlign w:val="center"/>
            <w:tcMar>
              <w:top w:w="120" w:type="dxa"/>
              <w:start w:w="130" w:type="dxa"/>
              <w:bottom w:w="120" w:type="dxa"/>
              <w:end w:w="130" w:type="dxa"/>
            </w:tcMar>
            <w:shd w:fill="F8EEF3"/>
          </w:tcPr>
          <w:p>
            <w:r>
              <w:rPr>
                <w:b/>
                <w:color w:val="27495A"/>
                <w:sz w:val="22"/>
              </w:rPr>
              <w:t>4. Medycyna i senior</w:t>
            </w:r>
          </w:p>
          <w:p>
            <w:pPr>
              <w:spacing w:before="40" w:after="0" w:line="259" w:lineRule="auto"/>
            </w:pPr>
            <w:r>
              <w:rPr>
                <w:color w:val="27323A"/>
                <w:sz w:val="19"/>
              </w:rPr>
              <w:t>ból, nadczynność tarczycy, nadciśnienie, zmiany poznawcze, głód wtórny do choroby albo zaburzenia snu</w:t>
            </w:r>
          </w:p>
        </w:tc>
      </w:tr>
    </w:tbl>
    <w:p/>
    <w:p>
      <w:pPr>
        <w:spacing w:before="140" w:after="60" w:line="252" w:lineRule="auto"/>
      </w:pPr>
      <w:r>
        <w:rPr>
          <w:rFonts w:ascii="Aptos Display" w:hAnsi="Aptos Display"/>
          <w:b/>
          <w:color w:val="27495A"/>
          <w:sz w:val="28"/>
        </w:rPr>
        <w:t>Jak korzystać z tego porządku</w:t>
      </w:r>
    </w:p>
    <w:p>
      <w:pPr>
        <w:spacing w:before="0" w:after="120" w:line="283" w:lineRule="auto"/>
      </w:pPr>
      <w:r>
        <w:rPr>
          <w:color w:val="27323A"/>
          <w:sz w:val="21"/>
        </w:rPr>
        <w:t>Nie zaczynaj od mechanicznego ignorowania wszystkiego. Najpierw uporządkuj, czy problem jest wzmacniany reakcjami ludzi, czy kot ma sensowny wieczór, czy w tle nie ma napięcia w domu oraz czy pojawiają się sygnały zdrowotne lub senioralne. Dopiero z takiego porządku wynika rozsądny plan pracy.</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00"/>
      </w:tblGrid>
      <w:tr>
        <w:tc>
          <w:tcPr>
            <w:tcW w:type="dxa" w:w="10200"/>
            <w:shd w:fill="EEF5EF"/>
            <w:tcMar>
              <w:top w:w="140" w:type="dxa"/>
              <w:start w:w="150" w:type="dxa"/>
              <w:bottom w:w="120" w:type="dxa"/>
              <w:end w:w="150" w:type="dxa"/>
            </w:tcMar>
          </w:tcPr>
          <w:p>
            <w:r>
              <w:rPr>
                <w:b/>
                <w:color w:val="27495A"/>
                <w:sz w:val="22"/>
              </w:rPr>
              <w:t>Trzy zasady, które oszczędzają chaos</w:t>
            </w:r>
          </w:p>
          <w:p>
            <w:pPr>
              <w:pStyle w:val="ListBullet"/>
              <w:spacing w:before="0" w:after="0" w:line="252" w:lineRule="auto"/>
            </w:pPr>
            <w:r>
              <w:rPr>
                <w:color w:val="27323A"/>
                <w:sz w:val="20"/>
              </w:rPr>
              <w:t>jeżeli początek był nagły albo kot jest starszy, myśl najpierw o ścieżce medycznej</w:t>
            </w:r>
          </w:p>
          <w:p>
            <w:pPr>
              <w:pStyle w:val="ListBullet"/>
              <w:spacing w:before="0" w:after="0" w:line="252" w:lineRule="auto"/>
            </w:pPr>
            <w:r>
              <w:rPr>
                <w:color w:val="27323A"/>
                <w:sz w:val="20"/>
              </w:rPr>
              <w:t>jeżeli zachowanie jest skuteczne tylko czasami, może utrwalać się jeszcze mocniej</w:t>
            </w:r>
          </w:p>
          <w:p>
            <w:pPr>
              <w:pStyle w:val="ListBullet"/>
              <w:spacing w:before="0" w:after="0" w:line="252" w:lineRule="auto"/>
            </w:pPr>
            <w:r>
              <w:rPr>
                <w:color w:val="27323A"/>
                <w:sz w:val="20"/>
              </w:rPr>
              <w:t>jeżeli świt łączy się z konfliktem lub wycofaniem w dzień, nie redukuj wszystkiego do „głodu”</w:t>
            </w:r>
          </w:p>
        </w:tc>
      </w:tr>
    </w:tbl>
    <w:p/>
    <w:p>
      <w:pPr>
        <w:spacing w:before="140" w:after="80" w:line="252" w:lineRule="auto"/>
      </w:pPr>
      <w:r>
        <w:rPr>
          <w:rFonts w:ascii="Aptos Display" w:hAnsi="Aptos Display"/>
          <w:b/>
          <w:color w:val="27495A"/>
          <w:sz w:val="41"/>
        </w:rPr>
        <w:t>Powód 1 i 2: nawyk oraz rytm dnia</w:t>
      </w:r>
    </w:p>
    <w:p>
      <w:pPr>
        <w:spacing w:before="0" w:after="120" w:line="283" w:lineRule="auto"/>
      </w:pPr>
      <w:r>
        <w:rPr>
          <w:color w:val="27323A"/>
          <w:sz w:val="21"/>
        </w:rPr>
        <w:t>Poranne miauczenie bardzo często staje się zachowaniem skutecznym. Dla jednego kota nagrodą będzie mokra karma, dla innego samo wstanie człowieka, ruch po domu, rozmowa albo otwarcie drzwi. Równolegle wiele kotów ma źle ułożony wieczór: za mało sensownej aktywności, za wczesny ostatni posiłek i brak rytuału, który wygasza pobudzenie przed snem.</w:t>
      </w:r>
    </w:p>
    <w:tbl>
      <w:tblPr>
        <w:tblStyle w:val="TableGrid"/>
        <w:tblW w:type="auto" w:w="0"/>
        <w:jc w:val="center"/>
        <w:tblLook w:firstColumn="1" w:firstRow="1" w:lastColumn="0" w:lastRow="0" w:noHBand="0" w:noVBand="1" w:val="04A0"/>
      </w:tblPr>
      <w:tblGrid>
        <w:gridCol w:w="5100"/>
        <w:gridCol w:w="5100"/>
      </w:tblGrid>
      <w:tr>
        <w:tc>
          <w:tcPr>
            <w:tcW w:type="dxa" w:w="3572"/>
            <w:shd w:fill="DFEAF3"/>
            <w:tcMar>
              <w:top w:w="120" w:type="dxa"/>
              <w:start w:w="120" w:type="dxa"/>
              <w:bottom w:w="120" w:type="dxa"/>
              <w:end w:w="120" w:type="dxa"/>
            </w:tcMar>
            <w:vAlign w:val="center"/>
          </w:tcPr>
          <w:p>
            <w:pPr>
              <w:jc w:val="center"/>
            </w:pPr>
            <w:r>
              <w:rPr>
                <w:b/>
                <w:color w:val="27495A"/>
                <w:sz w:val="19"/>
              </w:rPr>
              <w:t>Reakcja człowieka</w:t>
            </w:r>
          </w:p>
        </w:tc>
        <w:tc>
          <w:tcPr>
            <w:tcW w:type="dxa" w:w="5272"/>
            <w:shd w:fill="DFEAF3"/>
            <w:tcMar>
              <w:top w:w="120" w:type="dxa"/>
              <w:start w:w="120" w:type="dxa"/>
              <w:bottom w:w="120" w:type="dxa"/>
              <w:end w:w="120" w:type="dxa"/>
            </w:tcMar>
            <w:vAlign w:val="center"/>
          </w:tcPr>
          <w:p>
            <w:pPr>
              <w:jc w:val="center"/>
            </w:pPr>
            <w:r>
              <w:rPr>
                <w:b/>
                <w:color w:val="27495A"/>
                <w:sz w:val="19"/>
              </w:rPr>
              <w:t>Dlaczego wzmacnia schemat</w:t>
            </w:r>
          </w:p>
        </w:tc>
      </w:tr>
      <w:tr>
        <w:tc>
          <w:tcPr>
            <w:tcW w:type="dxa" w:w="3572"/>
            <w:shd w:fill="F4F5F7"/>
            <w:tcMar>
              <w:top w:w="115" w:type="dxa"/>
              <w:start w:w="120" w:type="dxa"/>
              <w:bottom w:w="115" w:type="dxa"/>
              <w:end w:w="120" w:type="dxa"/>
            </w:tcMar>
            <w:vAlign w:val="center"/>
          </w:tcPr>
          <w:p>
            <w:pPr>
              <w:jc w:val="center"/>
            </w:pPr>
            <w:r>
              <w:rPr>
                <w:color w:val="27323A"/>
                <w:sz w:val="18"/>
              </w:rPr>
              <w:t>„Cicho, idź spać”</w:t>
            </w:r>
          </w:p>
        </w:tc>
        <w:tc>
          <w:tcPr>
            <w:tcW w:type="dxa" w:w="5272"/>
            <w:shd w:fill="F8EEF3"/>
            <w:tcMar>
              <w:top w:w="115" w:type="dxa"/>
              <w:start w:w="120" w:type="dxa"/>
              <w:bottom w:w="115" w:type="dxa"/>
              <w:end w:w="120" w:type="dxa"/>
            </w:tcMar>
            <w:vAlign w:val="center"/>
          </w:tcPr>
          <w:p>
            <w:pPr>
              <w:jc w:val="left"/>
            </w:pPr>
            <w:r>
              <w:rPr>
                <w:color w:val="27323A"/>
                <w:sz w:val="18"/>
              </w:rPr>
              <w:t>kot dostaje uwagę i informację, że dźwięk uruchamia kontakt</w:t>
            </w:r>
          </w:p>
        </w:tc>
      </w:tr>
      <w:tr>
        <w:tc>
          <w:tcPr>
            <w:tcW w:type="dxa" w:w="3572"/>
            <w:shd w:fill="F4F5F7"/>
            <w:tcMar>
              <w:top w:w="115" w:type="dxa"/>
              <w:start w:w="120" w:type="dxa"/>
              <w:bottom w:w="115" w:type="dxa"/>
              <w:end w:w="120" w:type="dxa"/>
            </w:tcMar>
            <w:vAlign w:val="center"/>
          </w:tcPr>
          <w:p>
            <w:pPr>
              <w:jc w:val="center"/>
            </w:pPr>
            <w:r>
              <w:rPr>
                <w:color w:val="27323A"/>
                <w:sz w:val="18"/>
              </w:rPr>
              <w:t>napełnienie miski „żeby ucichł”</w:t>
            </w:r>
          </w:p>
        </w:tc>
        <w:tc>
          <w:tcPr>
            <w:tcW w:type="dxa" w:w="5272"/>
            <w:shd w:fill="F8F1E5"/>
            <w:tcMar>
              <w:top w:w="115" w:type="dxa"/>
              <w:start w:w="120" w:type="dxa"/>
              <w:bottom w:w="115" w:type="dxa"/>
              <w:end w:w="120" w:type="dxa"/>
            </w:tcMar>
            <w:vAlign w:val="center"/>
          </w:tcPr>
          <w:p>
            <w:pPr>
              <w:jc w:val="left"/>
            </w:pPr>
            <w:r>
              <w:rPr>
                <w:color w:val="27323A"/>
                <w:sz w:val="18"/>
              </w:rPr>
              <w:t>poranna wokalizacja staje się skuteczną drogą do jedzenia</w:t>
            </w:r>
          </w:p>
        </w:tc>
      </w:tr>
      <w:tr>
        <w:tc>
          <w:tcPr>
            <w:tcW w:type="dxa" w:w="3572"/>
            <w:shd w:fill="F4F5F7"/>
            <w:tcMar>
              <w:top w:w="115" w:type="dxa"/>
              <w:start w:w="120" w:type="dxa"/>
              <w:bottom w:w="115" w:type="dxa"/>
              <w:end w:w="120" w:type="dxa"/>
            </w:tcMar>
            <w:vAlign w:val="center"/>
          </w:tcPr>
          <w:p>
            <w:pPr>
              <w:jc w:val="center"/>
            </w:pPr>
            <w:r>
              <w:rPr>
                <w:color w:val="27323A"/>
                <w:sz w:val="18"/>
              </w:rPr>
              <w:t>wstanie z łóżka lub spacer do kuchni</w:t>
            </w:r>
          </w:p>
        </w:tc>
        <w:tc>
          <w:tcPr>
            <w:tcW w:type="dxa" w:w="5272"/>
            <w:shd w:fill="EEF5EF"/>
            <w:tcMar>
              <w:top w:w="115" w:type="dxa"/>
              <w:start w:w="120" w:type="dxa"/>
              <w:bottom w:w="115" w:type="dxa"/>
              <w:end w:w="120" w:type="dxa"/>
            </w:tcMar>
            <w:vAlign w:val="center"/>
          </w:tcPr>
          <w:p>
            <w:pPr>
              <w:jc w:val="left"/>
            </w:pPr>
            <w:r>
              <w:rPr>
                <w:color w:val="27323A"/>
                <w:sz w:val="18"/>
              </w:rPr>
              <w:t>sam ruch człowieka może być dla kota bardzo nagradzający</w:t>
            </w:r>
          </w:p>
        </w:tc>
      </w:tr>
      <w:tr>
        <w:tc>
          <w:tcPr>
            <w:tcW w:type="dxa" w:w="3572"/>
            <w:shd w:fill="F4F5F7"/>
            <w:tcMar>
              <w:top w:w="115" w:type="dxa"/>
              <w:start w:w="120" w:type="dxa"/>
              <w:bottom w:w="115" w:type="dxa"/>
              <w:end w:w="120" w:type="dxa"/>
            </w:tcMar>
            <w:vAlign w:val="center"/>
          </w:tcPr>
          <w:p>
            <w:pPr>
              <w:jc w:val="center"/>
            </w:pPr>
            <w:r>
              <w:rPr>
                <w:color w:val="27323A"/>
                <w:sz w:val="18"/>
              </w:rPr>
              <w:t>wpuszczenie do sypialni</w:t>
            </w:r>
          </w:p>
        </w:tc>
        <w:tc>
          <w:tcPr>
            <w:tcW w:type="dxa" w:w="5272"/>
            <w:shd w:fill="EEF4F8"/>
            <w:tcMar>
              <w:top w:w="115" w:type="dxa"/>
              <w:start w:w="120" w:type="dxa"/>
              <w:bottom w:w="115" w:type="dxa"/>
              <w:end w:w="120" w:type="dxa"/>
            </w:tcMar>
            <w:vAlign w:val="center"/>
          </w:tcPr>
          <w:p>
            <w:pPr>
              <w:jc w:val="left"/>
            </w:pPr>
            <w:r>
              <w:rPr>
                <w:color w:val="27323A"/>
                <w:sz w:val="18"/>
              </w:rPr>
              <w:t>kot uczy się, że świt otwiera dostęp do bliskości i ciepła</w:t>
            </w:r>
          </w:p>
        </w:tc>
      </w:tr>
    </w:tbl>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00"/>
      </w:tblGrid>
      <w:tr>
        <w:tc>
          <w:tcPr>
            <w:tcW w:type="dxa" w:w="10200"/>
            <w:shd w:fill="F8F1E5"/>
            <w:tcMar>
              <w:top w:w="140" w:type="dxa"/>
              <w:start w:w="150" w:type="dxa"/>
              <w:bottom w:w="120" w:type="dxa"/>
              <w:end w:w="150" w:type="dxa"/>
            </w:tcMar>
          </w:tcPr>
          <w:p>
            <w:r>
              <w:rPr>
                <w:b/>
                <w:color w:val="27495A"/>
                <w:sz w:val="22"/>
              </w:rPr>
              <w:t>Co zwykle daje najszybszą poprawę</w:t>
            </w:r>
          </w:p>
          <w:p>
            <w:pPr>
              <w:pStyle w:val="ListBullet"/>
              <w:spacing w:before="0" w:after="0" w:line="252" w:lineRule="auto"/>
            </w:pPr>
            <w:r>
              <w:rPr>
                <w:color w:val="27323A"/>
                <w:sz w:val="20"/>
              </w:rPr>
              <w:t>wieczorem lepsza jest krótka sekwencja łowiecka + posiłek + wyciszenie niż chaotyczne „zmęczenie kota”</w:t>
            </w:r>
          </w:p>
          <w:p>
            <w:pPr>
              <w:pStyle w:val="ListBullet"/>
              <w:spacing w:before="0" w:after="0" w:line="252" w:lineRule="auto"/>
            </w:pPr>
            <w:r>
              <w:rPr>
                <w:color w:val="27323A"/>
                <w:sz w:val="20"/>
              </w:rPr>
              <w:t>u części kotów pomaga mały posiłek automatyczny przed świtem, ale dopiero po ocenie całości rytmu dnia</w:t>
            </w:r>
          </w:p>
          <w:p>
            <w:pPr>
              <w:pStyle w:val="ListBullet"/>
              <w:spacing w:before="0" w:after="0" w:line="252" w:lineRule="auto"/>
            </w:pPr>
            <w:r>
              <w:rPr>
                <w:color w:val="27323A"/>
                <w:sz w:val="20"/>
              </w:rPr>
              <w:t>jeżeli różni domownicy reagują inaczej, kot uczy się próbować dłużej i głośniej</w:t>
            </w:r>
          </w:p>
        </w:tc>
      </w:tr>
    </w:tbl>
    <w:p/>
    <w:p>
      <w:pPr>
        <w:spacing w:before="140" w:after="80" w:line="252" w:lineRule="auto"/>
      </w:pPr>
      <w:r>
        <w:rPr>
          <w:rFonts w:ascii="Aptos Display" w:hAnsi="Aptos Display"/>
          <w:b/>
          <w:color w:val="27495A"/>
          <w:sz w:val="41"/>
        </w:rPr>
        <w:t>Powód 3 i 4: stres, nocna czujność oraz medycyna</w:t>
      </w:r>
    </w:p>
    <w:p>
      <w:pPr>
        <w:spacing w:before="0" w:after="120" w:line="283" w:lineRule="auto"/>
      </w:pPr>
      <w:r>
        <w:rPr>
          <w:color w:val="27323A"/>
          <w:sz w:val="21"/>
        </w:rPr>
        <w:t>Niektóre koty wokalizują nad ranem dlatego, że dopiero wtedy czują się wystarczająco bezpiecznie, by się poruszać, jeść albo szukać człowieka. Inne robią to dlatego, że noc uwydatnia ból, głód wtórny do choroby, nadciśnienie, nadczynność tarczycy albo dezorientację senioralną. Dlatego poranną wokalizację trzeba czytać w kontekście całego dnia, a nie tylko jednej godziny.</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00"/>
      </w:tblGrid>
      <w:tr>
        <w:tc>
          <w:tcPr>
            <w:tcW w:type="dxa" w:w="10200"/>
            <w:shd w:fill="F8EEF3"/>
            <w:tcMar>
              <w:top w:w="140" w:type="dxa"/>
              <w:start w:w="150" w:type="dxa"/>
              <w:bottom w:w="120" w:type="dxa"/>
              <w:end w:w="150" w:type="dxa"/>
            </w:tcMar>
          </w:tcPr>
          <w:p>
            <w:r>
              <w:rPr>
                <w:b/>
                <w:color w:val="27495A"/>
                <w:sz w:val="22"/>
              </w:rPr>
              <w:t>Czerwone flagi</w:t>
            </w:r>
          </w:p>
          <w:p>
            <w:pPr>
              <w:pStyle w:val="ListBullet"/>
              <w:spacing w:before="0" w:after="0" w:line="252" w:lineRule="auto"/>
            </w:pPr>
            <w:r>
              <w:rPr>
                <w:color w:val="27323A"/>
                <w:sz w:val="20"/>
              </w:rPr>
              <w:t>w domu wielokotowym patrz na blokowanie przejść, misek, drogi do sypialni i zmianę rytmu aktywności jednego kota</w:t>
            </w:r>
          </w:p>
          <w:p>
            <w:pPr>
              <w:pStyle w:val="ListBullet"/>
              <w:spacing w:before="0" w:after="0" w:line="252" w:lineRule="auto"/>
            </w:pPr>
            <w:r>
              <w:rPr>
                <w:color w:val="27323A"/>
                <w:sz w:val="20"/>
              </w:rPr>
              <w:t>u seniora zwracaj uwagę na dezorientację, patrzenie w ścianę, chudnięcie, większe pragnienie i zmianę jakości snu</w:t>
            </w:r>
          </w:p>
          <w:p>
            <w:pPr>
              <w:pStyle w:val="ListBullet"/>
              <w:spacing w:before="0" w:after="0" w:line="252" w:lineRule="auto"/>
            </w:pPr>
            <w:r>
              <w:rPr>
                <w:color w:val="27323A"/>
                <w:sz w:val="20"/>
              </w:rPr>
              <w:t>nagły początek, ból, zmiana apetytu lub aktywności dziennej to mocny argument za ścieżką medyczną</w:t>
            </w:r>
          </w:p>
        </w:tc>
      </w:tr>
    </w:tbl>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00"/>
      </w:tblGrid>
      <w:tr>
        <w:tc>
          <w:tcPr>
            <w:tcW w:type="dxa" w:w="10200"/>
            <w:shd w:fill="DFEAF3"/>
            <w:tcMar>
              <w:top w:w="150" w:type="dxa"/>
              <w:start w:w="170" w:type="dxa"/>
              <w:bottom w:w="150" w:type="dxa"/>
              <w:end w:w="170" w:type="dxa"/>
            </w:tcMar>
          </w:tcPr>
          <w:p>
            <w:r>
              <w:rPr>
                <w:b/>
                <w:color w:val="27495A"/>
                <w:sz w:val="22"/>
              </w:rPr>
              <w:t>Senior o świcie</w:t>
            </w:r>
          </w:p>
          <w:p>
            <w:pPr>
              <w:spacing w:before="40" w:after="0" w:line="276" w:lineRule="auto"/>
            </w:pPr>
            <w:r>
              <w:rPr>
                <w:color w:val="27323A"/>
                <w:sz w:val="20"/>
              </w:rPr>
              <w:t>U kota starszego poranna wokalizacja nie powinna być z góry traktowana jako „przyzwyczajenie”. Częściej trzeba pytać o ból zwyrodnieniowy, nadczynność tarczycy, nadciśnienie, pogorszenie widzenia lub słuchu oraz zmiany poznawcze.</w:t>
            </w:r>
          </w:p>
        </w:tc>
      </w:tr>
    </w:tbl>
    <w:p/>
    <w:p>
      <w:r>
        <w:br w:type="page"/>
      </w:r>
    </w:p>
    <w:p>
      <w:pPr>
        <w:spacing w:before="140" w:after="80" w:line="252" w:lineRule="auto"/>
      </w:pPr>
      <w:r>
        <w:rPr>
          <w:rFonts w:ascii="Aptos Display" w:hAnsi="Aptos Display"/>
          <w:b/>
          <w:color w:val="27495A"/>
          <w:sz w:val="41"/>
        </w:rPr>
        <w:t>Obserwacja 7 dni</w:t>
      </w:r>
    </w:p>
    <w:p>
      <w:pPr>
        <w:spacing w:before="0" w:after="120" w:line="283" w:lineRule="auto"/>
      </w:pPr>
      <w:r>
        <w:rPr>
          <w:color w:val="27323A"/>
          <w:sz w:val="21"/>
        </w:rPr>
        <w:t>Ten PDF działa najlepiej wtedy, gdy przez tydzień zbierzesz prosty materiał obserwacyjny. Interesuje Cię nie tylko godzina, lecz także sekwencja: czy kot najpierw krąży, idzie do miski, zaczepia człowieka, wraca pod drzwi czy reaguje na drugiego kota.</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1247"/>
            <w:shd w:fill="DFEAF3"/>
            <w:tcMar>
              <w:top w:w="120" w:type="dxa"/>
              <w:start w:w="120" w:type="dxa"/>
              <w:bottom w:w="120" w:type="dxa"/>
              <w:end w:w="120" w:type="dxa"/>
            </w:tcMar>
          </w:tcPr>
          <w:p>
            <w:pPr>
              <w:jc w:val="center"/>
            </w:pPr>
            <w:r>
              <w:rPr>
                <w:b/>
                <w:color w:val="27495A"/>
                <w:sz w:val="18"/>
              </w:rPr>
              <w:t>Dzień</w:t>
            </w:r>
          </w:p>
        </w:tc>
        <w:tc>
          <w:tcPr>
            <w:tcW w:type="dxa" w:w="2381"/>
            <w:shd w:fill="DFEAF3"/>
            <w:tcMar>
              <w:top w:w="120" w:type="dxa"/>
              <w:start w:w="120" w:type="dxa"/>
              <w:bottom w:w="120" w:type="dxa"/>
              <w:end w:w="120" w:type="dxa"/>
            </w:tcMar>
          </w:tcPr>
          <w:p>
            <w:pPr>
              <w:jc w:val="center"/>
            </w:pPr>
            <w:r>
              <w:rPr>
                <w:b/>
                <w:color w:val="27495A"/>
                <w:sz w:val="18"/>
              </w:rPr>
              <w:t>Godzina pierwszej wokalizacji</w:t>
            </w:r>
          </w:p>
        </w:tc>
        <w:tc>
          <w:tcPr>
            <w:tcW w:type="dxa" w:w="2494"/>
            <w:shd w:fill="DFEAF3"/>
            <w:tcMar>
              <w:top w:w="120" w:type="dxa"/>
              <w:start w:w="120" w:type="dxa"/>
              <w:bottom w:w="120" w:type="dxa"/>
              <w:end w:w="120" w:type="dxa"/>
            </w:tcMar>
          </w:tcPr>
          <w:p>
            <w:pPr>
              <w:jc w:val="center"/>
            </w:pPr>
            <w:r>
              <w:rPr>
                <w:b/>
                <w:color w:val="27495A"/>
                <w:sz w:val="18"/>
              </w:rPr>
              <w:t>Co zrobił człowiek</w:t>
            </w:r>
          </w:p>
        </w:tc>
        <w:tc>
          <w:tcPr>
            <w:tcW w:type="dxa" w:w="3402"/>
            <w:shd w:fill="DFEAF3"/>
            <w:tcMar>
              <w:top w:w="120" w:type="dxa"/>
              <w:start w:w="120" w:type="dxa"/>
              <w:bottom w:w="120" w:type="dxa"/>
              <w:end w:w="120" w:type="dxa"/>
            </w:tcMar>
          </w:tcPr>
          <w:p>
            <w:pPr>
              <w:jc w:val="center"/>
            </w:pPr>
            <w:r>
              <w:rPr>
                <w:b/>
                <w:color w:val="27495A"/>
                <w:sz w:val="18"/>
              </w:rPr>
              <w:t>Co mogło poprzedzać epizod</w:t>
            </w:r>
          </w:p>
        </w:tc>
      </w:tr>
      <w:tr>
        <w:tc>
          <w:tcPr>
            <w:tcW w:type="dxa" w:w="1247"/>
            <w:tcMar>
              <w:top w:w="170" w:type="dxa"/>
              <w:start w:w="120" w:type="dxa"/>
              <w:bottom w:w="170" w:type="dxa"/>
              <w:end w:w="120" w:type="dxa"/>
            </w:tcMar>
            <w:shd w:fill="F4F5F7"/>
            <w:vAlign w:val="center"/>
          </w:tcPr>
          <w:p/>
        </w:tc>
        <w:tc>
          <w:tcPr>
            <w:tcW w:type="dxa" w:w="2381"/>
            <w:tcMar>
              <w:top w:w="170" w:type="dxa"/>
              <w:start w:w="120" w:type="dxa"/>
              <w:bottom w:w="170" w:type="dxa"/>
              <w:end w:w="120" w:type="dxa"/>
            </w:tcMar>
            <w:vAlign w:val="center"/>
          </w:tcPr>
          <w:p/>
        </w:tc>
        <w:tc>
          <w:tcPr>
            <w:tcW w:type="dxa" w:w="2494"/>
            <w:tcMar>
              <w:top w:w="170" w:type="dxa"/>
              <w:start w:w="120" w:type="dxa"/>
              <w:bottom w:w="170" w:type="dxa"/>
              <w:end w:w="120" w:type="dxa"/>
            </w:tcMar>
            <w:vAlign w:val="center"/>
          </w:tcPr>
          <w:p/>
        </w:tc>
        <w:tc>
          <w:tcPr>
            <w:tcW w:type="dxa" w:w="3402"/>
            <w:tcMar>
              <w:top w:w="170" w:type="dxa"/>
              <w:start w:w="120" w:type="dxa"/>
              <w:bottom w:w="170" w:type="dxa"/>
              <w:end w:w="120" w:type="dxa"/>
            </w:tcMar>
            <w:vAlign w:val="center"/>
          </w:tcPr>
          <w:p/>
        </w:tc>
      </w:tr>
      <w:tr>
        <w:tc>
          <w:tcPr>
            <w:tcW w:type="dxa" w:w="1247"/>
            <w:tcMar>
              <w:top w:w="170" w:type="dxa"/>
              <w:start w:w="120" w:type="dxa"/>
              <w:bottom w:w="170" w:type="dxa"/>
              <w:end w:w="120" w:type="dxa"/>
            </w:tcMar>
            <w:shd w:fill="F4F5F7"/>
            <w:vAlign w:val="center"/>
          </w:tcPr>
          <w:p/>
        </w:tc>
        <w:tc>
          <w:tcPr>
            <w:tcW w:type="dxa" w:w="2381"/>
            <w:tcMar>
              <w:top w:w="170" w:type="dxa"/>
              <w:start w:w="120" w:type="dxa"/>
              <w:bottom w:w="170" w:type="dxa"/>
              <w:end w:w="120" w:type="dxa"/>
            </w:tcMar>
            <w:vAlign w:val="center"/>
          </w:tcPr>
          <w:p/>
        </w:tc>
        <w:tc>
          <w:tcPr>
            <w:tcW w:type="dxa" w:w="2494"/>
            <w:tcMar>
              <w:top w:w="170" w:type="dxa"/>
              <w:start w:w="120" w:type="dxa"/>
              <w:bottom w:w="170" w:type="dxa"/>
              <w:end w:w="120" w:type="dxa"/>
            </w:tcMar>
            <w:vAlign w:val="center"/>
          </w:tcPr>
          <w:p/>
        </w:tc>
        <w:tc>
          <w:tcPr>
            <w:tcW w:type="dxa" w:w="3402"/>
            <w:tcMar>
              <w:top w:w="170" w:type="dxa"/>
              <w:start w:w="120" w:type="dxa"/>
              <w:bottom w:w="170" w:type="dxa"/>
              <w:end w:w="120" w:type="dxa"/>
            </w:tcMar>
            <w:vAlign w:val="center"/>
          </w:tcPr>
          <w:p/>
        </w:tc>
      </w:tr>
      <w:tr>
        <w:tc>
          <w:tcPr>
            <w:tcW w:type="dxa" w:w="1247"/>
            <w:tcMar>
              <w:top w:w="170" w:type="dxa"/>
              <w:start w:w="120" w:type="dxa"/>
              <w:bottom w:w="170" w:type="dxa"/>
              <w:end w:w="120" w:type="dxa"/>
            </w:tcMar>
            <w:shd w:fill="F4F5F7"/>
            <w:vAlign w:val="center"/>
          </w:tcPr>
          <w:p/>
        </w:tc>
        <w:tc>
          <w:tcPr>
            <w:tcW w:type="dxa" w:w="2381"/>
            <w:tcMar>
              <w:top w:w="170" w:type="dxa"/>
              <w:start w:w="120" w:type="dxa"/>
              <w:bottom w:w="170" w:type="dxa"/>
              <w:end w:w="120" w:type="dxa"/>
            </w:tcMar>
            <w:vAlign w:val="center"/>
          </w:tcPr>
          <w:p/>
        </w:tc>
        <w:tc>
          <w:tcPr>
            <w:tcW w:type="dxa" w:w="2494"/>
            <w:tcMar>
              <w:top w:w="170" w:type="dxa"/>
              <w:start w:w="120" w:type="dxa"/>
              <w:bottom w:w="170" w:type="dxa"/>
              <w:end w:w="120" w:type="dxa"/>
            </w:tcMar>
            <w:vAlign w:val="center"/>
          </w:tcPr>
          <w:p/>
        </w:tc>
        <w:tc>
          <w:tcPr>
            <w:tcW w:type="dxa" w:w="3402"/>
            <w:tcMar>
              <w:top w:w="170" w:type="dxa"/>
              <w:start w:w="120" w:type="dxa"/>
              <w:bottom w:w="170" w:type="dxa"/>
              <w:end w:w="120" w:type="dxa"/>
            </w:tcMar>
            <w:vAlign w:val="center"/>
          </w:tcPr>
          <w:p/>
        </w:tc>
      </w:tr>
      <w:tr>
        <w:tc>
          <w:tcPr>
            <w:tcW w:type="dxa" w:w="1247"/>
            <w:tcMar>
              <w:top w:w="170" w:type="dxa"/>
              <w:start w:w="120" w:type="dxa"/>
              <w:bottom w:w="170" w:type="dxa"/>
              <w:end w:w="120" w:type="dxa"/>
            </w:tcMar>
            <w:shd w:fill="F4F5F7"/>
            <w:vAlign w:val="center"/>
          </w:tcPr>
          <w:p/>
        </w:tc>
        <w:tc>
          <w:tcPr>
            <w:tcW w:type="dxa" w:w="2381"/>
            <w:tcMar>
              <w:top w:w="170" w:type="dxa"/>
              <w:start w:w="120" w:type="dxa"/>
              <w:bottom w:w="170" w:type="dxa"/>
              <w:end w:w="120" w:type="dxa"/>
            </w:tcMar>
            <w:vAlign w:val="center"/>
          </w:tcPr>
          <w:p/>
        </w:tc>
        <w:tc>
          <w:tcPr>
            <w:tcW w:type="dxa" w:w="2494"/>
            <w:tcMar>
              <w:top w:w="170" w:type="dxa"/>
              <w:start w:w="120" w:type="dxa"/>
              <w:bottom w:w="170" w:type="dxa"/>
              <w:end w:w="120" w:type="dxa"/>
            </w:tcMar>
            <w:vAlign w:val="center"/>
          </w:tcPr>
          <w:p/>
        </w:tc>
        <w:tc>
          <w:tcPr>
            <w:tcW w:type="dxa" w:w="3402"/>
            <w:tcMar>
              <w:top w:w="170" w:type="dxa"/>
              <w:start w:w="120" w:type="dxa"/>
              <w:bottom w:w="170" w:type="dxa"/>
              <w:end w:w="120" w:type="dxa"/>
            </w:tcMar>
            <w:vAlign w:val="center"/>
          </w:tcPr>
          <w:p/>
        </w:tc>
      </w:tr>
      <w:tr>
        <w:tc>
          <w:tcPr>
            <w:tcW w:type="dxa" w:w="1247"/>
            <w:tcMar>
              <w:top w:w="170" w:type="dxa"/>
              <w:start w:w="120" w:type="dxa"/>
              <w:bottom w:w="170" w:type="dxa"/>
              <w:end w:w="120" w:type="dxa"/>
            </w:tcMar>
            <w:shd w:fill="F4F5F7"/>
            <w:vAlign w:val="center"/>
          </w:tcPr>
          <w:p/>
        </w:tc>
        <w:tc>
          <w:tcPr>
            <w:tcW w:type="dxa" w:w="2381"/>
            <w:tcMar>
              <w:top w:w="170" w:type="dxa"/>
              <w:start w:w="120" w:type="dxa"/>
              <w:bottom w:w="170" w:type="dxa"/>
              <w:end w:w="120" w:type="dxa"/>
            </w:tcMar>
            <w:vAlign w:val="center"/>
          </w:tcPr>
          <w:p/>
        </w:tc>
        <w:tc>
          <w:tcPr>
            <w:tcW w:type="dxa" w:w="2494"/>
            <w:tcMar>
              <w:top w:w="170" w:type="dxa"/>
              <w:start w:w="120" w:type="dxa"/>
              <w:bottom w:w="170" w:type="dxa"/>
              <w:end w:w="120" w:type="dxa"/>
            </w:tcMar>
            <w:vAlign w:val="center"/>
          </w:tcPr>
          <w:p/>
        </w:tc>
        <w:tc>
          <w:tcPr>
            <w:tcW w:type="dxa" w:w="3402"/>
            <w:tcMar>
              <w:top w:w="170" w:type="dxa"/>
              <w:start w:w="120" w:type="dxa"/>
              <w:bottom w:w="170" w:type="dxa"/>
              <w:end w:w="120" w:type="dxa"/>
            </w:tcMar>
            <w:vAlign w:val="center"/>
          </w:tcPr>
          <w:p/>
        </w:tc>
      </w:tr>
      <w:tr>
        <w:tc>
          <w:tcPr>
            <w:tcW w:type="dxa" w:w="1247"/>
            <w:tcMar>
              <w:top w:w="170" w:type="dxa"/>
              <w:start w:w="120" w:type="dxa"/>
              <w:bottom w:w="170" w:type="dxa"/>
              <w:end w:w="120" w:type="dxa"/>
            </w:tcMar>
            <w:shd w:fill="F4F5F7"/>
            <w:vAlign w:val="center"/>
          </w:tcPr>
          <w:p/>
        </w:tc>
        <w:tc>
          <w:tcPr>
            <w:tcW w:type="dxa" w:w="2381"/>
            <w:tcMar>
              <w:top w:w="170" w:type="dxa"/>
              <w:start w:w="120" w:type="dxa"/>
              <w:bottom w:w="170" w:type="dxa"/>
              <w:end w:w="120" w:type="dxa"/>
            </w:tcMar>
            <w:vAlign w:val="center"/>
          </w:tcPr>
          <w:p/>
        </w:tc>
        <w:tc>
          <w:tcPr>
            <w:tcW w:type="dxa" w:w="2494"/>
            <w:tcMar>
              <w:top w:w="170" w:type="dxa"/>
              <w:start w:w="120" w:type="dxa"/>
              <w:bottom w:w="170" w:type="dxa"/>
              <w:end w:w="120" w:type="dxa"/>
            </w:tcMar>
            <w:vAlign w:val="center"/>
          </w:tcPr>
          <w:p/>
        </w:tc>
        <w:tc>
          <w:tcPr>
            <w:tcW w:type="dxa" w:w="3402"/>
            <w:tcMar>
              <w:top w:w="170" w:type="dxa"/>
              <w:start w:w="120" w:type="dxa"/>
              <w:bottom w:w="170" w:type="dxa"/>
              <w:end w:w="120" w:type="dxa"/>
            </w:tcMar>
            <w:vAlign w:val="center"/>
          </w:tcPr>
          <w:p/>
        </w:tc>
      </w:tr>
      <w:tr>
        <w:tc>
          <w:tcPr>
            <w:tcW w:type="dxa" w:w="1247"/>
            <w:tcMar>
              <w:top w:w="170" w:type="dxa"/>
              <w:start w:w="120" w:type="dxa"/>
              <w:bottom w:w="170" w:type="dxa"/>
              <w:end w:w="120" w:type="dxa"/>
            </w:tcMar>
            <w:shd w:fill="F4F5F7"/>
            <w:vAlign w:val="center"/>
          </w:tcPr>
          <w:p/>
        </w:tc>
        <w:tc>
          <w:tcPr>
            <w:tcW w:type="dxa" w:w="2381"/>
            <w:tcMar>
              <w:top w:w="170" w:type="dxa"/>
              <w:start w:w="120" w:type="dxa"/>
              <w:bottom w:w="170" w:type="dxa"/>
              <w:end w:w="120" w:type="dxa"/>
            </w:tcMar>
            <w:vAlign w:val="center"/>
          </w:tcPr>
          <w:p/>
        </w:tc>
        <w:tc>
          <w:tcPr>
            <w:tcW w:type="dxa" w:w="2494"/>
            <w:tcMar>
              <w:top w:w="170" w:type="dxa"/>
              <w:start w:w="120" w:type="dxa"/>
              <w:bottom w:w="170" w:type="dxa"/>
              <w:end w:w="120" w:type="dxa"/>
            </w:tcMar>
            <w:vAlign w:val="center"/>
          </w:tcPr>
          <w:p/>
        </w:tc>
        <w:tc>
          <w:tcPr>
            <w:tcW w:type="dxa" w:w="3402"/>
            <w:tcMar>
              <w:top w:w="170" w:type="dxa"/>
              <w:start w:w="120" w:type="dxa"/>
              <w:bottom w:w="170" w:type="dxa"/>
              <w:end w:w="120" w:type="dxa"/>
            </w:tcMar>
            <w:vAlign w:val="center"/>
          </w:tcPr>
          <w:p/>
        </w:tc>
      </w:tr>
    </w:tbl>
    <w:p/>
    <w:p>
      <w:pPr>
        <w:spacing w:before="140" w:after="60" w:line="252" w:lineRule="auto"/>
      </w:pPr>
      <w:r>
        <w:rPr>
          <w:rFonts w:ascii="Aptos Display" w:hAnsi="Aptos Display"/>
          <w:b/>
          <w:color w:val="27495A"/>
          <w:sz w:val="28"/>
        </w:rPr>
        <w:t>Na co patrzeć podczas tygodnia obserwacji</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00"/>
      </w:tblGrid>
      <w:tr>
        <w:tc>
          <w:tcPr>
            <w:tcW w:type="dxa" w:w="10200"/>
            <w:shd w:fill="EEF5EF"/>
            <w:tcMar>
              <w:top w:w="140" w:type="dxa"/>
              <w:start w:w="150" w:type="dxa"/>
              <w:bottom w:w="120" w:type="dxa"/>
              <w:end w:w="150" w:type="dxa"/>
            </w:tcMar>
          </w:tcPr>
          <w:p>
            <w:r>
              <w:rPr>
                <w:b/>
                <w:color w:val="27495A"/>
                <w:sz w:val="22"/>
              </w:rPr>
              <w:t>Cztery pytania kontrolne</w:t>
            </w:r>
          </w:p>
          <w:p>
            <w:pPr>
              <w:pStyle w:val="ListBullet"/>
              <w:spacing w:before="0" w:after="0" w:line="252" w:lineRule="auto"/>
            </w:pPr>
            <w:r>
              <w:rPr>
                <w:color w:val="27323A"/>
                <w:sz w:val="20"/>
              </w:rPr>
              <w:t>czy problem nasila się w weekendy albo po gorszej nocy człowieka</w:t>
            </w:r>
          </w:p>
          <w:p>
            <w:pPr>
              <w:pStyle w:val="ListBullet"/>
              <w:spacing w:before="0" w:after="0" w:line="252" w:lineRule="auto"/>
            </w:pPr>
            <w:r>
              <w:rPr>
                <w:color w:val="27323A"/>
                <w:sz w:val="20"/>
              </w:rPr>
              <w:t>czy wokalizacja pojawia się przed jedzeniem, po jedzeniu czy niezależnie od miski</w:t>
            </w:r>
          </w:p>
          <w:p>
            <w:pPr>
              <w:pStyle w:val="ListBullet"/>
              <w:spacing w:before="0" w:after="0" w:line="252" w:lineRule="auto"/>
            </w:pPr>
            <w:r>
              <w:rPr>
                <w:color w:val="27323A"/>
                <w:sz w:val="20"/>
              </w:rPr>
              <w:t>czy kot śpi w dzień więcej niż dawniej albo funkcjonuje głównie nocą</w:t>
            </w:r>
          </w:p>
          <w:p>
            <w:pPr>
              <w:pStyle w:val="ListBullet"/>
              <w:spacing w:before="0" w:after="0" w:line="252" w:lineRule="auto"/>
            </w:pPr>
            <w:r>
              <w:rPr>
                <w:color w:val="27323A"/>
                <w:sz w:val="20"/>
              </w:rPr>
              <w:t>czy w tle są wycofanie, konflikt, problemy kuwetowe albo inne zmiany biologiczne</w:t>
            </w:r>
          </w:p>
        </w:tc>
      </w:tr>
    </w:tbl>
    <w:p/>
    <w:p>
      <w:pPr>
        <w:spacing w:before="140" w:after="80" w:line="252" w:lineRule="auto"/>
      </w:pPr>
      <w:r>
        <w:rPr>
          <w:rFonts w:ascii="Aptos Display" w:hAnsi="Aptos Display"/>
          <w:b/>
          <w:color w:val="27495A"/>
          <w:sz w:val="41"/>
        </w:rPr>
        <w:t>Plan naprawczy na 14 dni</w:t>
      </w:r>
    </w:p>
    <w:tbl>
      <w:tblPr>
        <w:tblStyle w:val="TableGrid"/>
        <w:tblW w:type="auto" w:w="0"/>
        <w:jc w:val="center"/>
        <w:tblLook w:firstColumn="1" w:firstRow="1" w:lastColumn="0" w:lastRow="0" w:noHBand="0" w:noVBand="1" w:val="04A0"/>
      </w:tblPr>
      <w:tblGrid>
        <w:gridCol w:w="3400"/>
        <w:gridCol w:w="3400"/>
        <w:gridCol w:w="3400"/>
      </w:tblGrid>
      <w:tr>
        <w:tc>
          <w:tcPr>
            <w:tcW w:type="dxa" w:w="1417"/>
            <w:shd w:fill="DFEAF3"/>
            <w:tcMar>
              <w:top w:w="120" w:type="dxa"/>
              <w:start w:w="120" w:type="dxa"/>
              <w:bottom w:w="120" w:type="dxa"/>
              <w:end w:w="120" w:type="dxa"/>
            </w:tcMar>
            <w:vAlign w:val="center"/>
          </w:tcPr>
          <w:p>
            <w:pPr>
              <w:jc w:val="center"/>
            </w:pPr>
            <w:r>
              <w:rPr>
                <w:b/>
                <w:color w:val="27495A"/>
                <w:sz w:val="18"/>
              </w:rPr>
              <w:t>Etap</w:t>
            </w:r>
          </w:p>
        </w:tc>
        <w:tc>
          <w:tcPr>
            <w:tcW w:type="dxa" w:w="4876"/>
            <w:shd w:fill="DFEAF3"/>
            <w:tcMar>
              <w:top w:w="120" w:type="dxa"/>
              <w:start w:w="120" w:type="dxa"/>
              <w:bottom w:w="120" w:type="dxa"/>
              <w:end w:w="120" w:type="dxa"/>
            </w:tcMar>
            <w:vAlign w:val="center"/>
          </w:tcPr>
          <w:p>
            <w:pPr>
              <w:jc w:val="center"/>
            </w:pPr>
            <w:r>
              <w:rPr>
                <w:b/>
                <w:color w:val="27495A"/>
                <w:sz w:val="18"/>
              </w:rPr>
              <w:t>Co robisz</w:t>
            </w:r>
          </w:p>
        </w:tc>
        <w:tc>
          <w:tcPr>
            <w:tcW w:type="dxa" w:w="2551"/>
            <w:shd w:fill="DFEAF3"/>
            <w:tcMar>
              <w:top w:w="120" w:type="dxa"/>
              <w:start w:w="120" w:type="dxa"/>
              <w:bottom w:w="120" w:type="dxa"/>
              <w:end w:w="120" w:type="dxa"/>
            </w:tcMar>
            <w:vAlign w:val="center"/>
          </w:tcPr>
          <w:p>
            <w:pPr>
              <w:jc w:val="center"/>
            </w:pPr>
            <w:r>
              <w:rPr>
                <w:b/>
                <w:color w:val="27495A"/>
                <w:sz w:val="18"/>
              </w:rPr>
              <w:t>Po co</w:t>
            </w:r>
          </w:p>
        </w:tc>
      </w:tr>
      <w:tr>
        <w:tc>
          <w:tcPr>
            <w:tcW w:type="dxa" w:w="1417"/>
            <w:shd w:fill="F4F5F7"/>
            <w:tcMar>
              <w:top w:w="115" w:type="dxa"/>
              <w:start w:w="120" w:type="dxa"/>
              <w:bottom w:w="115" w:type="dxa"/>
              <w:end w:w="120" w:type="dxa"/>
            </w:tcMar>
            <w:vAlign w:val="center"/>
          </w:tcPr>
          <w:p>
            <w:pPr>
              <w:jc w:val="center"/>
            </w:pPr>
            <w:r>
              <w:rPr>
                <w:color w:val="27323A"/>
                <w:sz w:val="18"/>
              </w:rPr>
              <w:t>Dni 1-3</w:t>
            </w:r>
          </w:p>
        </w:tc>
        <w:tc>
          <w:tcPr>
            <w:tcW w:type="dxa" w:w="4876"/>
            <w:shd w:fill="EEF4F8"/>
            <w:tcMar>
              <w:top w:w="115" w:type="dxa"/>
              <w:start w:w="120" w:type="dxa"/>
              <w:bottom w:w="115" w:type="dxa"/>
              <w:end w:w="120" w:type="dxa"/>
            </w:tcMar>
            <w:vAlign w:val="center"/>
          </w:tcPr>
          <w:p>
            <w:pPr>
              <w:jc w:val="left"/>
            </w:pPr>
            <w:r>
              <w:rPr>
                <w:color w:val="27323A"/>
                <w:sz w:val="18"/>
              </w:rPr>
              <w:t>porządkujesz czerwone flagi, wieczorną rutynę i reakcje domowników</w:t>
            </w:r>
          </w:p>
        </w:tc>
        <w:tc>
          <w:tcPr>
            <w:tcW w:type="dxa" w:w="2551"/>
            <w:shd w:fill="EEF4F8"/>
            <w:tcMar>
              <w:top w:w="115" w:type="dxa"/>
              <w:start w:w="120" w:type="dxa"/>
              <w:bottom w:w="115" w:type="dxa"/>
              <w:end w:w="120" w:type="dxa"/>
            </w:tcMar>
            <w:vAlign w:val="center"/>
          </w:tcPr>
          <w:p>
            <w:pPr>
              <w:jc w:val="left"/>
            </w:pPr>
            <w:r>
              <w:rPr>
                <w:color w:val="27323A"/>
                <w:sz w:val="18"/>
              </w:rPr>
              <w:t>przestać dokładać chaosu i przypadkowych wzmocnień</w:t>
            </w:r>
          </w:p>
        </w:tc>
      </w:tr>
      <w:tr>
        <w:tc>
          <w:tcPr>
            <w:tcW w:type="dxa" w:w="1417"/>
            <w:shd w:fill="F4F5F7"/>
            <w:tcMar>
              <w:top w:w="115" w:type="dxa"/>
              <w:start w:w="120" w:type="dxa"/>
              <w:bottom w:w="115" w:type="dxa"/>
              <w:end w:w="120" w:type="dxa"/>
            </w:tcMar>
            <w:vAlign w:val="center"/>
          </w:tcPr>
          <w:p>
            <w:pPr>
              <w:jc w:val="center"/>
            </w:pPr>
            <w:r>
              <w:rPr>
                <w:color w:val="27323A"/>
                <w:sz w:val="18"/>
              </w:rPr>
              <w:t>Dni 4-7</w:t>
            </w:r>
          </w:p>
        </w:tc>
        <w:tc>
          <w:tcPr>
            <w:tcW w:type="dxa" w:w="4876"/>
            <w:shd w:fill="EEF5EF"/>
            <w:tcMar>
              <w:top w:w="115" w:type="dxa"/>
              <w:start w:w="120" w:type="dxa"/>
              <w:bottom w:w="115" w:type="dxa"/>
              <w:end w:w="120" w:type="dxa"/>
            </w:tcMar>
            <w:vAlign w:val="center"/>
          </w:tcPr>
          <w:p>
            <w:pPr>
              <w:jc w:val="left"/>
            </w:pPr>
            <w:r>
              <w:rPr>
                <w:color w:val="27323A"/>
                <w:sz w:val="18"/>
              </w:rPr>
              <w:t>wdrażasz stały wieczorny rytuał aktywności, jedzenia i wygaszania bodźców</w:t>
            </w:r>
          </w:p>
        </w:tc>
        <w:tc>
          <w:tcPr>
            <w:tcW w:type="dxa" w:w="2551"/>
            <w:shd w:fill="EEF5EF"/>
            <w:tcMar>
              <w:top w:w="115" w:type="dxa"/>
              <w:start w:w="120" w:type="dxa"/>
              <w:bottom w:w="115" w:type="dxa"/>
              <w:end w:w="120" w:type="dxa"/>
            </w:tcMar>
            <w:vAlign w:val="center"/>
          </w:tcPr>
          <w:p>
            <w:pPr>
              <w:jc w:val="left"/>
            </w:pPr>
            <w:r>
              <w:rPr>
                <w:color w:val="27323A"/>
                <w:sz w:val="18"/>
              </w:rPr>
              <w:t>obniżyć biologiczne ciśnienie o świcie</w:t>
            </w:r>
          </w:p>
        </w:tc>
      </w:tr>
      <w:tr>
        <w:tc>
          <w:tcPr>
            <w:tcW w:type="dxa" w:w="1417"/>
            <w:shd w:fill="F4F5F7"/>
            <w:tcMar>
              <w:top w:w="115" w:type="dxa"/>
              <w:start w:w="120" w:type="dxa"/>
              <w:bottom w:w="115" w:type="dxa"/>
              <w:end w:w="120" w:type="dxa"/>
            </w:tcMar>
            <w:vAlign w:val="center"/>
          </w:tcPr>
          <w:p>
            <w:pPr>
              <w:jc w:val="center"/>
            </w:pPr>
            <w:r>
              <w:rPr>
                <w:color w:val="27323A"/>
                <w:sz w:val="18"/>
              </w:rPr>
              <w:t>Dni 8-10</w:t>
            </w:r>
          </w:p>
        </w:tc>
        <w:tc>
          <w:tcPr>
            <w:tcW w:type="dxa" w:w="4876"/>
            <w:shd w:fill="F8F1E5"/>
            <w:tcMar>
              <w:top w:w="115" w:type="dxa"/>
              <w:start w:w="120" w:type="dxa"/>
              <w:bottom w:w="115" w:type="dxa"/>
              <w:end w:w="120" w:type="dxa"/>
            </w:tcMar>
            <w:vAlign w:val="center"/>
          </w:tcPr>
          <w:p>
            <w:pPr>
              <w:jc w:val="left"/>
            </w:pPr>
            <w:r>
              <w:rPr>
                <w:color w:val="27323A"/>
                <w:sz w:val="18"/>
              </w:rPr>
              <w:t>pilnujesz spójności reakcji ludzi i oceniasz, czy świt nadal przynosi kotu zysk</w:t>
            </w:r>
          </w:p>
        </w:tc>
        <w:tc>
          <w:tcPr>
            <w:tcW w:type="dxa" w:w="2551"/>
            <w:shd w:fill="F8F1E5"/>
            <w:tcMar>
              <w:top w:w="115" w:type="dxa"/>
              <w:start w:w="120" w:type="dxa"/>
              <w:bottom w:w="115" w:type="dxa"/>
              <w:end w:w="120" w:type="dxa"/>
            </w:tcMar>
            <w:vAlign w:val="center"/>
          </w:tcPr>
          <w:p>
            <w:pPr>
              <w:jc w:val="left"/>
            </w:pPr>
            <w:r>
              <w:rPr>
                <w:color w:val="27323A"/>
                <w:sz w:val="18"/>
              </w:rPr>
              <w:t>zobaczyć, ile było w tym czystego nawyku</w:t>
            </w:r>
          </w:p>
        </w:tc>
      </w:tr>
      <w:tr>
        <w:tc>
          <w:tcPr>
            <w:tcW w:type="dxa" w:w="1417"/>
            <w:shd w:fill="F4F5F7"/>
            <w:tcMar>
              <w:top w:w="115" w:type="dxa"/>
              <w:start w:w="120" w:type="dxa"/>
              <w:bottom w:w="115" w:type="dxa"/>
              <w:end w:w="120" w:type="dxa"/>
            </w:tcMar>
            <w:vAlign w:val="center"/>
          </w:tcPr>
          <w:p>
            <w:pPr>
              <w:jc w:val="center"/>
            </w:pPr>
            <w:r>
              <w:rPr>
                <w:color w:val="27323A"/>
                <w:sz w:val="18"/>
              </w:rPr>
              <w:t>Dni 11-14</w:t>
            </w:r>
          </w:p>
        </w:tc>
        <w:tc>
          <w:tcPr>
            <w:tcW w:type="dxa" w:w="4876"/>
            <w:shd w:fill="F8EEF3"/>
            <w:tcMar>
              <w:top w:w="115" w:type="dxa"/>
              <w:start w:w="120" w:type="dxa"/>
              <w:bottom w:w="115" w:type="dxa"/>
              <w:end w:w="120" w:type="dxa"/>
            </w:tcMar>
            <w:vAlign w:val="center"/>
          </w:tcPr>
          <w:p>
            <w:pPr>
              <w:jc w:val="left"/>
            </w:pPr>
            <w:r>
              <w:rPr>
                <w:color w:val="27323A"/>
                <w:sz w:val="18"/>
              </w:rPr>
              <w:t>sprawdzasz, czy trzeba pogłębić ścieżkę: konflikt, senior, środowisko lub konsultacja</w:t>
            </w:r>
          </w:p>
        </w:tc>
        <w:tc>
          <w:tcPr>
            <w:tcW w:type="dxa" w:w="2551"/>
            <w:shd w:fill="F8EEF3"/>
            <w:tcMar>
              <w:top w:w="115" w:type="dxa"/>
              <w:start w:w="120" w:type="dxa"/>
              <w:bottom w:w="115" w:type="dxa"/>
              <w:end w:w="120" w:type="dxa"/>
            </w:tcMar>
            <w:vAlign w:val="center"/>
          </w:tcPr>
          <w:p>
            <w:pPr>
              <w:jc w:val="left"/>
            </w:pPr>
            <w:r>
              <w:rPr>
                <w:color w:val="27323A"/>
                <w:sz w:val="18"/>
              </w:rPr>
              <w:t>wybrać następny krok na podstawie danych</w:t>
            </w:r>
          </w:p>
        </w:tc>
      </w:tr>
    </w:tbl>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00"/>
      </w:tblGrid>
      <w:tr>
        <w:tc>
          <w:tcPr>
            <w:tcW w:type="dxa" w:w="10200"/>
            <w:shd w:fill="F8F1E5"/>
            <w:tcMar>
              <w:top w:w="150" w:type="dxa"/>
              <w:start w:w="170" w:type="dxa"/>
              <w:bottom w:w="150" w:type="dxa"/>
              <w:end w:w="170" w:type="dxa"/>
            </w:tcMar>
          </w:tcPr>
          <w:p>
            <w:r>
              <w:rPr>
                <w:b/>
                <w:color w:val="27495A"/>
                <w:sz w:val="22"/>
              </w:rPr>
              <w:t>Najczęstszy błąd</w:t>
            </w:r>
          </w:p>
          <w:p>
            <w:pPr>
              <w:spacing w:before="40" w:after="0" w:line="276" w:lineRule="auto"/>
            </w:pPr>
            <w:r>
              <w:rPr>
                <w:color w:val="27323A"/>
                <w:sz w:val="20"/>
              </w:rPr>
              <w:t>Wiele osób próbuje wygaszać poranne miauczenie, nie zmieniając nic w wieczorze, jedzeniu, napięciu środowiskowym ani spójności reakcji domowników. Wtedy kot dostaje tylko trudniejsze warunki, ale problem pozostaje logiczny z jego perspektywy.</w:t>
            </w:r>
          </w:p>
        </w:tc>
      </w:tr>
    </w:tbl>
    <w:p/>
    <w:p/>
    <w:p>
      <w:r>
        <w:rPr>
          <w:rFonts w:ascii="Georgia" w:hAnsi="Georgia"/>
          <w:b/>
          <w:color w:val="58456F"/>
          <w:sz w:val="32"/>
        </w:rPr>
        <w:t>Kiedy ten materiał zwykle wystarcza</w:t>
      </w:r>
    </w:p>
    <w:p>
      <w:r>
        <w:rPr>
          <w:rFonts w:ascii="Georgia" w:hAnsi="Georgia"/>
          <w:b w:val="0"/>
          <w:color w:val="24313A"/>
          <w:sz w:val="22"/>
        </w:rPr>
        <w:t>• zwykle wystarcza, jeśli problem jest czytelnie związany ze świtem, porą karmienia albo reakcją człowieka</w:t>
      </w:r>
    </w:p>
    <w:p>
      <w:r>
        <w:rPr>
          <w:rFonts w:ascii="Georgia" w:hAnsi="Georgia"/>
          <w:b w:val="0"/>
          <w:color w:val="24313A"/>
          <w:sz w:val="22"/>
        </w:rPr>
        <w:t>• po tygodniu obserwacji i 14 dniach zmian poranna wokalizacja staje się rzadsza lub krótsza</w:t>
      </w:r>
    </w:p>
    <w:p>
      <w:r>
        <w:rPr>
          <w:rFonts w:ascii="Georgia" w:hAnsi="Georgia"/>
          <w:b w:val="0"/>
          <w:color w:val="24313A"/>
          <w:sz w:val="22"/>
        </w:rPr>
        <w:t>• nie pojawia się dezorientacja, chudnięcie, silne pragnienie ani inne objawy wymagające ścieżki medycznej</w:t>
      </w:r>
    </w:p>
    <w:p/>
    <w:p>
      <w:r>
        <w:rPr>
          <w:rFonts w:ascii="Georgia" w:hAnsi="Georgia"/>
          <w:b w:val="0"/>
          <w:color w:val="24313A"/>
          <w:sz w:val="24"/>
        </w:rPr>
        <w:t>Jeśli poranna wokalizacja jest tylko fragmentem szerszego nocnego problemu, wróć do PDF-u „Kot budzi dom po nocy?”. Jeśli w tle pojawiają się czerwone flagi albo kilka mechanizmów naraz, konsultacja będzie szybsza niż dalsze zgadywanie.</w:t>
      </w:r>
    </w:p>
    <w:p>
      <w:pPr>
        <w:spacing w:before="140" w:after="80" w:line="252" w:lineRule="auto"/>
      </w:pPr>
      <w:r>
        <w:rPr>
          <w:rFonts w:ascii="Aptos Display" w:hAnsi="Aptos Display"/>
          <w:b/>
          <w:color w:val="27495A"/>
          <w:sz w:val="41"/>
        </w:rPr>
        <w:t>Co dalej po tym PDF-ie</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5100"/>
        <w:gridCol w:w="5100"/>
      </w:tblGrid>
      <w:tr>
        <w:tc>
          <w:tcPr>
            <w:tcW w:type="dxa" w:w="5100"/>
            <w:vAlign w:val="center"/>
            <w:tcMar>
              <w:top w:w="120" w:type="dxa"/>
              <w:start w:w="130" w:type="dxa"/>
              <w:bottom w:w="120" w:type="dxa"/>
              <w:end w:w="130" w:type="dxa"/>
            </w:tcMar>
            <w:shd w:fill="EEF4F8"/>
          </w:tcPr>
          <w:p>
            <w:r>
              <w:rPr>
                <w:b/>
                <w:color w:val="27495A"/>
                <w:sz w:val="22"/>
              </w:rPr>
              <w:t>Kot budzi dom po nocy?</w:t>
            </w:r>
          </w:p>
          <w:p>
            <w:pPr>
              <w:spacing w:before="40" w:after="0" w:line="259" w:lineRule="auto"/>
            </w:pPr>
            <w:r>
              <w:rPr>
                <w:color w:val="27323A"/>
                <w:sz w:val="19"/>
              </w:rPr>
              <w:t>jeśli problem jest szerszy niż świt i obejmuje nocną aktywność, seniora, wieczór i różne wzorce wokalizacji</w:t>
            </w:r>
          </w:p>
        </w:tc>
        <w:tc>
          <w:tcPr>
            <w:tcW w:type="dxa" w:w="5100"/>
            <w:vAlign w:val="center"/>
            <w:tcMar>
              <w:top w:w="120" w:type="dxa"/>
              <w:start w:w="130" w:type="dxa"/>
              <w:bottom w:w="120" w:type="dxa"/>
              <w:end w:w="130" w:type="dxa"/>
            </w:tcMar>
            <w:shd w:fill="EEF5EF"/>
          </w:tcPr>
          <w:p>
            <w:r>
              <w:rPr>
                <w:b/>
                <w:color w:val="27495A"/>
                <w:sz w:val="22"/>
              </w:rPr>
              <w:t>Konflikt między kotami</w:t>
            </w:r>
          </w:p>
          <w:p>
            <w:pPr>
              <w:spacing w:before="40" w:after="0" w:line="259" w:lineRule="auto"/>
            </w:pPr>
            <w:r>
              <w:rPr>
                <w:color w:val="27323A"/>
                <w:sz w:val="19"/>
              </w:rPr>
              <w:t>jeśli poranna wokalizacja łączy się z blokowaniem przejść, nocną aktywnością jednego kota albo cichą presją społeczną</w:t>
            </w:r>
          </w:p>
        </w:tc>
      </w:tr>
      <w:tr>
        <w:tc>
          <w:tcPr>
            <w:tcW w:type="dxa" w:w="5100"/>
            <w:vAlign w:val="center"/>
            <w:tcMar>
              <w:top w:w="120" w:type="dxa"/>
              <w:start w:w="130" w:type="dxa"/>
              <w:bottom w:w="120" w:type="dxa"/>
              <w:end w:w="130" w:type="dxa"/>
            </w:tcMar>
            <w:shd w:fill="F8F1E5"/>
          </w:tcPr>
          <w:p>
            <w:r>
              <w:rPr>
                <w:b/>
                <w:color w:val="27495A"/>
                <w:sz w:val="22"/>
              </w:rPr>
              <w:t>Kot żyje w napięciu</w:t>
            </w:r>
          </w:p>
          <w:p>
            <w:pPr>
              <w:spacing w:before="40" w:after="0" w:line="259" w:lineRule="auto"/>
            </w:pPr>
            <w:r>
              <w:rPr>
                <w:color w:val="27323A"/>
                <w:sz w:val="19"/>
              </w:rPr>
              <w:t>jeśli nie masz pewności, czy główną warstwą jest stres, konflikt czy rozregulowane środowisko</w:t>
            </w:r>
          </w:p>
        </w:tc>
        <w:tc>
          <w:tcPr>
            <w:tcW w:type="dxa" w:w="5100"/>
            <w:vAlign w:val="center"/>
            <w:tcMar>
              <w:top w:w="120" w:type="dxa"/>
              <w:start w:w="130" w:type="dxa"/>
              <w:bottom w:w="120" w:type="dxa"/>
              <w:end w:w="130" w:type="dxa"/>
            </w:tcMar>
            <w:shd w:fill="F1ECF7"/>
          </w:tcPr>
          <w:p>
            <w:r>
              <w:rPr>
                <w:b/>
                <w:color w:val="27495A"/>
                <w:sz w:val="22"/>
              </w:rPr>
              <w:t>Konsultacja 15 min</w:t>
            </w:r>
          </w:p>
          <w:p>
            <w:pPr>
              <w:spacing w:before="40" w:after="0" w:line="259" w:lineRule="auto"/>
            </w:pPr>
            <w:r>
              <w:rPr>
                <w:color w:val="27323A"/>
                <w:sz w:val="19"/>
              </w:rPr>
              <w:t>jeśli nie wiesz, czy problem jest jeszcze nawykiem, czy trzeba zacząć od lekarza lub głębszej ścieżki</w:t>
            </w:r>
          </w:p>
        </w:tc>
      </w:tr>
    </w:tbl>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00"/>
      </w:tblGrid>
      <w:tr>
        <w:tc>
          <w:tcPr>
            <w:tcW w:type="dxa" w:w="10200"/>
            <w:shd w:fill="DFEAF3"/>
            <w:tcMar>
              <w:top w:w="150" w:type="dxa"/>
              <w:start w:w="170" w:type="dxa"/>
              <w:bottom w:w="150" w:type="dxa"/>
              <w:end w:w="170" w:type="dxa"/>
            </w:tcMar>
          </w:tcPr>
          <w:p>
            <w:r>
              <w:rPr>
                <w:b/>
                <w:color w:val="27495A"/>
                <w:sz w:val="22"/>
              </w:rPr>
              <w:t>Finalny sens tego materiału</w:t>
            </w:r>
          </w:p>
          <w:p>
            <w:pPr>
              <w:spacing w:before="40" w:after="0" w:line="276" w:lineRule="auto"/>
            </w:pPr>
            <w:r>
              <w:rPr>
                <w:color w:val="27323A"/>
                <w:sz w:val="20"/>
              </w:rPr>
              <w:t>To objawowy PDF dla opiekuna, który chce szybko zrozumieć poranne miauczenie bez skakania między sprzecznymi radami z internetu. Ma pomóc zobaczyć mechanizm, a nie walczyć z samym dźwiękiem.</w:t>
            </w:r>
          </w:p>
        </w:tc>
      </w:tr>
    </w:tbl>
    <w:p/>
    <w:sectPr w:rsidR="00FC693F" w:rsidRPr="0006063C" w:rsidSect="00034616">
      <w:footerReference w:type="default" r:id="rId9"/>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27C"/>
        <w:sz w:val="18"/>
      </w:rPr>
      <w:t xml:space="preserve">Strona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732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