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BC4" w:rsidRDefault="005F650A" w:rsidP="005F650A">
      <w:pPr>
        <w:pStyle w:val="Titre"/>
      </w:pPr>
      <w:r>
        <w:t>Suivie d’avancement du projet annuel</w:t>
      </w:r>
    </w:p>
    <w:p w:rsidR="005F650A" w:rsidRDefault="005F650A">
      <w:r>
        <w:t>24-03-2019</w:t>
      </w:r>
    </w:p>
    <w:p w:rsidR="005F650A" w:rsidRDefault="005F650A"/>
    <w:p w:rsidR="005F650A" w:rsidRDefault="005F650A">
      <w:r>
        <w:t>Romain Bignon</w:t>
      </w:r>
    </w:p>
    <w:p w:rsidR="005F650A" w:rsidRDefault="005F650A">
      <w:r>
        <w:t>Damien Chaudois</w:t>
      </w:r>
    </w:p>
    <w:p w:rsidR="005F650A" w:rsidRDefault="005F650A"/>
    <w:p w:rsidR="005F650A" w:rsidRDefault="005F650A">
      <w:r>
        <w:t xml:space="preserve">Client : </w:t>
      </w:r>
      <w:proofErr w:type="spellStart"/>
      <w:r>
        <w:t>Expaceo</w:t>
      </w:r>
      <w:proofErr w:type="spellEnd"/>
      <w:r>
        <w:t xml:space="preserve"> UK</w:t>
      </w:r>
    </w:p>
    <w:p w:rsidR="00E92FEC" w:rsidRDefault="00D575E0">
      <w:r>
        <w:rPr>
          <w:color w:val="000000"/>
          <w:sz w:val="23"/>
          <w:szCs w:val="23"/>
          <w:shd w:val="clear" w:color="auto" w:fill="FFFFFF"/>
        </w:rPr>
        <w:t>But du projet : automatiser et réduire les interventions humaines sur l’établissement du suivi de la trésorerie d’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Expaceo</w:t>
      </w:r>
      <w:proofErr w:type="spellEnd"/>
      <w:r>
        <w:rPr>
          <w:color w:val="000000"/>
          <w:sz w:val="23"/>
          <w:szCs w:val="23"/>
          <w:shd w:val="clear" w:color="auto" w:fill="FFFFFF"/>
        </w:rPr>
        <w:t> et d’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Expaceo</w:t>
      </w:r>
      <w:proofErr w:type="spellEnd"/>
      <w:r>
        <w:rPr>
          <w:color w:val="000000"/>
          <w:sz w:val="23"/>
          <w:szCs w:val="23"/>
          <w:shd w:val="clear" w:color="auto" w:fill="FFFFFF"/>
        </w:rPr>
        <w:t> </w:t>
      </w:r>
      <w:r>
        <w:rPr>
          <w:rStyle w:val="s-rg-t"/>
          <w:color w:val="000000"/>
          <w:sz w:val="23"/>
          <w:szCs w:val="23"/>
          <w:shd w:val="clear" w:color="auto" w:fill="FFFFFF"/>
        </w:rPr>
        <w:t>UK</w:t>
      </w:r>
      <w:r>
        <w:rPr>
          <w:color w:val="000000"/>
          <w:sz w:val="23"/>
          <w:szCs w:val="23"/>
          <w:shd w:val="clear" w:color="auto" w:fill="FFFFFF"/>
        </w:rPr>
        <w:t xml:space="preserve">, et offrir un outil de </w:t>
      </w:r>
      <w:proofErr w:type="spellStart"/>
      <w:r>
        <w:rPr>
          <w:color w:val="000000"/>
          <w:sz w:val="23"/>
          <w:szCs w:val="23"/>
          <w:shd w:val="clear" w:color="auto" w:fill="FFFFFF"/>
        </w:rPr>
        <w:t>reporting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et de vue d’ensemble des chiffres clef des finances des entreprises.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 xml:space="preserve">Point de départ de l’application : deux fichiers Excel aujourd’hui utilisés pour la comptabilité de l’entreprise. L’administration tient à jour ces fichiers en allant sur les sites des banques, copie les informations de chaque virement d’argent, et toutes les données les concernant, comme </w:t>
      </w:r>
      <w:r>
        <w:rPr>
          <w:color w:val="000000"/>
          <w:sz w:val="23"/>
          <w:szCs w:val="23"/>
          <w:shd w:val="clear" w:color="auto" w:fill="FFFFFF"/>
        </w:rPr>
        <w:t>suit</w:t>
      </w:r>
      <w:r>
        <w:rPr>
          <w:color w:val="000000"/>
          <w:sz w:val="23"/>
          <w:szCs w:val="23"/>
          <w:shd w:val="clear" w:color="auto" w:fill="FFFFFF"/>
        </w:rPr>
        <w:t>: </w:t>
      </w:r>
      <w:r w:rsidR="00E92FEC">
        <w:rPr>
          <w:noProof/>
        </w:rPr>
        <w:drawing>
          <wp:inline distT="0" distB="0" distL="0" distR="0">
            <wp:extent cx="5730240" cy="112776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E0" w:rsidRDefault="00D575E0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Il existe un onglet pour les décaissements, et un pour les encaissements. Chacun renseigne des informations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>
        <w:rPr>
          <w:color w:val="000000"/>
          <w:sz w:val="23"/>
          <w:szCs w:val="23"/>
          <w:shd w:val="clear" w:color="auto" w:fill="FFFFFF"/>
        </w:rPr>
        <w:t>différentes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>
        <w:rPr>
          <w:color w:val="000000"/>
          <w:sz w:val="23"/>
          <w:szCs w:val="23"/>
          <w:shd w:val="clear" w:color="auto" w:fill="FFFFFF"/>
        </w:rPr>
        <w:t>:</w:t>
      </w:r>
      <w:r>
        <w:rPr>
          <w:color w:val="000000"/>
          <w:sz w:val="23"/>
          <w:szCs w:val="23"/>
          <w:shd w:val="clear" w:color="auto" w:fill="FFFFFF"/>
        </w:rPr>
        <w:t xml:space="preserve">  </w:t>
      </w:r>
    </w:p>
    <w:p w:rsidR="00E92FEC" w:rsidRDefault="00D575E0">
      <w:r>
        <w:rPr>
          <w:color w:val="000000"/>
          <w:sz w:val="23"/>
          <w:szCs w:val="23"/>
          <w:shd w:val="clear" w:color="auto" w:fill="FFFFFF"/>
        </w:rPr>
        <w:t> 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="00E92FEC">
        <w:rPr>
          <w:noProof/>
        </w:rPr>
        <w:drawing>
          <wp:inline distT="0" distB="0" distL="0" distR="0" wp14:anchorId="0E2D326B" wp14:editId="76F3E78B">
            <wp:extent cx="5562600" cy="125917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43" cy="126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FEC">
        <w:t>Le bilan se trouve dans un onglet dédié et compare les dépense effectué avec les dépense prévues.</w:t>
      </w:r>
      <w:r w:rsidR="00E92FEC">
        <w:rPr>
          <w:noProof/>
        </w:rPr>
        <w:drawing>
          <wp:inline distT="0" distB="0" distL="0" distR="0">
            <wp:extent cx="4983480" cy="2037189"/>
            <wp:effectExtent l="0" t="0" r="762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29" cy="20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FEC">
        <w:t xml:space="preserve"> </w:t>
      </w:r>
    </w:p>
    <w:p w:rsidR="00E92FEC" w:rsidRDefault="00E92FEC">
      <w:r>
        <w:lastRenderedPageBreak/>
        <w:t>Objectifs annoncé par le client :</w:t>
      </w:r>
    </w:p>
    <w:p w:rsidR="00D575E0" w:rsidRPr="00D575E0" w:rsidRDefault="00D575E0" w:rsidP="00E92FEC">
      <w:pPr>
        <w:pStyle w:val="Paragraphedeliste"/>
        <w:numPr>
          <w:ilvl w:val="0"/>
          <w:numId w:val="1"/>
        </w:numPr>
      </w:pPr>
      <w:r>
        <w:rPr>
          <w:color w:val="000000"/>
          <w:sz w:val="23"/>
          <w:szCs w:val="23"/>
          <w:shd w:val="clear" w:color="auto" w:fill="FFFFFF"/>
        </w:rPr>
        <w:t>Permettre à l’application d’aller automatiquement récupérer les mouvements bancaire d’encaissement et de décaissement si la/les banque propose une API pour accéder à ces informations, sinon, automatiser autant que possible le remplissage</w:t>
      </w:r>
    </w:p>
    <w:p w:rsidR="00D575E0" w:rsidRPr="00D575E0" w:rsidRDefault="00D575E0" w:rsidP="00E92FEC">
      <w:pPr>
        <w:pStyle w:val="Paragraphedeliste"/>
        <w:numPr>
          <w:ilvl w:val="0"/>
          <w:numId w:val="1"/>
        </w:numPr>
      </w:pPr>
      <w:r>
        <w:rPr>
          <w:color w:val="000000"/>
          <w:sz w:val="23"/>
          <w:szCs w:val="23"/>
          <w:shd w:val="clear" w:color="auto" w:fill="FFFFFF"/>
        </w:rPr>
        <w:t>Permettre de mettre en relation les entrées et les sorties d’argent, et de facilement tracer leurs origines</w:t>
      </w:r>
    </w:p>
    <w:p w:rsidR="00D575E0" w:rsidRPr="00D575E0" w:rsidRDefault="00D575E0" w:rsidP="00E92FEC">
      <w:pPr>
        <w:pStyle w:val="Paragraphedeliste"/>
        <w:numPr>
          <w:ilvl w:val="0"/>
          <w:numId w:val="1"/>
        </w:numPr>
      </w:pPr>
      <w:r>
        <w:rPr>
          <w:color w:val="000000"/>
          <w:sz w:val="23"/>
          <w:szCs w:val="23"/>
          <w:shd w:val="clear" w:color="auto" w:fill="FFFFFF"/>
        </w:rPr>
        <w:t>Offrir la possibilité d’exporter les rapports en format Excel ou PDF que l’entreprise pourra envoyer à des clients, comptable ou banques</w:t>
      </w:r>
    </w:p>
    <w:p w:rsidR="00D575E0" w:rsidRPr="00D575E0" w:rsidRDefault="00D575E0" w:rsidP="00E92FEC">
      <w:pPr>
        <w:pStyle w:val="Paragraphedeliste"/>
        <w:numPr>
          <w:ilvl w:val="0"/>
          <w:numId w:val="1"/>
        </w:numPr>
      </w:pPr>
      <w:r>
        <w:rPr>
          <w:color w:val="000000"/>
          <w:sz w:val="23"/>
          <w:szCs w:val="23"/>
          <w:shd w:val="clear" w:color="auto" w:fill="FFFFFF"/>
        </w:rPr>
        <w:t>Améliorer la lisibilité de la trésorerie en général, et de son évolution futur et passé.</w:t>
      </w:r>
    </w:p>
    <w:p w:rsidR="00954894" w:rsidRDefault="00954894" w:rsidP="00E92FEC">
      <w:pPr>
        <w:pStyle w:val="Paragraphedeliste"/>
        <w:numPr>
          <w:ilvl w:val="0"/>
          <w:numId w:val="1"/>
        </w:numPr>
      </w:pPr>
      <w:r>
        <w:t>Automatiser le calcul de la TVA</w:t>
      </w:r>
    </w:p>
    <w:p w:rsidR="00954894" w:rsidRDefault="00954894" w:rsidP="00E92FEC">
      <w:pPr>
        <w:pStyle w:val="Paragraphedeliste"/>
        <w:numPr>
          <w:ilvl w:val="0"/>
          <w:numId w:val="1"/>
        </w:numPr>
      </w:pPr>
      <w:r>
        <w:t>Permettre de lier les ligne de mouvement avec un fichier (facture ou autre )</w:t>
      </w:r>
    </w:p>
    <w:p w:rsidR="009C4B79" w:rsidRDefault="009C4B79" w:rsidP="009C4B79">
      <w:r>
        <w:rPr>
          <w:color w:val="000000"/>
          <w:sz w:val="23"/>
          <w:szCs w:val="23"/>
          <w:shd w:val="clear" w:color="auto" w:fill="FFFFFF"/>
        </w:rPr>
        <w:t>Des demandes seront rajoutées au fur et à mesure que le projet avance. Celui-ci est évidemment réalisé en méthode agile. Un sprint dure 2 semaine, pour se synchroniser avec le rythme de l’école. Une présentation est donc prévue au moins le vendredi une semaine sur deux pour obtenir les retours du client.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La gestion du projet se fait avec les outils Microsoft en utilisant des licences offert par l’entreprise pour leur permettre d’avoir accès au suivi de l’avancement du projet sous azure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devOps</w:t>
      </w:r>
      <w:proofErr w:type="spellEnd"/>
      <w:r>
        <w:rPr>
          <w:color w:val="000000"/>
          <w:sz w:val="23"/>
          <w:szCs w:val="23"/>
          <w:shd w:val="clear" w:color="auto" w:fill="FFFFFF"/>
        </w:rPr>
        <w:t>. Le tableau des taches (</w:t>
      </w:r>
      <w:r>
        <w:rPr>
          <w:rStyle w:val="s-bl-t"/>
          <w:color w:val="000000"/>
          <w:sz w:val="23"/>
          <w:szCs w:val="23"/>
          <w:shd w:val="clear" w:color="auto" w:fill="FFFFFF"/>
        </w:rPr>
        <w:t> le</w:t>
      </w:r>
      <w:r>
        <w:rPr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s-bl-t"/>
          <w:color w:val="000000"/>
          <w:sz w:val="23"/>
          <w:szCs w:val="23"/>
          <w:shd w:val="clear" w:color="auto" w:fill="FFFFFF"/>
        </w:rPr>
        <w:t>trello</w:t>
      </w:r>
      <w:proofErr w:type="spellEnd"/>
      <w:r>
        <w:rPr>
          <w:rStyle w:val="s-bl-t"/>
          <w:color w:val="000000"/>
          <w:sz w:val="23"/>
          <w:szCs w:val="23"/>
          <w:shd w:val="clear" w:color="auto" w:fill="FFFFFF"/>
        </w:rPr>
        <w:t> </w:t>
      </w:r>
      <w:r>
        <w:rPr>
          <w:color w:val="000000"/>
          <w:sz w:val="23"/>
          <w:szCs w:val="23"/>
          <w:shd w:val="clear" w:color="auto" w:fill="FFFFFF"/>
        </w:rPr>
        <w:t>) est privé et il est impossible de donner l’accès à un externe, même en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read-only</w:t>
      </w:r>
      <w:proofErr w:type="spellEnd"/>
      <w:r>
        <w:rPr>
          <w:color w:val="000000"/>
          <w:sz w:val="23"/>
          <w:szCs w:val="23"/>
          <w:shd w:val="clear" w:color="auto" w:fill="FFFFFF"/>
        </w:rPr>
        <w:t>, et il est impossible d’en faire un export.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La gestion du </w:t>
      </w:r>
      <w:r>
        <w:rPr>
          <w:rStyle w:val="s-rg-t"/>
          <w:color w:val="000000"/>
          <w:sz w:val="23"/>
          <w:szCs w:val="23"/>
          <w:shd w:val="clear" w:color="auto" w:fill="FFFFFF"/>
        </w:rPr>
        <w:t>versioning</w:t>
      </w:r>
      <w:r>
        <w:rPr>
          <w:color w:val="000000"/>
          <w:sz w:val="23"/>
          <w:szCs w:val="23"/>
          <w:shd w:val="clear" w:color="auto" w:fill="FFFFFF"/>
        </w:rPr>
        <w:t> se fait sous </w:t>
      </w:r>
      <w:r>
        <w:rPr>
          <w:rStyle w:val="s-rg-t"/>
          <w:color w:val="000000"/>
          <w:sz w:val="23"/>
          <w:szCs w:val="23"/>
          <w:shd w:val="clear" w:color="auto" w:fill="FFFFFF"/>
        </w:rPr>
        <w:t>Git</w:t>
      </w:r>
      <w:r>
        <w:rPr>
          <w:color w:val="000000"/>
          <w:sz w:val="23"/>
          <w:szCs w:val="23"/>
          <w:shd w:val="clear" w:color="auto" w:fill="FFFFFF"/>
        </w:rPr>
        <w:t>, installé sur l’azure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devOps</w:t>
      </w:r>
      <w:proofErr w:type="spellEnd"/>
      <w:r>
        <w:rPr>
          <w:color w:val="000000"/>
          <w:sz w:val="23"/>
          <w:szCs w:val="23"/>
          <w:shd w:val="clear" w:color="auto" w:fill="FFFFFF"/>
        </w:rPr>
        <w:t>. Il n’est pas possible à ma connaissance d’offrir des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credential</w:t>
      </w:r>
      <w:proofErr w:type="spellEnd"/>
      <w:r>
        <w:rPr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read-only</w:t>
      </w:r>
      <w:proofErr w:type="spellEnd"/>
      <w:r>
        <w:rPr>
          <w:color w:val="000000"/>
          <w:sz w:val="23"/>
          <w:szCs w:val="23"/>
          <w:shd w:val="clear" w:color="auto" w:fill="FFFFFF"/>
        </w:rPr>
        <w:t> à un utilisateur sans lui donner l’accès complet au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devops</w:t>
      </w:r>
      <w:proofErr w:type="spellEnd"/>
      <w:r>
        <w:rPr>
          <w:color w:val="000000"/>
          <w:sz w:val="23"/>
          <w:szCs w:val="23"/>
          <w:shd w:val="clear" w:color="auto" w:fill="FFFFFF"/>
        </w:rPr>
        <w:t>. Il existe une branche </w:t>
      </w:r>
      <w:r>
        <w:rPr>
          <w:rStyle w:val="s-rg-t"/>
          <w:color w:val="000000"/>
          <w:sz w:val="23"/>
          <w:szCs w:val="23"/>
          <w:shd w:val="clear" w:color="auto" w:fill="FFFFFF"/>
        </w:rPr>
        <w:t>master</w:t>
      </w:r>
      <w:r>
        <w:rPr>
          <w:color w:val="000000"/>
          <w:sz w:val="23"/>
          <w:szCs w:val="23"/>
          <w:shd w:val="clear" w:color="auto" w:fill="FFFFFF"/>
        </w:rPr>
        <w:t> qui </w:t>
      </w:r>
      <w:r>
        <w:rPr>
          <w:rStyle w:val="s-rg-t"/>
          <w:color w:val="000000"/>
          <w:sz w:val="23"/>
          <w:szCs w:val="23"/>
          <w:shd w:val="clear" w:color="auto" w:fill="FFFFFF"/>
        </w:rPr>
        <w:t>trigger</w:t>
      </w:r>
      <w:r>
        <w:rPr>
          <w:color w:val="000000"/>
          <w:sz w:val="23"/>
          <w:szCs w:val="23"/>
          <w:shd w:val="clear" w:color="auto" w:fill="FFFFFF"/>
        </w:rPr>
        <w:t> le déploiement du site. La branche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staging</w:t>
      </w:r>
      <w:proofErr w:type="spellEnd"/>
      <w:r>
        <w:rPr>
          <w:color w:val="000000"/>
          <w:sz w:val="23"/>
          <w:szCs w:val="23"/>
          <w:shd w:val="clear" w:color="auto" w:fill="FFFFFF"/>
        </w:rPr>
        <w:t> permet de faire les </w:t>
      </w:r>
      <w:r>
        <w:rPr>
          <w:rStyle w:val="s-rg-t"/>
          <w:color w:val="000000"/>
          <w:sz w:val="23"/>
          <w:szCs w:val="23"/>
          <w:shd w:val="clear" w:color="auto" w:fill="FFFFFF"/>
        </w:rPr>
        <w:t>merge</w:t>
      </w:r>
      <w:r>
        <w:rPr>
          <w:color w:val="000000"/>
          <w:sz w:val="23"/>
          <w:szCs w:val="23"/>
          <w:shd w:val="clear" w:color="auto" w:fill="FFFFFF"/>
        </w:rPr>
        <w:t>. Il existe deux branches supplémentaire pour chaque développeur.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Les pipelines de déploiement sont également sous azure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devops</w:t>
      </w:r>
      <w:proofErr w:type="spellEnd"/>
      <w:r>
        <w:rPr>
          <w:color w:val="000000"/>
          <w:sz w:val="23"/>
          <w:szCs w:val="23"/>
          <w:shd w:val="clear" w:color="auto" w:fill="FFFFFF"/>
        </w:rPr>
        <w:t>. Un pipeline se déclenche lors d’un </w:t>
      </w:r>
      <w:r>
        <w:rPr>
          <w:rStyle w:val="s-rg-t"/>
          <w:color w:val="000000"/>
          <w:sz w:val="23"/>
          <w:szCs w:val="23"/>
          <w:shd w:val="clear" w:color="auto" w:fill="FFFFFF"/>
        </w:rPr>
        <w:t>push</w:t>
      </w:r>
      <w:r>
        <w:rPr>
          <w:color w:val="000000"/>
          <w:sz w:val="23"/>
          <w:szCs w:val="23"/>
          <w:shd w:val="clear" w:color="auto" w:fill="FFFFFF"/>
        </w:rPr>
        <w:t> sur la branche master du </w:t>
      </w:r>
      <w:r>
        <w:rPr>
          <w:rStyle w:val="s-rg-t"/>
          <w:color w:val="000000"/>
          <w:sz w:val="23"/>
          <w:szCs w:val="23"/>
          <w:shd w:val="clear" w:color="auto" w:fill="FFFFFF"/>
        </w:rPr>
        <w:t>git</w:t>
      </w:r>
      <w:r>
        <w:rPr>
          <w:color w:val="000000"/>
          <w:sz w:val="23"/>
          <w:szCs w:val="23"/>
          <w:shd w:val="clear" w:color="auto" w:fill="FFFFFF"/>
        </w:rPr>
        <w:t> et ce dernier possède deux </w:t>
      </w:r>
      <w:r>
        <w:rPr>
          <w:rStyle w:val="s-rg-t"/>
          <w:color w:val="000000"/>
          <w:sz w:val="23"/>
          <w:szCs w:val="23"/>
          <w:shd w:val="clear" w:color="auto" w:fill="FFFFFF"/>
        </w:rPr>
        <w:t>job</w:t>
      </w:r>
      <w:r>
        <w:rPr>
          <w:color w:val="000000"/>
          <w:sz w:val="23"/>
          <w:szCs w:val="23"/>
          <w:shd w:val="clear" w:color="auto" w:fill="FFFFFF"/>
        </w:rPr>
        <w:t> pour le moment, auquel nous en rajouterons plusieurs par la suite, notamment concernant l’automatisation des </w:t>
      </w:r>
      <w:r>
        <w:rPr>
          <w:rStyle w:val="s-rg-t"/>
          <w:color w:val="000000"/>
          <w:sz w:val="23"/>
          <w:szCs w:val="23"/>
          <w:shd w:val="clear" w:color="auto" w:fill="FFFFFF"/>
        </w:rPr>
        <w:t>test</w:t>
      </w:r>
      <w:r>
        <w:rPr>
          <w:color w:val="000000"/>
          <w:sz w:val="23"/>
          <w:szCs w:val="23"/>
          <w:shd w:val="clear" w:color="auto" w:fill="FFFFFF"/>
        </w:rPr>
        <w:t> : </w:t>
      </w:r>
    </w:p>
    <w:p w:rsidR="002C1820" w:rsidRDefault="002C1820" w:rsidP="009C4B79">
      <w:pPr>
        <w:pStyle w:val="Paragraphedeliste"/>
        <w:numPr>
          <w:ilvl w:val="0"/>
          <w:numId w:val="1"/>
        </w:numPr>
      </w:pPr>
      <w:r>
        <w:t xml:space="preserve">Copie des fichiers source dans le compte de stockage ( voir la partie architecture ) </w:t>
      </w:r>
    </w:p>
    <w:p w:rsidR="002C1820" w:rsidRDefault="002C1820" w:rsidP="002C1820">
      <w:pPr>
        <w:pStyle w:val="Paragraphedeliste"/>
        <w:numPr>
          <w:ilvl w:val="0"/>
          <w:numId w:val="1"/>
        </w:numPr>
      </w:pPr>
      <w:proofErr w:type="spellStart"/>
      <w:r>
        <w:t>Build</w:t>
      </w:r>
      <w:proofErr w:type="spellEnd"/>
      <w:r>
        <w:t>, packaging et déploiement des fonction azure</w:t>
      </w:r>
    </w:p>
    <w:p w:rsidR="002C1820" w:rsidRDefault="002C1820" w:rsidP="002C1820"/>
    <w:p w:rsidR="002C1820" w:rsidRDefault="002C1820" w:rsidP="002C1820">
      <w:r>
        <w:t>L’architecture</w:t>
      </w:r>
    </w:p>
    <w:p w:rsidR="009C4B79" w:rsidRDefault="009C4B79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Le client a été très clair sur l’aspect critique des données circulant sur le site : la sécurité est donc la priorité. En partant du constat que Microsoft au travers d’azure aura toujours une meilleure sécurité que tout ce que nous pourrions proposer, il a été décider d’implémenter une architecture dite « </w:t>
      </w:r>
      <w:proofErr w:type="spellStart"/>
      <w:r>
        <w:rPr>
          <w:rStyle w:val="s-rg-t"/>
          <w:color w:val="000000"/>
          <w:sz w:val="23"/>
          <w:szCs w:val="23"/>
          <w:shd w:val="clear" w:color="auto" w:fill="FFFFFF"/>
        </w:rPr>
        <w:t>serverless</w:t>
      </w:r>
      <w:proofErr w:type="spellEnd"/>
      <w:r>
        <w:rPr>
          <w:color w:val="000000"/>
          <w:sz w:val="23"/>
          <w:szCs w:val="23"/>
          <w:shd w:val="clear" w:color="auto" w:fill="FFFFFF"/>
        </w:rPr>
        <w:t> ». </w:t>
      </w:r>
    </w:p>
    <w:p w:rsidR="002C1820" w:rsidRDefault="009C4B79">
      <w:r>
        <w:rPr>
          <w:color w:val="000000"/>
          <w:sz w:val="23"/>
          <w:szCs w:val="23"/>
          <w:shd w:val="clear" w:color="auto" w:fill="FFFFFF"/>
        </w:rPr>
        <w:lastRenderedPageBreak/>
        <w:t>L’architecture suivante a été proposée au client (Voir fichier joint Projet annuel architecture.pptx) : </w:t>
      </w:r>
      <w:r w:rsidR="002C1820" w:rsidRPr="002C1820">
        <w:rPr>
          <w:noProof/>
        </w:rPr>
        <w:drawing>
          <wp:inline distT="0" distB="0" distL="0" distR="0" wp14:anchorId="45701CB0" wp14:editId="7F25DBCD">
            <wp:extent cx="5731510" cy="322389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0" w:rsidRDefault="002C1820" w:rsidP="002C1820">
      <w:r>
        <w:t xml:space="preserve">Nous nous sommes basés sur ce descriptif </w:t>
      </w:r>
      <w:r w:rsidR="00634D12">
        <w:t xml:space="preserve">provenant directement de la doc Microsoft </w:t>
      </w:r>
      <w:r>
        <w:t xml:space="preserve">pour établir </w:t>
      </w:r>
      <w:r w:rsidR="00634D12">
        <w:t>notre</w:t>
      </w:r>
      <w:r>
        <w:t xml:space="preserve"> architecture :</w:t>
      </w:r>
    </w:p>
    <w:p w:rsidR="002C1820" w:rsidRDefault="002C1820" w:rsidP="002C1820">
      <w:r>
        <w:rPr>
          <w:noProof/>
        </w:rPr>
        <w:drawing>
          <wp:inline distT="0" distB="0" distL="0" distR="0">
            <wp:extent cx="5731510" cy="3862005"/>
            <wp:effectExtent l="0" t="0" r="2540" b="5715"/>
            <wp:docPr id="8" name="Image 8" descr="Diagramme de lâarchitecture de la 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me de lâarchitecture de la solu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12" w:rsidRDefault="00634D12" w:rsidP="002C1820"/>
    <w:p w:rsidR="00AD7FAA" w:rsidRDefault="00634D12" w:rsidP="002C1820">
      <w:r>
        <w:t xml:space="preserve">Nous n’utiliserons pas ici les Azure Logic apps ni Azure Computer Vision. </w:t>
      </w:r>
    </w:p>
    <w:p w:rsidR="00954894" w:rsidRDefault="00954894" w:rsidP="002C1820">
      <w:r>
        <w:lastRenderedPageBreak/>
        <w:t>Les technologies choisi</w:t>
      </w:r>
      <w:r w:rsidR="009C4B79">
        <w:t>e</w:t>
      </w:r>
      <w:bookmarkStart w:id="0" w:name="_GoBack"/>
      <w:bookmarkEnd w:id="0"/>
      <w:r>
        <w:t>s sont décrites dans le fichier joint</w:t>
      </w:r>
      <w:r w:rsidRPr="00954894">
        <w:t xml:space="preserve"> </w:t>
      </w:r>
      <w:r w:rsidRPr="00634D12">
        <w:t>Projet annuel architecture.pptx</w:t>
      </w:r>
      <w:r>
        <w:t xml:space="preserve"> </w:t>
      </w:r>
    </w:p>
    <w:p w:rsidR="00AD7FAA" w:rsidRDefault="00AD7FAA" w:rsidP="002C1820">
      <w:r>
        <w:t>Avancement :</w:t>
      </w:r>
    </w:p>
    <w:p w:rsidR="00AD7FAA" w:rsidRDefault="00AD7FAA" w:rsidP="002C1820">
      <w:r>
        <w:t>A ce jour , nous possédons :</w:t>
      </w:r>
    </w:p>
    <w:p w:rsidR="00AD7FAA" w:rsidRDefault="00AD7FAA" w:rsidP="00AD7FAA">
      <w:pPr>
        <w:pStyle w:val="Paragraphedeliste"/>
        <w:numPr>
          <w:ilvl w:val="0"/>
          <w:numId w:val="1"/>
        </w:numPr>
      </w:pPr>
      <w:r>
        <w:t xml:space="preserve">Une maquette applicative soumise au client le 22-03 ( les retours n’ont pas encore été appliqué) : </w:t>
      </w:r>
      <w:hyperlink r:id="rId10" w:history="1">
        <w:r>
          <w:rPr>
            <w:rStyle w:val="Lienhypertexte"/>
          </w:rPr>
          <w:t>https://app.moqups.com/4qwL8CV7d1/view/page/ab15fb6f3</w:t>
        </w:r>
      </w:hyperlink>
    </w:p>
    <w:p w:rsidR="00AD7FAA" w:rsidRDefault="00AD7FAA" w:rsidP="00AD7FAA">
      <w:pPr>
        <w:pStyle w:val="Paragraphedeliste"/>
        <w:numPr>
          <w:ilvl w:val="0"/>
          <w:numId w:val="1"/>
        </w:numPr>
      </w:pPr>
      <w:r>
        <w:t xml:space="preserve">L’architecture de base comme décrite dans le schéma ci-dessus : </w:t>
      </w:r>
      <w:r>
        <w:rPr>
          <w:noProof/>
        </w:rPr>
        <w:drawing>
          <wp:inline distT="0" distB="0" distL="0" distR="0">
            <wp:extent cx="5730240" cy="182880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95" w:rsidRDefault="00AD7FAA" w:rsidP="00FD4995">
      <w:pPr>
        <w:pStyle w:val="Paragraphedeliste"/>
        <w:numPr>
          <w:ilvl w:val="0"/>
          <w:numId w:val="1"/>
        </w:numPr>
      </w:pPr>
      <w:r>
        <w:t>Un pipeline de déploiement automatique fonctionnel</w:t>
      </w:r>
      <w:r w:rsidR="00FD4995" w:rsidRPr="00FD4995">
        <w:rPr>
          <w:noProof/>
        </w:rPr>
        <w:t xml:space="preserve"> </w:t>
      </w:r>
      <w:r w:rsidR="00FD4995">
        <w:rPr>
          <w:noProof/>
        </w:rPr>
        <w:drawing>
          <wp:inline distT="0" distB="0" distL="0" distR="0" wp14:anchorId="7B55FED7" wp14:editId="2D1E7086">
            <wp:extent cx="5722620" cy="1866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95" w:rsidRDefault="00FD4995" w:rsidP="00FD4995"/>
    <w:p w:rsidR="00FD4995" w:rsidRDefault="00AD7FAA" w:rsidP="00FD4995">
      <w:pPr>
        <w:pStyle w:val="Paragraphedeliste"/>
        <w:numPr>
          <w:ilvl w:val="0"/>
          <w:numId w:val="1"/>
        </w:numPr>
      </w:pPr>
      <w:r>
        <w:t xml:space="preserve">Un </w:t>
      </w:r>
      <w:r w:rsidR="00FD4995">
        <w:t>modèle</w:t>
      </w:r>
      <w:r>
        <w:t xml:space="preserve"> de base de données et une base SQL server</w:t>
      </w:r>
      <w:r w:rsidR="00FD4995">
        <w:t xml:space="preserve"> sur azure</w:t>
      </w:r>
      <w:r>
        <w:t xml:space="preserve"> qui l’implémente :</w:t>
      </w:r>
      <w:r>
        <w:rPr>
          <w:noProof/>
        </w:rPr>
        <w:drawing>
          <wp:inline distT="0" distB="0" distL="0" distR="0">
            <wp:extent cx="5722620" cy="25831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95" w:rsidRDefault="00FD4995" w:rsidP="00FD4995">
      <w:pPr>
        <w:pStyle w:val="Paragraphedeliste"/>
      </w:pPr>
    </w:p>
    <w:p w:rsidR="00FD4995" w:rsidRDefault="00FD4995" w:rsidP="00FD4995">
      <w:pPr>
        <w:pStyle w:val="Paragraphedeliste"/>
        <w:numPr>
          <w:ilvl w:val="0"/>
          <w:numId w:val="1"/>
        </w:numPr>
      </w:pPr>
      <w:r>
        <w:lastRenderedPageBreak/>
        <w:t xml:space="preserve">Un compte de stockage azure en ligne qui contient notre ébauche d’IHM récupéré sur un site de partage de Template HTML de base : </w:t>
      </w:r>
      <w:hyperlink r:id="rId14" w:history="1">
        <w:r>
          <w:rPr>
            <w:rStyle w:val="Lienhypertexte"/>
          </w:rPr>
          <w:t>https://comptestockageprojannuel.z6.web.core.windows.net/</w:t>
        </w:r>
      </w:hyperlink>
    </w:p>
    <w:p w:rsidR="00FD4995" w:rsidRDefault="00FD4995" w:rsidP="00FD4995">
      <w:pPr>
        <w:pStyle w:val="Paragraphedeliste"/>
      </w:pPr>
    </w:p>
    <w:p w:rsidR="00FD4995" w:rsidRDefault="00FD4995" w:rsidP="00FD4995">
      <w:pPr>
        <w:pStyle w:val="Paragraphedeliste"/>
        <w:numPr>
          <w:ilvl w:val="0"/>
          <w:numId w:val="1"/>
        </w:numPr>
      </w:pPr>
      <w:r>
        <w:t>Un Git proprement mis en place avec une police de pull request et des branches dédié :</w:t>
      </w:r>
      <w:r>
        <w:rPr>
          <w:noProof/>
        </w:rPr>
        <w:drawing>
          <wp:inline distT="0" distB="0" distL="0" distR="0">
            <wp:extent cx="5715000" cy="1981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95" w:rsidRDefault="00FD4995" w:rsidP="00FD4995">
      <w:pPr>
        <w:pStyle w:val="Paragraphedeliste"/>
      </w:pPr>
    </w:p>
    <w:p w:rsidR="00FD4995" w:rsidRDefault="00FD4995" w:rsidP="00FD4995">
      <w:pPr>
        <w:pStyle w:val="Paragraphedeliste"/>
        <w:numPr>
          <w:ilvl w:val="0"/>
          <w:numId w:val="1"/>
        </w:numPr>
      </w:pPr>
      <w:r>
        <w:t xml:space="preserve">Un Trello comportant tout les work items que nous avons déduit de nos réunions avec le client </w:t>
      </w:r>
      <w:r>
        <w:rPr>
          <w:noProof/>
        </w:rPr>
        <w:drawing>
          <wp:inline distT="0" distB="0" distL="0" distR="0" wp14:anchorId="3CD12B9D" wp14:editId="3F82E892">
            <wp:extent cx="5722620" cy="19735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95" w:rsidRDefault="00FD4995" w:rsidP="00FD4995">
      <w:pPr>
        <w:pStyle w:val="Paragraphedeliste"/>
      </w:pPr>
    </w:p>
    <w:p w:rsidR="00FD4995" w:rsidRDefault="00FD4995" w:rsidP="00FD4995">
      <w:pPr>
        <w:pStyle w:val="Paragraphedeliste"/>
        <w:numPr>
          <w:ilvl w:val="0"/>
          <w:numId w:val="1"/>
        </w:numPr>
      </w:pPr>
      <w:r>
        <w:t xml:space="preserve">Un début de function azure app qui renvoie un JSON simple : </w:t>
      </w:r>
      <w:hyperlink r:id="rId17" w:history="1">
        <w:r>
          <w:rPr>
            <w:rStyle w:val="Lienhypertexte"/>
          </w:rPr>
          <w:t>https://afupeo.azurewebsites.net/api/Function1</w:t>
        </w:r>
      </w:hyperlink>
    </w:p>
    <w:sectPr w:rsidR="00FD4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73498"/>
    <w:multiLevelType w:val="hybridMultilevel"/>
    <w:tmpl w:val="34CE33A2"/>
    <w:lvl w:ilvl="0" w:tplc="2C9A9CA0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50A"/>
    <w:rsid w:val="00284BC4"/>
    <w:rsid w:val="002C1820"/>
    <w:rsid w:val="00483AB9"/>
    <w:rsid w:val="005F650A"/>
    <w:rsid w:val="00634D12"/>
    <w:rsid w:val="00954894"/>
    <w:rsid w:val="009C4B79"/>
    <w:rsid w:val="00AD7FAA"/>
    <w:rsid w:val="00D575E0"/>
    <w:rsid w:val="00E4182F"/>
    <w:rsid w:val="00E92FEC"/>
    <w:rsid w:val="00FD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977CF"/>
  <w15:chartTrackingRefBased/>
  <w15:docId w15:val="{51104E8E-937D-4BC3-8400-B7C27539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65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65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5F65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6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E92FEC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AD7FAA"/>
    <w:rPr>
      <w:color w:val="0000FF"/>
      <w:u w:val="single"/>
    </w:rPr>
  </w:style>
  <w:style w:type="character" w:customStyle="1" w:styleId="s-rg-t">
    <w:name w:val="s-rg-t"/>
    <w:basedOn w:val="Policepardfaut"/>
    <w:rsid w:val="00D575E0"/>
  </w:style>
  <w:style w:type="character" w:customStyle="1" w:styleId="s-bl-t">
    <w:name w:val="s-bl-t"/>
    <w:basedOn w:val="Policepardfaut"/>
    <w:rsid w:val="009C4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afupeo.azurewebsites.net/api/Function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app.moqups.com/4qwL8CV7d1/view/page/ab15fb6f3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omptestockageprojannuel.z6.web.core.windows.net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Chaudois</dc:creator>
  <cp:keywords/>
  <dc:description/>
  <cp:lastModifiedBy>Damien Chaudois</cp:lastModifiedBy>
  <cp:revision>4</cp:revision>
  <dcterms:created xsi:type="dcterms:W3CDTF">2019-03-24T20:42:00Z</dcterms:created>
  <dcterms:modified xsi:type="dcterms:W3CDTF">2019-03-24T22:25:00Z</dcterms:modified>
</cp:coreProperties>
</file>